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5C" w:rsidRPr="00BE621E" w:rsidRDefault="000D68B7">
      <w:pPr>
        <w:pStyle w:val="c4"/>
        <w:tabs>
          <w:tab w:val="left" w:pos="-374"/>
          <w:tab w:val="left" w:pos="0"/>
        </w:tabs>
        <w:spacing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BE621E">
        <w:rPr>
          <w:rFonts w:ascii="Arial" w:hAnsi="Arial" w:cs="Arial"/>
          <w:b/>
          <w:sz w:val="28"/>
          <w:szCs w:val="28"/>
          <w:lang w:val="es-ES"/>
        </w:rPr>
        <w:t>REPÚBLICA DE COLOMBIA</w:t>
      </w:r>
    </w:p>
    <w:p w:rsidR="006C355C" w:rsidRPr="00BE621E" w:rsidRDefault="006C355C">
      <w:pPr>
        <w:tabs>
          <w:tab w:val="left" w:pos="204"/>
        </w:tabs>
        <w:jc w:val="center"/>
        <w:rPr>
          <w:rFonts w:ascii="Arial" w:hAnsi="Arial" w:cs="Arial"/>
          <w:b/>
          <w:sz w:val="28"/>
          <w:szCs w:val="28"/>
        </w:rPr>
      </w:pPr>
    </w:p>
    <w:p w:rsidR="006C355C" w:rsidRPr="00BE621E" w:rsidRDefault="000D68B7">
      <w:pPr>
        <w:pStyle w:val="c4"/>
        <w:tabs>
          <w:tab w:val="left" w:pos="204"/>
        </w:tabs>
        <w:spacing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BE621E">
        <w:rPr>
          <w:rFonts w:ascii="Arial" w:hAnsi="Arial" w:cs="Arial"/>
          <w:b/>
          <w:sz w:val="28"/>
          <w:szCs w:val="28"/>
          <w:lang w:val="es-ES"/>
        </w:rPr>
        <w:t>COMISIÓN NACIONAL DE CRÉDITO AGROPECUARIO</w:t>
      </w:r>
    </w:p>
    <w:p w:rsidR="006C355C" w:rsidRPr="00BE621E" w:rsidRDefault="006C355C">
      <w:pPr>
        <w:tabs>
          <w:tab w:val="left" w:pos="204"/>
        </w:tabs>
        <w:jc w:val="center"/>
        <w:rPr>
          <w:rFonts w:ascii="Arial" w:hAnsi="Arial" w:cs="Arial"/>
          <w:b/>
          <w:sz w:val="28"/>
          <w:szCs w:val="28"/>
        </w:rPr>
      </w:pPr>
    </w:p>
    <w:p w:rsidR="006C355C" w:rsidRPr="00BE621E" w:rsidRDefault="000D68B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BE621E">
        <w:rPr>
          <w:rFonts w:ascii="Arial" w:hAnsi="Arial" w:cs="Arial"/>
          <w:b/>
          <w:sz w:val="28"/>
          <w:szCs w:val="28"/>
        </w:rPr>
        <w:t xml:space="preserve">RESOLUCIÓN N° </w:t>
      </w:r>
      <w:r w:rsidR="00700E67" w:rsidRPr="00BE621E">
        <w:rPr>
          <w:rFonts w:ascii="Arial" w:hAnsi="Arial" w:cs="Arial"/>
          <w:b/>
          <w:sz w:val="28"/>
          <w:szCs w:val="28"/>
        </w:rPr>
        <w:t>de 2018</w:t>
      </w:r>
    </w:p>
    <w:p w:rsidR="006C355C" w:rsidRPr="00BE621E" w:rsidRDefault="006C355C">
      <w:pPr>
        <w:tabs>
          <w:tab w:val="left" w:pos="204"/>
        </w:tabs>
        <w:jc w:val="center"/>
        <w:rPr>
          <w:rFonts w:ascii="Arial" w:hAnsi="Arial" w:cs="Arial"/>
          <w:b/>
          <w:sz w:val="28"/>
          <w:szCs w:val="28"/>
        </w:rPr>
      </w:pPr>
    </w:p>
    <w:p w:rsidR="006C355C" w:rsidRPr="00BE621E" w:rsidRDefault="006C355C">
      <w:pPr>
        <w:tabs>
          <w:tab w:val="left" w:pos="204"/>
        </w:tabs>
        <w:jc w:val="center"/>
        <w:rPr>
          <w:rFonts w:ascii="Arial" w:hAnsi="Arial" w:cs="Arial"/>
          <w:sz w:val="28"/>
          <w:szCs w:val="28"/>
        </w:rPr>
      </w:pPr>
    </w:p>
    <w:p w:rsidR="006C355C" w:rsidRPr="00BE621E" w:rsidRDefault="00700E67">
      <w:pPr>
        <w:pStyle w:val="c5"/>
        <w:tabs>
          <w:tab w:val="left" w:pos="204"/>
        </w:tabs>
        <w:spacing w:line="240" w:lineRule="auto"/>
        <w:rPr>
          <w:rFonts w:ascii="Arial" w:hAnsi="Arial" w:cs="Arial"/>
          <w:sz w:val="28"/>
          <w:szCs w:val="28"/>
        </w:rPr>
      </w:pPr>
      <w:r w:rsidRPr="00BE621E">
        <w:rPr>
          <w:rFonts w:ascii="Arial" w:hAnsi="Arial" w:cs="Arial"/>
          <w:sz w:val="28"/>
          <w:szCs w:val="28"/>
        </w:rPr>
        <w:t xml:space="preserve">"Por la cual se establecen condiciones especiales para una línea de crédito </w:t>
      </w:r>
    </w:p>
    <w:p w:rsidR="006C355C" w:rsidRPr="00BE621E" w:rsidRDefault="006C355C">
      <w:pPr>
        <w:tabs>
          <w:tab w:val="left" w:pos="204"/>
        </w:tabs>
        <w:jc w:val="center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BE621E">
        <w:rPr>
          <w:rFonts w:ascii="Arial" w:hAnsi="Arial" w:cs="Arial"/>
          <w:b/>
          <w:sz w:val="28"/>
          <w:szCs w:val="28"/>
        </w:rPr>
        <w:t>LA COMISIÓN NACIONAL DE CRÉDITO AGROPECUARIO</w:t>
      </w:r>
    </w:p>
    <w:p w:rsidR="006C355C" w:rsidRPr="00BE621E" w:rsidRDefault="006C355C">
      <w:pPr>
        <w:tabs>
          <w:tab w:val="left" w:pos="204"/>
        </w:tabs>
        <w:jc w:val="center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pStyle w:val="p6"/>
        <w:spacing w:line="240" w:lineRule="auto"/>
        <w:ind w:left="0"/>
        <w:jc w:val="center"/>
        <w:rPr>
          <w:rFonts w:ascii="Arial" w:hAnsi="Arial" w:cs="Arial"/>
          <w:sz w:val="28"/>
          <w:szCs w:val="28"/>
          <w:lang w:val="es-ES"/>
        </w:rPr>
      </w:pPr>
      <w:r w:rsidRPr="00BE621E">
        <w:rPr>
          <w:rFonts w:ascii="Arial" w:hAnsi="Arial" w:cs="Arial"/>
          <w:sz w:val="28"/>
          <w:szCs w:val="28"/>
          <w:lang w:val="es-ES"/>
        </w:rPr>
        <w:t>En ejercicio de las facultades conferidas por las Leyes 101 de 1993, 16 de 1990, 1133 de 2007, 1731 de 2014 y los Decretos 1313 de 1990, 2371 de 2015 y</w:t>
      </w:r>
    </w:p>
    <w:p w:rsidR="006C355C" w:rsidRPr="00BE621E" w:rsidRDefault="006C355C">
      <w:pPr>
        <w:tabs>
          <w:tab w:val="left" w:pos="1479"/>
        </w:tabs>
        <w:jc w:val="center"/>
        <w:rPr>
          <w:rFonts w:ascii="Arial" w:hAnsi="Arial" w:cs="Arial"/>
          <w:b/>
          <w:sz w:val="28"/>
          <w:szCs w:val="28"/>
        </w:rPr>
      </w:pPr>
    </w:p>
    <w:p w:rsidR="006C355C" w:rsidRPr="00BE621E" w:rsidRDefault="000D68B7">
      <w:pPr>
        <w:tabs>
          <w:tab w:val="left" w:pos="1479"/>
        </w:tabs>
        <w:jc w:val="center"/>
        <w:rPr>
          <w:rFonts w:ascii="Arial" w:hAnsi="Arial" w:cs="Arial"/>
          <w:b/>
          <w:sz w:val="28"/>
          <w:szCs w:val="28"/>
        </w:rPr>
      </w:pPr>
      <w:r w:rsidRPr="00BE621E">
        <w:rPr>
          <w:rFonts w:ascii="Arial" w:hAnsi="Arial" w:cs="Arial"/>
          <w:b/>
          <w:sz w:val="28"/>
          <w:szCs w:val="28"/>
        </w:rPr>
        <w:t>CONSIDERANDO</w:t>
      </w:r>
    </w:p>
    <w:p w:rsidR="006C355C" w:rsidRPr="00BE621E" w:rsidRDefault="006C355C">
      <w:pPr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8"/>
          <w:szCs w:val="28"/>
        </w:rPr>
      </w:pPr>
      <w:r w:rsidRPr="00BE621E">
        <w:rPr>
          <w:rFonts w:ascii="Arial" w:hAnsi="Arial" w:cs="Arial"/>
          <w:sz w:val="28"/>
          <w:szCs w:val="28"/>
        </w:rPr>
        <w:t xml:space="preserve">Que según lo dispuesto en la Ley 16 de 1990 y los Decretos 1313 de 1990 y 2371 de 2015, la Comisión Nacional de Crédito Agropecuario </w:t>
      </w:r>
      <w:r w:rsidR="00925D47" w:rsidRPr="00BE621E">
        <w:rPr>
          <w:rFonts w:ascii="Arial" w:hAnsi="Arial" w:cs="Arial"/>
          <w:sz w:val="28"/>
          <w:szCs w:val="28"/>
        </w:rPr>
        <w:t xml:space="preserve">es </w:t>
      </w:r>
      <w:r w:rsidRPr="00BE621E">
        <w:rPr>
          <w:rFonts w:ascii="Arial" w:hAnsi="Arial" w:cs="Arial"/>
          <w:sz w:val="28"/>
          <w:szCs w:val="28"/>
        </w:rPr>
        <w:t xml:space="preserve">el organismo rector del financiamiento del sector agropecuario, </w:t>
      </w:r>
      <w:r w:rsidR="00925D47" w:rsidRPr="00BE621E">
        <w:rPr>
          <w:rFonts w:ascii="Arial" w:hAnsi="Arial" w:cs="Arial"/>
          <w:sz w:val="28"/>
          <w:szCs w:val="28"/>
        </w:rPr>
        <w:t>y tiene</w:t>
      </w:r>
      <w:r w:rsidRPr="00BE621E">
        <w:rPr>
          <w:rFonts w:ascii="Arial" w:hAnsi="Arial" w:cs="Arial"/>
          <w:sz w:val="28"/>
          <w:szCs w:val="28"/>
        </w:rPr>
        <w:t xml:space="preserve"> dentro de s</w:t>
      </w:r>
      <w:r w:rsidR="008F6A6C" w:rsidRPr="00BE621E">
        <w:rPr>
          <w:rFonts w:ascii="Arial" w:hAnsi="Arial" w:cs="Arial"/>
          <w:sz w:val="28"/>
          <w:szCs w:val="28"/>
        </w:rPr>
        <w:t xml:space="preserve">us funciones señaladas en el </w:t>
      </w:r>
      <w:r w:rsidRPr="00BE621E">
        <w:rPr>
          <w:rFonts w:ascii="Arial" w:hAnsi="Arial" w:cs="Arial"/>
          <w:sz w:val="28"/>
          <w:szCs w:val="28"/>
        </w:rPr>
        <w:t>artículo 2° del Decreto 2371 de 2015, l</w:t>
      </w:r>
      <w:r w:rsidR="00925D47" w:rsidRPr="00BE621E">
        <w:rPr>
          <w:rFonts w:ascii="Arial" w:hAnsi="Arial" w:cs="Arial"/>
          <w:sz w:val="28"/>
          <w:szCs w:val="28"/>
        </w:rPr>
        <w:t>a</w:t>
      </w:r>
      <w:r w:rsidRPr="00BE621E">
        <w:rPr>
          <w:rFonts w:ascii="Arial" w:hAnsi="Arial" w:cs="Arial"/>
          <w:sz w:val="28"/>
          <w:szCs w:val="28"/>
        </w:rPr>
        <w:t xml:space="preserve"> siguiente</w:t>
      </w:r>
    </w:p>
    <w:p w:rsidR="006C355C" w:rsidRPr="00BE621E" w:rsidRDefault="006C35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pStyle w:val="Default"/>
        <w:jc w:val="both"/>
        <w:rPr>
          <w:sz w:val="28"/>
          <w:szCs w:val="28"/>
        </w:rPr>
      </w:pPr>
      <w:r w:rsidRPr="00BE621E">
        <w:rPr>
          <w:i/>
          <w:sz w:val="28"/>
          <w:szCs w:val="28"/>
        </w:rPr>
        <w:t>“n. Establecer, con base en la política trazada por el Ministerio de Agricultura y Desarrollo Rural, los términos y las condiciones financieras de las Líneas Especiales Crédito – LEC, del Incentivo a Capitalización Rural - ICR y de otros incentivos o subsidios del Estado que estén relacionados exclusivamente con el crédito y/o riesgo agropecuario y rural</w:t>
      </w:r>
      <w:r w:rsidRPr="00BE621E">
        <w:rPr>
          <w:sz w:val="28"/>
          <w:szCs w:val="28"/>
        </w:rPr>
        <w:t xml:space="preserve">.” </w:t>
      </w:r>
    </w:p>
    <w:p w:rsidR="006C355C" w:rsidRPr="00BE621E" w:rsidRDefault="006C355C">
      <w:pPr>
        <w:tabs>
          <w:tab w:val="left" w:pos="10080"/>
        </w:tabs>
        <w:spacing w:line="0" w:lineRule="atLeast"/>
        <w:jc w:val="both"/>
        <w:rPr>
          <w:rFonts w:ascii="Arial" w:hAnsi="Arial" w:cs="Arial"/>
          <w:sz w:val="28"/>
          <w:szCs w:val="28"/>
          <w:lang w:val="es-CO"/>
        </w:rPr>
      </w:pPr>
    </w:p>
    <w:p w:rsidR="006C355C" w:rsidRPr="00BE621E" w:rsidRDefault="000D68B7">
      <w:pPr>
        <w:tabs>
          <w:tab w:val="left" w:pos="8503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BE621E">
        <w:rPr>
          <w:rFonts w:ascii="Arial" w:hAnsi="Arial" w:cs="Arial"/>
          <w:sz w:val="28"/>
          <w:szCs w:val="28"/>
        </w:rPr>
        <w:t>Que un borrador de este proyecto de resolución estuvo publicado en la página web de FINAGRO para comentarios de las partes interesadas.</w:t>
      </w:r>
    </w:p>
    <w:p w:rsidR="006C355C" w:rsidRPr="00BE621E" w:rsidRDefault="006C355C">
      <w:pPr>
        <w:tabs>
          <w:tab w:val="left" w:pos="8503"/>
        </w:tabs>
        <w:ind w:right="-2"/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tabs>
          <w:tab w:val="left" w:pos="8503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BE621E">
        <w:rPr>
          <w:rFonts w:ascii="Arial" w:hAnsi="Arial" w:cs="Arial"/>
          <w:sz w:val="28"/>
          <w:szCs w:val="28"/>
        </w:rPr>
        <w:t xml:space="preserve">Que el Secretario Técnico </w:t>
      </w:r>
      <w:r w:rsidR="00925D47" w:rsidRPr="00BE621E">
        <w:rPr>
          <w:rFonts w:ascii="Arial" w:hAnsi="Arial" w:cs="Arial"/>
          <w:sz w:val="28"/>
          <w:szCs w:val="28"/>
        </w:rPr>
        <w:t>(e) d</w:t>
      </w:r>
      <w:r w:rsidRPr="00BE621E">
        <w:rPr>
          <w:rFonts w:ascii="Arial" w:hAnsi="Arial" w:cs="Arial"/>
          <w:sz w:val="28"/>
          <w:szCs w:val="28"/>
        </w:rPr>
        <w:t xml:space="preserve">e la Comisión Nacional de Crédito Agropecuario, presentó ante los miembros la Justificación Técnica y Jurídica de la presente Resolución, la cual fue discutida en la reunión llevada a cabo el </w:t>
      </w:r>
      <w:r w:rsidR="00925D47" w:rsidRPr="00BE621E">
        <w:rPr>
          <w:rFonts w:ascii="Arial" w:hAnsi="Arial" w:cs="Arial"/>
          <w:sz w:val="28"/>
          <w:szCs w:val="28"/>
        </w:rPr>
        <w:t>tre</w:t>
      </w:r>
      <w:r w:rsidRPr="00BE621E">
        <w:rPr>
          <w:rFonts w:ascii="Arial" w:hAnsi="Arial" w:cs="Arial"/>
          <w:sz w:val="28"/>
          <w:szCs w:val="28"/>
        </w:rPr>
        <w:t>ce (1</w:t>
      </w:r>
      <w:r w:rsidR="00925D47" w:rsidRPr="00BE621E">
        <w:rPr>
          <w:rFonts w:ascii="Arial" w:hAnsi="Arial" w:cs="Arial"/>
          <w:sz w:val="28"/>
          <w:szCs w:val="28"/>
        </w:rPr>
        <w:t>3</w:t>
      </w:r>
      <w:r w:rsidRPr="00BE621E">
        <w:rPr>
          <w:rFonts w:ascii="Arial" w:hAnsi="Arial" w:cs="Arial"/>
          <w:sz w:val="28"/>
          <w:szCs w:val="28"/>
        </w:rPr>
        <w:t xml:space="preserve">) de </w:t>
      </w:r>
      <w:r w:rsidR="00925D47" w:rsidRPr="00BE621E">
        <w:rPr>
          <w:rFonts w:ascii="Arial" w:hAnsi="Arial" w:cs="Arial"/>
          <w:sz w:val="28"/>
          <w:szCs w:val="28"/>
        </w:rPr>
        <w:t>julio de 2018</w:t>
      </w:r>
      <w:r w:rsidRPr="00BE621E">
        <w:rPr>
          <w:rFonts w:ascii="Arial" w:hAnsi="Arial" w:cs="Arial"/>
          <w:sz w:val="28"/>
          <w:szCs w:val="28"/>
        </w:rPr>
        <w:t>.</w:t>
      </w:r>
    </w:p>
    <w:p w:rsidR="006C355C" w:rsidRPr="00BE621E" w:rsidRDefault="006C355C">
      <w:pPr>
        <w:tabs>
          <w:tab w:val="left" w:pos="8503"/>
        </w:tabs>
        <w:ind w:right="-2"/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8F6A6C">
      <w:pPr>
        <w:tabs>
          <w:tab w:val="left" w:pos="8503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BE621E">
        <w:rPr>
          <w:rFonts w:ascii="Arial" w:hAnsi="Arial" w:cs="Arial"/>
          <w:sz w:val="28"/>
          <w:szCs w:val="28"/>
        </w:rPr>
        <w:t>Que,</w:t>
      </w:r>
      <w:r w:rsidR="000D68B7" w:rsidRPr="00BE621E">
        <w:rPr>
          <w:rFonts w:ascii="Arial" w:hAnsi="Arial" w:cs="Arial"/>
          <w:sz w:val="28"/>
          <w:szCs w:val="28"/>
        </w:rPr>
        <w:t xml:space="preserve"> en mérito de lo anterior,</w:t>
      </w:r>
    </w:p>
    <w:p w:rsidR="006C355C" w:rsidRPr="00BE621E" w:rsidRDefault="006C355C">
      <w:pPr>
        <w:pStyle w:val="c5"/>
        <w:tabs>
          <w:tab w:val="left" w:pos="1479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355C" w:rsidRPr="00BE621E" w:rsidRDefault="008F6A6C" w:rsidP="008F6A6C">
      <w:pPr>
        <w:pStyle w:val="c5"/>
        <w:tabs>
          <w:tab w:val="left" w:pos="1479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BE621E">
        <w:rPr>
          <w:rFonts w:ascii="Arial" w:hAnsi="Arial" w:cs="Arial"/>
          <w:b/>
          <w:sz w:val="28"/>
          <w:szCs w:val="28"/>
        </w:rPr>
        <w:t>RESUELVE</w:t>
      </w:r>
    </w:p>
    <w:p w:rsidR="006C355C" w:rsidRPr="00BE621E" w:rsidRDefault="006C355C">
      <w:pPr>
        <w:pStyle w:val="p2"/>
        <w:spacing w:line="0" w:lineRule="atLeast"/>
        <w:ind w:left="0"/>
        <w:jc w:val="center"/>
        <w:rPr>
          <w:rFonts w:ascii="Arial" w:hAnsi="Arial" w:cs="Arial"/>
          <w:sz w:val="28"/>
          <w:szCs w:val="28"/>
          <w:lang w:val="es-CO"/>
        </w:rPr>
      </w:pPr>
    </w:p>
    <w:p w:rsidR="006C355C" w:rsidRPr="00BE621E" w:rsidRDefault="000D68B7" w:rsidP="00925D47">
      <w:pPr>
        <w:pStyle w:val="p2"/>
        <w:spacing w:line="240" w:lineRule="auto"/>
        <w:ind w:left="0"/>
        <w:rPr>
          <w:rFonts w:ascii="Arial" w:hAnsi="Arial" w:cs="Arial"/>
          <w:sz w:val="28"/>
          <w:szCs w:val="28"/>
          <w:lang w:val="es-CO"/>
        </w:rPr>
      </w:pPr>
      <w:r w:rsidRPr="00BE621E">
        <w:rPr>
          <w:rFonts w:ascii="Arial" w:hAnsi="Arial" w:cs="Arial"/>
          <w:b/>
          <w:sz w:val="28"/>
          <w:szCs w:val="28"/>
          <w:lang w:val="es-CO"/>
        </w:rPr>
        <w:t xml:space="preserve">Artículo </w:t>
      </w:r>
      <w:r w:rsidR="00925D47" w:rsidRPr="00BE621E">
        <w:rPr>
          <w:rFonts w:ascii="Arial" w:hAnsi="Arial" w:cs="Arial"/>
          <w:b/>
          <w:sz w:val="28"/>
          <w:szCs w:val="28"/>
          <w:lang w:val="es-CO"/>
        </w:rPr>
        <w:t>1</w:t>
      </w:r>
      <w:r w:rsidRPr="00BE621E">
        <w:rPr>
          <w:rFonts w:ascii="Arial" w:hAnsi="Arial" w:cs="Arial"/>
          <w:b/>
          <w:sz w:val="28"/>
          <w:szCs w:val="28"/>
          <w:lang w:val="es-CO"/>
        </w:rPr>
        <w:t xml:space="preserve">º. </w:t>
      </w:r>
      <w:r w:rsidR="00925D47" w:rsidRPr="00BE621E">
        <w:rPr>
          <w:rFonts w:ascii="Arial" w:hAnsi="Arial" w:cs="Arial"/>
          <w:sz w:val="28"/>
          <w:szCs w:val="28"/>
          <w:lang w:val="es-CO"/>
        </w:rPr>
        <w:t xml:space="preserve">Crear una línea con condiciones especiales para la Compra de Tierra para uso Agropecuario </w:t>
      </w:r>
      <w:r w:rsidR="008F6A6C" w:rsidRPr="00BE621E">
        <w:rPr>
          <w:rFonts w:ascii="Arial" w:hAnsi="Arial" w:cs="Arial"/>
          <w:sz w:val="28"/>
          <w:szCs w:val="28"/>
          <w:lang w:val="es-CO"/>
        </w:rPr>
        <w:t>con</w:t>
      </w:r>
      <w:r w:rsidR="00925D47" w:rsidRPr="00BE621E">
        <w:rPr>
          <w:rFonts w:ascii="Arial" w:hAnsi="Arial" w:cs="Arial"/>
          <w:sz w:val="28"/>
          <w:szCs w:val="28"/>
          <w:lang w:val="es-CO"/>
        </w:rPr>
        <w:t xml:space="preserve"> las siguientes</w:t>
      </w:r>
      <w:r w:rsidR="00925D47" w:rsidRPr="00BE621E">
        <w:rPr>
          <w:rFonts w:ascii="Arial" w:hAnsi="Arial" w:cs="Arial"/>
          <w:b/>
          <w:sz w:val="28"/>
          <w:szCs w:val="28"/>
          <w:lang w:val="es-CO"/>
        </w:rPr>
        <w:t xml:space="preserve"> </w:t>
      </w:r>
    </w:p>
    <w:p w:rsidR="006C355C" w:rsidRPr="00BE621E" w:rsidRDefault="000D68B7">
      <w:pPr>
        <w:pStyle w:val="p2"/>
        <w:spacing w:line="240" w:lineRule="auto"/>
        <w:ind w:left="0"/>
        <w:rPr>
          <w:rFonts w:ascii="Arial" w:hAnsi="Arial" w:cs="Arial"/>
          <w:sz w:val="28"/>
          <w:szCs w:val="28"/>
          <w:lang w:val="es-CO"/>
        </w:rPr>
      </w:pPr>
      <w:r w:rsidRPr="00BE621E">
        <w:rPr>
          <w:rFonts w:ascii="Arial" w:hAnsi="Arial" w:cs="Arial"/>
          <w:sz w:val="28"/>
          <w:szCs w:val="28"/>
          <w:lang w:val="es-CO"/>
        </w:rPr>
        <w:t xml:space="preserve"> </w:t>
      </w:r>
    </w:p>
    <w:p w:rsidR="006C355C" w:rsidRPr="00BE621E" w:rsidRDefault="000D68B7">
      <w:pPr>
        <w:pStyle w:val="Textoindependiente"/>
        <w:outlineLvl w:val="0"/>
        <w:rPr>
          <w:bCs/>
          <w:sz w:val="28"/>
          <w:szCs w:val="28"/>
        </w:rPr>
      </w:pPr>
      <w:r w:rsidRPr="00BE621E">
        <w:rPr>
          <w:b/>
          <w:bCs/>
          <w:sz w:val="28"/>
          <w:szCs w:val="28"/>
        </w:rPr>
        <w:t xml:space="preserve">Artículo </w:t>
      </w:r>
      <w:r w:rsidR="00925D47" w:rsidRPr="00BE621E">
        <w:rPr>
          <w:b/>
          <w:bCs/>
          <w:sz w:val="28"/>
          <w:szCs w:val="28"/>
        </w:rPr>
        <w:t>2</w:t>
      </w:r>
      <w:r w:rsidRPr="00BE621E">
        <w:rPr>
          <w:b/>
          <w:bCs/>
          <w:sz w:val="28"/>
          <w:szCs w:val="28"/>
        </w:rPr>
        <w:t xml:space="preserve">º. Condiciones </w:t>
      </w:r>
      <w:r w:rsidR="00925D47" w:rsidRPr="00BE621E">
        <w:rPr>
          <w:b/>
          <w:bCs/>
          <w:sz w:val="28"/>
          <w:szCs w:val="28"/>
        </w:rPr>
        <w:t xml:space="preserve">financieras </w:t>
      </w:r>
      <w:r w:rsidR="00925D47" w:rsidRPr="00BE621E">
        <w:rPr>
          <w:bCs/>
          <w:sz w:val="28"/>
          <w:szCs w:val="28"/>
        </w:rPr>
        <w:t>Las</w:t>
      </w:r>
      <w:r w:rsidRPr="00BE621E">
        <w:rPr>
          <w:bCs/>
          <w:sz w:val="28"/>
          <w:szCs w:val="28"/>
        </w:rPr>
        <w:t xml:space="preserve"> condiciones financieras de los créditos que se otorguen a través de esta Línea, serán:</w:t>
      </w:r>
    </w:p>
    <w:p w:rsidR="006C355C" w:rsidRPr="00BE621E" w:rsidRDefault="006C355C">
      <w:pPr>
        <w:pStyle w:val="Textoindependiente"/>
        <w:outlineLvl w:val="0"/>
        <w:rPr>
          <w:bCs/>
          <w:sz w:val="28"/>
          <w:szCs w:val="28"/>
        </w:rPr>
      </w:pPr>
    </w:p>
    <w:p w:rsidR="006C355C" w:rsidRPr="00BE621E" w:rsidRDefault="000D68B7" w:rsidP="00BE621E">
      <w:pPr>
        <w:pStyle w:val="Textoindependiente"/>
        <w:numPr>
          <w:ilvl w:val="0"/>
          <w:numId w:val="22"/>
        </w:numPr>
        <w:outlineLvl w:val="0"/>
        <w:rPr>
          <w:bCs/>
          <w:sz w:val="28"/>
          <w:szCs w:val="28"/>
        </w:rPr>
      </w:pPr>
      <w:r w:rsidRPr="00BE621E">
        <w:rPr>
          <w:bCs/>
          <w:sz w:val="28"/>
          <w:szCs w:val="28"/>
        </w:rPr>
        <w:t xml:space="preserve">Tasa de </w:t>
      </w:r>
      <w:r w:rsidR="00847F52" w:rsidRPr="00BE621E">
        <w:rPr>
          <w:bCs/>
          <w:sz w:val="28"/>
          <w:szCs w:val="28"/>
        </w:rPr>
        <w:t>redescuento</w:t>
      </w:r>
      <w:r w:rsidRPr="00BE621E">
        <w:rPr>
          <w:bCs/>
          <w:sz w:val="28"/>
          <w:szCs w:val="28"/>
        </w:rPr>
        <w:t xml:space="preserve"> </w:t>
      </w:r>
      <w:r w:rsidR="00847F52" w:rsidRPr="00BE621E">
        <w:rPr>
          <w:bCs/>
          <w:sz w:val="28"/>
          <w:szCs w:val="28"/>
        </w:rPr>
        <w:t>DTF – 2,5</w:t>
      </w:r>
    </w:p>
    <w:p w:rsidR="00BE621E" w:rsidRPr="00BE621E" w:rsidRDefault="00BE621E" w:rsidP="00BE621E">
      <w:pPr>
        <w:pStyle w:val="Textoindependiente"/>
        <w:outlineLvl w:val="0"/>
        <w:rPr>
          <w:bCs/>
          <w:sz w:val="28"/>
          <w:szCs w:val="28"/>
        </w:rPr>
      </w:pPr>
    </w:p>
    <w:p w:rsidR="00847F52" w:rsidRPr="00BE621E" w:rsidRDefault="00BE621E" w:rsidP="00BE621E">
      <w:pPr>
        <w:pStyle w:val="Textoindependiente"/>
        <w:ind w:firstLine="36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47F52" w:rsidRPr="00BE621E">
        <w:rPr>
          <w:bCs/>
          <w:sz w:val="28"/>
          <w:szCs w:val="28"/>
        </w:rPr>
        <w:t xml:space="preserve">Tasa de Interés al usuario </w:t>
      </w:r>
    </w:p>
    <w:p w:rsidR="00BE621E" w:rsidRPr="00BE621E" w:rsidRDefault="00BE621E" w:rsidP="00BE621E">
      <w:pPr>
        <w:pStyle w:val="Textoindependiente"/>
        <w:outlineLvl w:val="0"/>
        <w:rPr>
          <w:bCs/>
          <w:sz w:val="28"/>
          <w:szCs w:val="28"/>
        </w:rPr>
      </w:pPr>
    </w:p>
    <w:p w:rsidR="00847F52" w:rsidRPr="00BE621E" w:rsidRDefault="00847F52" w:rsidP="00847F52">
      <w:pPr>
        <w:pStyle w:val="Textoindependiente"/>
        <w:ind w:left="360" w:firstLine="348"/>
        <w:outlineLvl w:val="0"/>
        <w:rPr>
          <w:bCs/>
          <w:sz w:val="28"/>
          <w:szCs w:val="28"/>
        </w:rPr>
      </w:pPr>
      <w:r w:rsidRPr="00BE621E">
        <w:rPr>
          <w:bCs/>
          <w:sz w:val="28"/>
          <w:szCs w:val="28"/>
        </w:rPr>
        <w:t>a) Pequeño Productor hasta DTF + 6 puntos (e.a)</w:t>
      </w:r>
    </w:p>
    <w:p w:rsidR="00847F52" w:rsidRPr="00BE621E" w:rsidRDefault="00847F52" w:rsidP="00847F52">
      <w:pPr>
        <w:pStyle w:val="Textoindependiente"/>
        <w:ind w:left="720"/>
        <w:outlineLvl w:val="0"/>
        <w:rPr>
          <w:bCs/>
          <w:sz w:val="28"/>
          <w:szCs w:val="28"/>
        </w:rPr>
      </w:pPr>
      <w:r w:rsidRPr="00BE621E">
        <w:rPr>
          <w:bCs/>
          <w:sz w:val="28"/>
          <w:szCs w:val="28"/>
        </w:rPr>
        <w:t>b) Pequeño Productor Mujer hasta DTF + 5,5 (e.a)</w:t>
      </w:r>
    </w:p>
    <w:p w:rsidR="00847F52" w:rsidRPr="00BE621E" w:rsidRDefault="00847F52" w:rsidP="00847F52">
      <w:pPr>
        <w:pStyle w:val="Textoindependiente"/>
        <w:ind w:firstLine="708"/>
        <w:outlineLvl w:val="0"/>
        <w:rPr>
          <w:bCs/>
          <w:sz w:val="28"/>
          <w:szCs w:val="28"/>
        </w:rPr>
      </w:pPr>
      <w:r w:rsidRPr="00BE621E">
        <w:rPr>
          <w:bCs/>
          <w:sz w:val="28"/>
          <w:szCs w:val="28"/>
        </w:rPr>
        <w:t>c)Pequeño Productor en ZOMAC hasta DTF +5.5 (e.a)</w:t>
      </w:r>
    </w:p>
    <w:p w:rsidR="006C355C" w:rsidRPr="00BE621E" w:rsidRDefault="006C355C">
      <w:pPr>
        <w:pStyle w:val="Textoindependiente"/>
        <w:outlineLvl w:val="0"/>
        <w:rPr>
          <w:bCs/>
          <w:sz w:val="28"/>
          <w:szCs w:val="28"/>
        </w:rPr>
      </w:pPr>
    </w:p>
    <w:p w:rsidR="006C355C" w:rsidRPr="00BE621E" w:rsidRDefault="006C355C">
      <w:pPr>
        <w:pStyle w:val="Textoindependiente"/>
        <w:jc w:val="center"/>
        <w:outlineLvl w:val="0"/>
        <w:rPr>
          <w:rFonts w:eastAsiaTheme="minorHAnsi"/>
          <w:bCs/>
          <w:sz w:val="28"/>
          <w:szCs w:val="28"/>
        </w:rPr>
      </w:pPr>
    </w:p>
    <w:p w:rsidR="006C355C" w:rsidRPr="00BE621E" w:rsidRDefault="006C355C">
      <w:pPr>
        <w:pStyle w:val="Textoindependiente"/>
        <w:jc w:val="center"/>
        <w:outlineLvl w:val="0"/>
        <w:rPr>
          <w:rFonts w:eastAsiaTheme="minorHAnsi"/>
          <w:bCs/>
          <w:sz w:val="28"/>
          <w:szCs w:val="28"/>
        </w:rPr>
      </w:pPr>
    </w:p>
    <w:p w:rsidR="006C355C" w:rsidRPr="00BE621E" w:rsidRDefault="006C355C">
      <w:pPr>
        <w:pStyle w:val="Textoindependiente"/>
        <w:jc w:val="center"/>
        <w:outlineLvl w:val="0"/>
        <w:rPr>
          <w:rFonts w:eastAsiaTheme="minorHAnsi"/>
          <w:bCs/>
          <w:sz w:val="28"/>
          <w:szCs w:val="28"/>
        </w:rPr>
      </w:pPr>
    </w:p>
    <w:p w:rsidR="006C355C" w:rsidRPr="00BE621E" w:rsidRDefault="006C355C" w:rsidP="00BE7213">
      <w:pPr>
        <w:pStyle w:val="Textoindependiente"/>
        <w:outlineLvl w:val="0"/>
        <w:rPr>
          <w:bCs/>
          <w:i/>
          <w:sz w:val="28"/>
          <w:szCs w:val="28"/>
        </w:rPr>
      </w:pPr>
    </w:p>
    <w:p w:rsidR="006C355C" w:rsidRPr="00BE621E" w:rsidRDefault="006C355C">
      <w:pPr>
        <w:pStyle w:val="Prrafodelista"/>
        <w:suppressAutoHyphens/>
        <w:ind w:right="51"/>
        <w:jc w:val="both"/>
        <w:rPr>
          <w:rFonts w:cs="Arial"/>
          <w:spacing w:val="-3"/>
          <w:sz w:val="28"/>
          <w:szCs w:val="28"/>
        </w:rPr>
      </w:pPr>
    </w:p>
    <w:p w:rsidR="00BE7213" w:rsidRPr="00BE621E" w:rsidRDefault="00BE621E" w:rsidP="00BE621E">
      <w:pPr>
        <w:suppressAutoHyphens/>
        <w:ind w:left="708" w:right="51"/>
        <w:jc w:val="both"/>
        <w:rPr>
          <w:rFonts w:ascii="Arial" w:hAnsi="Arial" w:cs="Arial"/>
          <w:bCs/>
          <w:spacing w:val="-3"/>
          <w:sz w:val="28"/>
          <w:szCs w:val="28"/>
        </w:rPr>
      </w:pPr>
      <w:r w:rsidRPr="00BE621E">
        <w:rPr>
          <w:rFonts w:ascii="Arial" w:hAnsi="Arial" w:cs="Arial"/>
          <w:bCs/>
          <w:spacing w:val="-3"/>
          <w:sz w:val="28"/>
          <w:szCs w:val="28"/>
        </w:rPr>
        <w:t xml:space="preserve">3. </w:t>
      </w:r>
      <w:r w:rsidR="00CF3EFD" w:rsidRPr="00BE621E">
        <w:rPr>
          <w:rFonts w:ascii="Arial" w:hAnsi="Arial" w:cs="Arial"/>
          <w:bCs/>
          <w:spacing w:val="-3"/>
          <w:sz w:val="28"/>
          <w:szCs w:val="28"/>
        </w:rPr>
        <w:t>El plazo para</w:t>
      </w:r>
      <w:r w:rsidR="00BE7213" w:rsidRPr="00BE621E">
        <w:rPr>
          <w:rFonts w:ascii="Arial" w:hAnsi="Arial" w:cs="Arial"/>
          <w:bCs/>
          <w:spacing w:val="-3"/>
          <w:sz w:val="28"/>
          <w:szCs w:val="28"/>
        </w:rPr>
        <w:t xml:space="preserve"> el pago del crédito será de quince (15) </w:t>
      </w:r>
      <w:r w:rsidR="00847F52" w:rsidRPr="00BE621E">
        <w:rPr>
          <w:rFonts w:ascii="Arial" w:hAnsi="Arial" w:cs="Arial"/>
          <w:bCs/>
          <w:spacing w:val="-3"/>
          <w:sz w:val="28"/>
          <w:szCs w:val="28"/>
        </w:rPr>
        <w:t>años y tendrá uno de gracia</w:t>
      </w:r>
    </w:p>
    <w:p w:rsidR="00BE621E" w:rsidRPr="00BE621E" w:rsidRDefault="00BE621E" w:rsidP="00BE621E">
      <w:pPr>
        <w:suppressAutoHyphens/>
        <w:ind w:right="51"/>
        <w:jc w:val="both"/>
        <w:rPr>
          <w:rFonts w:ascii="Arial" w:hAnsi="Arial" w:cs="Arial"/>
          <w:spacing w:val="-3"/>
          <w:sz w:val="28"/>
          <w:szCs w:val="28"/>
        </w:rPr>
      </w:pPr>
    </w:p>
    <w:p w:rsidR="00BE7213" w:rsidRPr="00BE621E" w:rsidRDefault="00BE621E" w:rsidP="00BE621E">
      <w:pPr>
        <w:suppressAutoHyphens/>
        <w:ind w:right="51" w:firstLine="708"/>
        <w:jc w:val="both"/>
        <w:rPr>
          <w:rFonts w:ascii="Arial" w:hAnsi="Arial" w:cs="Arial"/>
          <w:bCs/>
          <w:spacing w:val="-3"/>
          <w:sz w:val="28"/>
          <w:szCs w:val="28"/>
        </w:rPr>
      </w:pPr>
      <w:r w:rsidRPr="00BE621E">
        <w:rPr>
          <w:rFonts w:ascii="Arial" w:hAnsi="Arial" w:cs="Arial"/>
          <w:bCs/>
          <w:spacing w:val="-3"/>
          <w:sz w:val="28"/>
          <w:szCs w:val="28"/>
        </w:rPr>
        <w:t xml:space="preserve">4. </w:t>
      </w:r>
      <w:r w:rsidR="00BE7213" w:rsidRPr="00BE621E">
        <w:rPr>
          <w:rFonts w:ascii="Arial" w:hAnsi="Arial" w:cs="Arial"/>
          <w:bCs/>
          <w:spacing w:val="-3"/>
          <w:sz w:val="28"/>
          <w:szCs w:val="28"/>
        </w:rPr>
        <w:t>L</w:t>
      </w:r>
      <w:r w:rsidR="000D68B7" w:rsidRPr="00BE621E">
        <w:rPr>
          <w:rFonts w:ascii="Arial" w:hAnsi="Arial" w:cs="Arial"/>
          <w:bCs/>
          <w:spacing w:val="-3"/>
          <w:sz w:val="28"/>
          <w:szCs w:val="28"/>
        </w:rPr>
        <w:t>a amortización de la deuda</w:t>
      </w:r>
      <w:r w:rsidR="00BE7213" w:rsidRPr="00BE621E">
        <w:rPr>
          <w:rFonts w:ascii="Arial" w:hAnsi="Arial" w:cs="Arial"/>
          <w:bCs/>
          <w:spacing w:val="-3"/>
          <w:sz w:val="28"/>
          <w:szCs w:val="28"/>
        </w:rPr>
        <w:t xml:space="preserve"> será año vencido</w:t>
      </w:r>
    </w:p>
    <w:p w:rsidR="00BE621E" w:rsidRPr="00BE621E" w:rsidRDefault="00BE621E" w:rsidP="00847F52">
      <w:pPr>
        <w:suppressAutoHyphens/>
        <w:ind w:right="51"/>
        <w:jc w:val="both"/>
        <w:rPr>
          <w:rFonts w:ascii="Arial" w:hAnsi="Arial" w:cs="Arial"/>
          <w:spacing w:val="-3"/>
          <w:sz w:val="28"/>
          <w:szCs w:val="28"/>
        </w:rPr>
      </w:pPr>
    </w:p>
    <w:p w:rsidR="006C355C" w:rsidRPr="00BE621E" w:rsidRDefault="00BE621E" w:rsidP="00BE621E">
      <w:pPr>
        <w:suppressAutoHyphens/>
        <w:ind w:right="51" w:firstLine="708"/>
        <w:jc w:val="both"/>
        <w:rPr>
          <w:rFonts w:ascii="Arial" w:hAnsi="Arial" w:cs="Arial"/>
          <w:bCs/>
          <w:spacing w:val="-3"/>
          <w:sz w:val="28"/>
          <w:szCs w:val="28"/>
        </w:rPr>
      </w:pPr>
      <w:r w:rsidRPr="00BE621E">
        <w:rPr>
          <w:rFonts w:ascii="Arial" w:hAnsi="Arial" w:cs="Arial"/>
          <w:bCs/>
          <w:spacing w:val="-3"/>
          <w:sz w:val="28"/>
          <w:szCs w:val="28"/>
        </w:rPr>
        <w:t xml:space="preserve">5. </w:t>
      </w:r>
      <w:r w:rsidR="00847F52" w:rsidRPr="00BE621E">
        <w:rPr>
          <w:rFonts w:ascii="Arial" w:hAnsi="Arial" w:cs="Arial"/>
          <w:bCs/>
          <w:spacing w:val="-3"/>
          <w:sz w:val="28"/>
          <w:szCs w:val="28"/>
        </w:rPr>
        <w:t>L</w:t>
      </w:r>
      <w:r w:rsidR="000D68B7" w:rsidRPr="00BE621E">
        <w:rPr>
          <w:rFonts w:ascii="Arial" w:hAnsi="Arial" w:cs="Arial"/>
          <w:bCs/>
          <w:spacing w:val="-3"/>
          <w:sz w:val="28"/>
          <w:szCs w:val="28"/>
        </w:rPr>
        <w:t xml:space="preserve">a cobertura de financiación </w:t>
      </w:r>
      <w:r w:rsidR="00BE7213" w:rsidRPr="00BE621E">
        <w:rPr>
          <w:rFonts w:ascii="Arial" w:hAnsi="Arial" w:cs="Arial"/>
          <w:bCs/>
          <w:spacing w:val="-3"/>
          <w:sz w:val="28"/>
          <w:szCs w:val="28"/>
        </w:rPr>
        <w:t>será de</w:t>
      </w:r>
      <w:r w:rsidR="00847F52" w:rsidRPr="00BE621E">
        <w:rPr>
          <w:rFonts w:ascii="Arial" w:hAnsi="Arial" w:cs="Arial"/>
          <w:bCs/>
          <w:spacing w:val="-3"/>
          <w:sz w:val="28"/>
          <w:szCs w:val="28"/>
        </w:rPr>
        <w:t xml:space="preserve"> hasta del 80</w:t>
      </w:r>
      <w:r w:rsidR="00BE7213" w:rsidRPr="00BE621E">
        <w:rPr>
          <w:rFonts w:ascii="Arial" w:hAnsi="Arial" w:cs="Arial"/>
          <w:bCs/>
          <w:spacing w:val="-3"/>
          <w:sz w:val="28"/>
          <w:szCs w:val="28"/>
        </w:rPr>
        <w:t>%</w:t>
      </w:r>
      <w:r w:rsidR="00847F52" w:rsidRPr="00BE621E">
        <w:rPr>
          <w:rFonts w:ascii="Arial" w:hAnsi="Arial" w:cs="Arial"/>
          <w:bCs/>
          <w:spacing w:val="-3"/>
          <w:sz w:val="28"/>
          <w:szCs w:val="28"/>
        </w:rPr>
        <w:t xml:space="preserve"> </w:t>
      </w:r>
    </w:p>
    <w:p w:rsidR="00BE621E" w:rsidRPr="00BE621E" w:rsidRDefault="00BE621E" w:rsidP="00BE621E">
      <w:pPr>
        <w:suppressAutoHyphens/>
        <w:ind w:right="51"/>
        <w:jc w:val="both"/>
        <w:rPr>
          <w:rFonts w:ascii="Arial" w:hAnsi="Arial" w:cs="Arial"/>
          <w:spacing w:val="-3"/>
          <w:sz w:val="28"/>
          <w:szCs w:val="28"/>
        </w:rPr>
      </w:pPr>
    </w:p>
    <w:p w:rsidR="006C355C" w:rsidRPr="00BE621E" w:rsidRDefault="00BE621E" w:rsidP="00BE621E">
      <w:pPr>
        <w:suppressAutoHyphens/>
        <w:ind w:left="708" w:right="51"/>
        <w:jc w:val="both"/>
        <w:rPr>
          <w:rFonts w:ascii="Arial" w:hAnsi="Arial" w:cs="Arial"/>
          <w:spacing w:val="-3"/>
          <w:sz w:val="28"/>
          <w:szCs w:val="28"/>
        </w:rPr>
      </w:pPr>
      <w:r w:rsidRPr="00BE621E">
        <w:rPr>
          <w:rFonts w:ascii="Arial" w:hAnsi="Arial" w:cs="Arial"/>
          <w:spacing w:val="-3"/>
          <w:sz w:val="28"/>
          <w:szCs w:val="28"/>
        </w:rPr>
        <w:t>6.</w:t>
      </w:r>
      <w:r w:rsidR="00BE7213" w:rsidRPr="00BE621E">
        <w:rPr>
          <w:rFonts w:ascii="Arial" w:hAnsi="Arial" w:cs="Arial"/>
          <w:spacing w:val="-3"/>
          <w:sz w:val="28"/>
          <w:szCs w:val="28"/>
        </w:rPr>
        <w:t>En caso de créditos por esquemas asociativos este valor se multiplica por el número de asociados o integrados</w:t>
      </w:r>
    </w:p>
    <w:p w:rsidR="008F6A6C" w:rsidRPr="00BE621E" w:rsidRDefault="008F6A6C" w:rsidP="00BE7213">
      <w:pPr>
        <w:suppressAutoHyphens/>
        <w:ind w:right="51"/>
        <w:jc w:val="both"/>
        <w:rPr>
          <w:rFonts w:ascii="Arial" w:hAnsi="Arial" w:cs="Arial"/>
          <w:spacing w:val="-3"/>
          <w:sz w:val="28"/>
          <w:szCs w:val="28"/>
        </w:rPr>
      </w:pPr>
    </w:p>
    <w:p w:rsidR="00BE7213" w:rsidRPr="00BE621E" w:rsidRDefault="008F6A6C" w:rsidP="00BE7213">
      <w:pPr>
        <w:suppressAutoHyphens/>
        <w:ind w:right="51"/>
        <w:jc w:val="both"/>
        <w:rPr>
          <w:rFonts w:ascii="Arial" w:hAnsi="Arial" w:cs="Arial"/>
          <w:spacing w:val="-3"/>
          <w:sz w:val="28"/>
          <w:szCs w:val="28"/>
        </w:rPr>
      </w:pPr>
      <w:r w:rsidRPr="00BE621E">
        <w:rPr>
          <w:rFonts w:ascii="Arial" w:hAnsi="Arial" w:cs="Arial"/>
          <w:b/>
          <w:spacing w:val="-3"/>
          <w:sz w:val="28"/>
          <w:szCs w:val="28"/>
        </w:rPr>
        <w:t>Parágrafo</w:t>
      </w:r>
      <w:r w:rsidR="00BE7213" w:rsidRPr="00BE621E">
        <w:rPr>
          <w:rFonts w:ascii="Arial" w:hAnsi="Arial" w:cs="Arial"/>
          <w:b/>
          <w:spacing w:val="-3"/>
          <w:sz w:val="28"/>
          <w:szCs w:val="28"/>
        </w:rPr>
        <w:t xml:space="preserve"> 1.</w:t>
      </w:r>
      <w:r w:rsidRPr="00BE621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BE621E">
        <w:rPr>
          <w:rFonts w:ascii="Arial" w:hAnsi="Arial" w:cs="Arial"/>
          <w:spacing w:val="-3"/>
          <w:sz w:val="28"/>
          <w:szCs w:val="28"/>
        </w:rPr>
        <w:t>Para e caso a) se reconocerá al Intermediario Financiero un punto (e.a) de subsidio y para los casos b) y c) se reconocerá 1,5 puntos (e.a)</w:t>
      </w:r>
    </w:p>
    <w:p w:rsidR="006C355C" w:rsidRPr="00BE621E" w:rsidRDefault="006C355C">
      <w:pPr>
        <w:ind w:right="-1"/>
        <w:jc w:val="both"/>
        <w:rPr>
          <w:rFonts w:ascii="Arial" w:eastAsiaTheme="minorHAnsi" w:hAnsi="Arial" w:cs="Arial"/>
          <w:sz w:val="28"/>
          <w:szCs w:val="28"/>
          <w:lang w:val="es-CO" w:eastAsia="en-US"/>
        </w:rPr>
      </w:pPr>
    </w:p>
    <w:p w:rsidR="006C355C" w:rsidRPr="00BE621E" w:rsidRDefault="00BE7213">
      <w:pPr>
        <w:ind w:right="-1"/>
        <w:jc w:val="both"/>
        <w:rPr>
          <w:rFonts w:ascii="Arial" w:eastAsiaTheme="minorHAnsi" w:hAnsi="Arial" w:cs="Arial"/>
          <w:b/>
          <w:sz w:val="28"/>
          <w:szCs w:val="28"/>
          <w:lang w:val="es-CO" w:eastAsia="en-US"/>
        </w:rPr>
      </w:pPr>
      <w:r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 xml:space="preserve">Artículo </w:t>
      </w:r>
      <w:r w:rsidR="00847F52"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>3</w:t>
      </w:r>
      <w:r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 xml:space="preserve">° </w:t>
      </w:r>
      <w:r w:rsidR="000D68B7"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 xml:space="preserve">Garantía FAG: </w:t>
      </w:r>
      <w:r w:rsidR="000D68B7" w:rsidRPr="00BE621E">
        <w:rPr>
          <w:rFonts w:ascii="Arial" w:eastAsiaTheme="minorHAnsi" w:hAnsi="Arial" w:cs="Arial"/>
          <w:sz w:val="28"/>
          <w:szCs w:val="28"/>
          <w:lang w:val="es-CO" w:eastAsia="en-US"/>
        </w:rPr>
        <w:t>Los créditos que se concedan por esta línea de redescuento tendrán acceso a Garantías del FAG, para lo cual aplicarán las condiciones de cobertura y comisión que se encuentren vigentes según el tipo de productor.</w:t>
      </w:r>
    </w:p>
    <w:p w:rsidR="006C355C" w:rsidRPr="00BE621E" w:rsidRDefault="006C355C">
      <w:pPr>
        <w:ind w:right="-1"/>
        <w:jc w:val="both"/>
        <w:rPr>
          <w:rFonts w:ascii="Arial" w:eastAsiaTheme="minorHAnsi" w:hAnsi="Arial" w:cs="Arial"/>
          <w:b/>
          <w:sz w:val="28"/>
          <w:szCs w:val="28"/>
          <w:lang w:val="es-CO" w:eastAsia="en-US"/>
        </w:rPr>
      </w:pPr>
    </w:p>
    <w:p w:rsidR="006C355C" w:rsidRPr="00BE621E" w:rsidRDefault="00BE7213">
      <w:pPr>
        <w:ind w:right="-1"/>
        <w:jc w:val="both"/>
        <w:rPr>
          <w:rFonts w:ascii="Arial" w:eastAsiaTheme="minorHAnsi" w:hAnsi="Arial" w:cs="Arial"/>
          <w:sz w:val="28"/>
          <w:szCs w:val="28"/>
          <w:lang w:val="es-CO" w:eastAsia="en-US"/>
        </w:rPr>
      </w:pPr>
      <w:r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>Artículo 5°</w:t>
      </w:r>
      <w:r w:rsidR="000D68B7"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>Incentivo a la Capitalización Rural</w:t>
      </w:r>
      <w:r w:rsidR="000D68B7" w:rsidRPr="00BE621E">
        <w:rPr>
          <w:rFonts w:ascii="Arial" w:eastAsiaTheme="minorHAnsi" w:hAnsi="Arial" w:cs="Arial"/>
          <w:sz w:val="28"/>
          <w:szCs w:val="28"/>
          <w:lang w:val="es-CO" w:eastAsia="en-US"/>
        </w:rPr>
        <w:t>: Los proyectos financiados con los créditos de esta línea de redescuento no tendrán acceso al Incentivo a la Capitalización Rural - ICR.</w:t>
      </w:r>
    </w:p>
    <w:p w:rsidR="006C355C" w:rsidRPr="00BE621E" w:rsidRDefault="006C355C">
      <w:pPr>
        <w:ind w:right="72"/>
        <w:jc w:val="both"/>
        <w:rPr>
          <w:rFonts w:ascii="Arial" w:eastAsiaTheme="minorHAnsi" w:hAnsi="Arial" w:cs="Arial"/>
          <w:sz w:val="28"/>
          <w:szCs w:val="28"/>
          <w:lang w:val="es-CO" w:eastAsia="en-US"/>
        </w:rPr>
      </w:pPr>
    </w:p>
    <w:p w:rsidR="006C355C" w:rsidRPr="00BE621E" w:rsidRDefault="00BE7213">
      <w:pPr>
        <w:ind w:right="72"/>
        <w:jc w:val="both"/>
        <w:rPr>
          <w:rFonts w:ascii="Arial" w:eastAsiaTheme="minorHAnsi" w:hAnsi="Arial" w:cs="Arial"/>
          <w:sz w:val="28"/>
          <w:szCs w:val="28"/>
          <w:lang w:val="es-CO" w:eastAsia="en-US"/>
        </w:rPr>
      </w:pPr>
      <w:r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>Artículo 6°</w:t>
      </w:r>
      <w:r w:rsidR="000D68B7" w:rsidRPr="00BE621E">
        <w:rPr>
          <w:rFonts w:ascii="Arial" w:eastAsiaTheme="minorHAnsi" w:hAnsi="Arial" w:cs="Arial"/>
          <w:b/>
          <w:sz w:val="28"/>
          <w:szCs w:val="28"/>
          <w:lang w:val="es-CO" w:eastAsia="en-US"/>
        </w:rPr>
        <w:t>.</w:t>
      </w:r>
      <w:r w:rsidR="000D68B7" w:rsidRPr="00BE621E">
        <w:rPr>
          <w:rFonts w:ascii="Arial" w:eastAsiaTheme="minorHAnsi" w:hAnsi="Arial" w:cs="Arial"/>
          <w:sz w:val="28"/>
          <w:szCs w:val="28"/>
          <w:lang w:val="es-CO" w:eastAsia="en-US"/>
        </w:rPr>
        <w:t xml:space="preserve"> Autorícese a FINAGRO para poner a disposición de los Intermediarios Financieros la Línea   contemplando las condiciones de tasa de interés al beneficiario </w:t>
      </w:r>
      <w:r w:rsidRPr="00BE621E">
        <w:rPr>
          <w:rFonts w:ascii="Arial" w:eastAsiaTheme="minorHAnsi" w:hAnsi="Arial" w:cs="Arial"/>
          <w:sz w:val="28"/>
          <w:szCs w:val="28"/>
          <w:lang w:val="es-CO" w:eastAsia="en-US"/>
        </w:rPr>
        <w:t>co</w:t>
      </w:r>
      <w:r w:rsidR="000D68B7" w:rsidRPr="00BE621E">
        <w:rPr>
          <w:rFonts w:ascii="Arial" w:eastAsiaTheme="minorHAnsi" w:hAnsi="Arial" w:cs="Arial"/>
          <w:sz w:val="28"/>
          <w:szCs w:val="28"/>
          <w:lang w:val="es-CO" w:eastAsia="en-US"/>
        </w:rPr>
        <w:t>n subsidio, en el momento que el MADR asigne los recursos presupuestales pa</w:t>
      </w:r>
      <w:r w:rsidRPr="00BE621E">
        <w:rPr>
          <w:rFonts w:ascii="Arial" w:eastAsiaTheme="minorHAnsi" w:hAnsi="Arial" w:cs="Arial"/>
          <w:sz w:val="28"/>
          <w:szCs w:val="28"/>
          <w:lang w:val="es-CO" w:eastAsia="en-US"/>
        </w:rPr>
        <w:t>ra cubrir el subsidio a la tasa</w:t>
      </w:r>
      <w:r w:rsidR="000D68B7" w:rsidRPr="00BE621E">
        <w:rPr>
          <w:rFonts w:ascii="Arial" w:eastAsiaTheme="minorHAnsi" w:hAnsi="Arial" w:cs="Arial"/>
          <w:sz w:val="28"/>
          <w:szCs w:val="28"/>
          <w:lang w:val="es-CO" w:eastAsia="en-US"/>
        </w:rPr>
        <w:t xml:space="preserve"> </w:t>
      </w:r>
    </w:p>
    <w:p w:rsidR="006C355C" w:rsidRPr="00BE621E" w:rsidRDefault="006C355C">
      <w:pPr>
        <w:pStyle w:val="p2"/>
        <w:spacing w:line="0" w:lineRule="atLeast"/>
        <w:ind w:left="0"/>
        <w:rPr>
          <w:rFonts w:ascii="Arial" w:hAnsi="Arial" w:cs="Arial"/>
          <w:sz w:val="28"/>
          <w:szCs w:val="28"/>
          <w:lang w:val="es-CO"/>
        </w:rPr>
      </w:pPr>
    </w:p>
    <w:p w:rsidR="006C355C" w:rsidRPr="00BE621E" w:rsidRDefault="000D68B7">
      <w:pPr>
        <w:pStyle w:val="p2"/>
        <w:spacing w:line="0" w:lineRule="atLeast"/>
        <w:ind w:left="0"/>
        <w:rPr>
          <w:rFonts w:ascii="Arial" w:hAnsi="Arial" w:cs="Arial"/>
          <w:sz w:val="28"/>
          <w:szCs w:val="28"/>
          <w:lang w:val="es-CO"/>
        </w:rPr>
      </w:pPr>
      <w:r w:rsidRPr="00BE621E">
        <w:rPr>
          <w:rFonts w:ascii="Arial" w:hAnsi="Arial" w:cs="Arial"/>
          <w:b/>
          <w:sz w:val="28"/>
          <w:szCs w:val="28"/>
          <w:lang w:val="es-CO"/>
        </w:rPr>
        <w:t xml:space="preserve">Artículo </w:t>
      </w:r>
      <w:r w:rsidR="00BE7213" w:rsidRPr="00BE621E">
        <w:rPr>
          <w:rFonts w:ascii="Arial" w:hAnsi="Arial" w:cs="Arial"/>
          <w:b/>
          <w:sz w:val="28"/>
          <w:szCs w:val="28"/>
          <w:lang w:val="es-CO"/>
        </w:rPr>
        <w:t>7</w:t>
      </w:r>
      <w:r w:rsidRPr="00BE621E">
        <w:rPr>
          <w:rFonts w:ascii="Arial" w:hAnsi="Arial" w:cs="Arial"/>
          <w:b/>
          <w:sz w:val="28"/>
          <w:szCs w:val="28"/>
          <w:lang w:val="es-CO"/>
        </w:rPr>
        <w:t>°.</w:t>
      </w:r>
      <w:r w:rsidRPr="00BE621E">
        <w:rPr>
          <w:rFonts w:ascii="Arial" w:hAnsi="Arial" w:cs="Arial"/>
          <w:sz w:val="28"/>
          <w:szCs w:val="28"/>
          <w:lang w:val="es-CO"/>
        </w:rPr>
        <w:t xml:space="preserve"> FINAGRO deberá adoptar las medidas necesarias que procuren la debida operatividad de lo dispuesto en la presente Resolución y expedir la Circular Reglamentaria respectiva.</w:t>
      </w:r>
    </w:p>
    <w:p w:rsidR="006C355C" w:rsidRPr="00BE621E" w:rsidRDefault="006C355C">
      <w:pPr>
        <w:pStyle w:val="p2"/>
        <w:spacing w:line="0" w:lineRule="atLeast"/>
        <w:ind w:left="0"/>
        <w:rPr>
          <w:rFonts w:ascii="Arial" w:hAnsi="Arial" w:cs="Arial"/>
          <w:sz w:val="28"/>
          <w:szCs w:val="28"/>
          <w:lang w:val="es-ES"/>
        </w:rPr>
      </w:pPr>
    </w:p>
    <w:p w:rsidR="006C355C" w:rsidRPr="00BE621E" w:rsidRDefault="000D68B7">
      <w:pPr>
        <w:pStyle w:val="p2"/>
        <w:spacing w:line="0" w:lineRule="atLeast"/>
        <w:ind w:left="0"/>
        <w:rPr>
          <w:rFonts w:ascii="Arial" w:hAnsi="Arial" w:cs="Arial"/>
          <w:sz w:val="28"/>
          <w:szCs w:val="28"/>
          <w:lang w:val="es-ES"/>
        </w:rPr>
      </w:pPr>
      <w:r w:rsidRPr="00BE621E">
        <w:rPr>
          <w:rFonts w:ascii="Arial" w:hAnsi="Arial" w:cs="Arial"/>
          <w:b/>
          <w:sz w:val="28"/>
          <w:szCs w:val="28"/>
          <w:lang w:val="es-ES"/>
        </w:rPr>
        <w:t xml:space="preserve">Artículo </w:t>
      </w:r>
      <w:r w:rsidR="00BE7213" w:rsidRPr="00BE621E">
        <w:rPr>
          <w:rFonts w:ascii="Arial" w:hAnsi="Arial" w:cs="Arial"/>
          <w:b/>
          <w:sz w:val="28"/>
          <w:szCs w:val="28"/>
          <w:lang w:val="es-ES"/>
        </w:rPr>
        <w:t>8</w:t>
      </w:r>
      <w:r w:rsidRPr="00BE621E">
        <w:rPr>
          <w:rFonts w:ascii="Arial" w:hAnsi="Arial" w:cs="Arial"/>
          <w:b/>
          <w:sz w:val="28"/>
          <w:szCs w:val="28"/>
          <w:lang w:val="es-ES"/>
        </w:rPr>
        <w:t xml:space="preserve">°. </w:t>
      </w:r>
      <w:r w:rsidRPr="00BE621E">
        <w:rPr>
          <w:rFonts w:ascii="Arial" w:hAnsi="Arial" w:cs="Arial"/>
          <w:sz w:val="28"/>
          <w:szCs w:val="28"/>
          <w:lang w:val="es-CO"/>
        </w:rPr>
        <w:t xml:space="preserve">La presente resolución rige a partir de la fecha de su publicación en el Diario Oficial, pero sus efectos aplicarán a partir de la fecha </w:t>
      </w:r>
      <w:r w:rsidRPr="00BE621E">
        <w:rPr>
          <w:rFonts w:ascii="Arial" w:hAnsi="Arial" w:cs="Arial"/>
          <w:sz w:val="28"/>
          <w:szCs w:val="28"/>
          <w:lang w:val="es-ES"/>
        </w:rPr>
        <w:t>en la que FINAGRO disponga de los recursos presupuestales y expida la Circular Reglamentaria respectiva.</w:t>
      </w:r>
    </w:p>
    <w:p w:rsidR="006C355C" w:rsidRPr="00BE621E" w:rsidRDefault="006C355C">
      <w:pPr>
        <w:pStyle w:val="p2"/>
        <w:spacing w:line="0" w:lineRule="atLeast"/>
        <w:ind w:left="0"/>
        <w:rPr>
          <w:rFonts w:ascii="Arial" w:hAnsi="Arial" w:cs="Arial"/>
          <w:sz w:val="28"/>
          <w:szCs w:val="28"/>
          <w:lang w:val="es-ES"/>
        </w:rPr>
      </w:pPr>
    </w:p>
    <w:p w:rsidR="006C355C" w:rsidRPr="00BE621E" w:rsidRDefault="006C355C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8"/>
          <w:szCs w:val="28"/>
        </w:rPr>
      </w:pPr>
      <w:r w:rsidRPr="00BE621E">
        <w:rPr>
          <w:rFonts w:ascii="Arial" w:hAnsi="Arial" w:cs="Arial"/>
          <w:sz w:val="28"/>
          <w:szCs w:val="28"/>
        </w:rPr>
        <w:t xml:space="preserve">Dada en Bogotá D.C., </w:t>
      </w:r>
    </w:p>
    <w:p w:rsidR="006C355C" w:rsidRPr="00BE621E" w:rsidRDefault="006C355C">
      <w:pPr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6C355C">
      <w:pPr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6C355C">
      <w:pPr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6C355C">
      <w:pPr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6C355C">
      <w:pPr>
        <w:jc w:val="both"/>
        <w:rPr>
          <w:rFonts w:ascii="Arial" w:hAnsi="Arial" w:cs="Arial"/>
          <w:sz w:val="28"/>
          <w:szCs w:val="28"/>
        </w:rPr>
      </w:pPr>
    </w:p>
    <w:p w:rsidR="006C355C" w:rsidRPr="00BE621E" w:rsidRDefault="000D68B7">
      <w:pPr>
        <w:spacing w:line="0" w:lineRule="atLeast"/>
        <w:jc w:val="both"/>
        <w:rPr>
          <w:rFonts w:ascii="Arial" w:hAnsi="Arial" w:cs="Arial"/>
          <w:bCs/>
        </w:rPr>
      </w:pPr>
      <w:r w:rsidRPr="00BE621E">
        <w:rPr>
          <w:rFonts w:ascii="Arial" w:hAnsi="Arial" w:cs="Arial"/>
          <w:b/>
          <w:bCs/>
        </w:rPr>
        <w:t>SAMUEL ZAMBRANO CANIZALES</w:t>
      </w:r>
      <w:r w:rsidRPr="00BE621E">
        <w:rPr>
          <w:rFonts w:ascii="Arial" w:hAnsi="Arial" w:cs="Arial"/>
          <w:b/>
          <w:bCs/>
        </w:rPr>
        <w:tab/>
        <w:t>JULIO ENRIQUE CORZO ORTEGA</w:t>
      </w:r>
    </w:p>
    <w:p w:rsidR="006C355C" w:rsidRPr="00BE621E" w:rsidRDefault="000D68B7">
      <w:pPr>
        <w:spacing w:line="0" w:lineRule="atLeast"/>
        <w:jc w:val="both"/>
        <w:rPr>
          <w:rFonts w:ascii="Arial" w:hAnsi="Arial" w:cs="Arial"/>
          <w:bCs/>
        </w:rPr>
      </w:pPr>
      <w:r w:rsidRPr="00BE621E">
        <w:rPr>
          <w:rFonts w:ascii="Arial" w:hAnsi="Arial" w:cs="Arial"/>
          <w:bCs/>
        </w:rPr>
        <w:t>Presidente</w:t>
      </w:r>
      <w:r w:rsidRPr="00BE621E">
        <w:rPr>
          <w:rFonts w:ascii="Arial" w:hAnsi="Arial" w:cs="Arial"/>
          <w:bCs/>
        </w:rPr>
        <w:tab/>
      </w:r>
      <w:r w:rsidRPr="00BE621E">
        <w:rPr>
          <w:rFonts w:ascii="Arial" w:hAnsi="Arial" w:cs="Arial"/>
          <w:bCs/>
        </w:rPr>
        <w:tab/>
      </w:r>
      <w:r w:rsidRPr="00BE621E">
        <w:rPr>
          <w:rFonts w:ascii="Arial" w:hAnsi="Arial" w:cs="Arial"/>
          <w:bCs/>
        </w:rPr>
        <w:tab/>
      </w:r>
      <w:r w:rsidRPr="00BE621E">
        <w:rPr>
          <w:rFonts w:ascii="Arial" w:hAnsi="Arial" w:cs="Arial"/>
          <w:bCs/>
        </w:rPr>
        <w:tab/>
      </w:r>
      <w:r w:rsidRPr="00BE621E">
        <w:rPr>
          <w:rFonts w:ascii="Arial" w:hAnsi="Arial" w:cs="Arial"/>
          <w:bCs/>
        </w:rPr>
        <w:tab/>
        <w:t xml:space="preserve"> Secretario Técnico </w:t>
      </w:r>
      <w:r w:rsidR="00BE7213" w:rsidRPr="00BE621E">
        <w:rPr>
          <w:rFonts w:ascii="Arial" w:hAnsi="Arial" w:cs="Arial"/>
          <w:bCs/>
        </w:rPr>
        <w:t xml:space="preserve">(e) </w:t>
      </w:r>
    </w:p>
    <w:p w:rsidR="006C355C" w:rsidRPr="00BE621E" w:rsidRDefault="006C355C">
      <w:pPr>
        <w:spacing w:line="0" w:lineRule="atLeast"/>
        <w:jc w:val="both"/>
        <w:rPr>
          <w:rFonts w:ascii="Arial" w:hAnsi="Arial" w:cs="Arial"/>
          <w:bCs/>
        </w:rPr>
      </w:pPr>
    </w:p>
    <w:p w:rsidR="006C355C" w:rsidRPr="00BE621E" w:rsidRDefault="006C355C">
      <w:pPr>
        <w:spacing w:line="0" w:lineRule="atLeast"/>
        <w:jc w:val="both"/>
        <w:rPr>
          <w:rFonts w:ascii="Arial" w:hAnsi="Arial" w:cs="Arial"/>
          <w:bCs/>
          <w:sz w:val="28"/>
          <w:szCs w:val="28"/>
        </w:rPr>
      </w:pPr>
    </w:p>
    <w:p w:rsidR="006C355C" w:rsidRPr="00BE621E" w:rsidRDefault="006C355C">
      <w:pPr>
        <w:spacing w:line="0" w:lineRule="atLeast"/>
        <w:jc w:val="both"/>
        <w:rPr>
          <w:rFonts w:ascii="Arial" w:hAnsi="Arial" w:cs="Arial"/>
          <w:bCs/>
          <w:sz w:val="28"/>
          <w:szCs w:val="28"/>
        </w:rPr>
      </w:pPr>
    </w:p>
    <w:sectPr w:rsidR="006C355C" w:rsidRPr="00BE621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340" w:rsidRDefault="00150340">
      <w:r>
        <w:separator/>
      </w:r>
    </w:p>
  </w:endnote>
  <w:endnote w:type="continuationSeparator" w:id="0">
    <w:p w:rsidR="00150340" w:rsidRDefault="0015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340" w:rsidRDefault="00150340">
      <w:r>
        <w:separator/>
      </w:r>
    </w:p>
  </w:footnote>
  <w:footnote w:type="continuationSeparator" w:id="0">
    <w:p w:rsidR="00150340" w:rsidRDefault="0015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D7"/>
    <w:multiLevelType w:val="hybridMultilevel"/>
    <w:tmpl w:val="A8FC80B8"/>
    <w:lvl w:ilvl="0" w:tplc="8DD00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0258"/>
    <w:multiLevelType w:val="hybridMultilevel"/>
    <w:tmpl w:val="5978CFC8"/>
    <w:lvl w:ilvl="0" w:tplc="5052E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5C0"/>
    <w:multiLevelType w:val="hybridMultilevel"/>
    <w:tmpl w:val="38D84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184"/>
    <w:multiLevelType w:val="hybridMultilevel"/>
    <w:tmpl w:val="147888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1C1B"/>
    <w:multiLevelType w:val="hybridMultilevel"/>
    <w:tmpl w:val="C5747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2B02"/>
    <w:multiLevelType w:val="hybridMultilevel"/>
    <w:tmpl w:val="4FFE27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10C9"/>
    <w:multiLevelType w:val="hybridMultilevel"/>
    <w:tmpl w:val="54800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D19"/>
    <w:multiLevelType w:val="hybridMultilevel"/>
    <w:tmpl w:val="F31AB0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C4303"/>
    <w:multiLevelType w:val="hybridMultilevel"/>
    <w:tmpl w:val="BFD4BB3A"/>
    <w:lvl w:ilvl="0" w:tplc="49220E3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501BB"/>
    <w:multiLevelType w:val="hybridMultilevel"/>
    <w:tmpl w:val="B5FE7E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F5407"/>
    <w:multiLevelType w:val="hybridMultilevel"/>
    <w:tmpl w:val="29527796"/>
    <w:lvl w:ilvl="0" w:tplc="708E6D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4CD0"/>
    <w:multiLevelType w:val="hybridMultilevel"/>
    <w:tmpl w:val="A6EC22A8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B07"/>
    <w:multiLevelType w:val="hybridMultilevel"/>
    <w:tmpl w:val="5704A1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D2C642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C7"/>
    <w:multiLevelType w:val="hybridMultilevel"/>
    <w:tmpl w:val="DDE40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072B"/>
    <w:multiLevelType w:val="hybridMultilevel"/>
    <w:tmpl w:val="B1F223CE"/>
    <w:lvl w:ilvl="0" w:tplc="D04A64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6D22"/>
    <w:multiLevelType w:val="hybridMultilevel"/>
    <w:tmpl w:val="044C15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96E3D"/>
    <w:multiLevelType w:val="hybridMultilevel"/>
    <w:tmpl w:val="D02C9CD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15C3"/>
    <w:multiLevelType w:val="hybridMultilevel"/>
    <w:tmpl w:val="69EC0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9514B"/>
    <w:multiLevelType w:val="hybridMultilevel"/>
    <w:tmpl w:val="9C96B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B7728"/>
    <w:multiLevelType w:val="hybridMultilevel"/>
    <w:tmpl w:val="3AE00E54"/>
    <w:lvl w:ilvl="0" w:tplc="AF34E9F6">
      <w:start w:val="1"/>
      <w:numFmt w:val="bullet"/>
      <w:lvlText w:val="-"/>
      <w:lvlJc w:val="left"/>
      <w:pPr>
        <w:ind w:left="1474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 w15:restartNumberingAfterBreak="0">
    <w:nsid w:val="7B6769EF"/>
    <w:multiLevelType w:val="hybridMultilevel"/>
    <w:tmpl w:val="A10006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5"/>
  </w:num>
  <w:num w:numId="10">
    <w:abstractNumId w:val="18"/>
  </w:num>
  <w:num w:numId="11">
    <w:abstractNumId w:val="4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6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C"/>
    <w:rsid w:val="000D68B7"/>
    <w:rsid w:val="00150340"/>
    <w:rsid w:val="006731FA"/>
    <w:rsid w:val="006C355C"/>
    <w:rsid w:val="00700E67"/>
    <w:rsid w:val="00847F52"/>
    <w:rsid w:val="008F6A6C"/>
    <w:rsid w:val="00925D47"/>
    <w:rsid w:val="00BE621E"/>
    <w:rsid w:val="00BE7213"/>
    <w:rsid w:val="00CF3EFD"/>
    <w:rsid w:val="00D77318"/>
    <w:rsid w:val="00E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71B4"/>
  <w15:docId w15:val="{EACA3A42-8F3C-41E9-A75A-D9562A2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left="1620" w:hanging="204"/>
      <w:jc w:val="both"/>
    </w:pPr>
    <w:rPr>
      <w:rFonts w:ascii="Arial" w:hAnsi="Arial"/>
    </w:rPr>
  </w:style>
  <w:style w:type="paragraph" w:customStyle="1" w:styleId="c5">
    <w:name w:val="c5"/>
    <w:basedOn w:val="Normal"/>
    <w:pPr>
      <w:autoSpaceDE w:val="0"/>
      <w:autoSpaceDN w:val="0"/>
      <w:spacing w:line="240" w:lineRule="atLeast"/>
      <w:jc w:val="center"/>
    </w:p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c4">
    <w:name w:val="c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6">
    <w:name w:val="p6"/>
    <w:basedOn w:val="Normal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lang w:val="en-US"/>
    </w:rPr>
  </w:style>
  <w:style w:type="paragraph" w:customStyle="1" w:styleId="p2">
    <w:name w:val="p2"/>
    <w:basedOn w:val="Normal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paragraph" w:customStyle="1" w:styleId="p1">
    <w:name w:val="p1"/>
    <w:basedOn w:val="Normal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customStyle="1" w:styleId="p7">
    <w:name w:val="p7"/>
    <w:basedOn w:val="Normal"/>
    <w:pPr>
      <w:widowControl w:val="0"/>
      <w:tabs>
        <w:tab w:val="left" w:pos="1286"/>
      </w:tabs>
      <w:autoSpaceDE w:val="0"/>
      <w:autoSpaceDN w:val="0"/>
      <w:adjustRightInd w:val="0"/>
      <w:spacing w:line="260" w:lineRule="atLeast"/>
      <w:ind w:left="176"/>
    </w:pPr>
    <w:rPr>
      <w:lang w:val="en-US"/>
    </w:rPr>
  </w:style>
  <w:style w:type="paragraph" w:customStyle="1" w:styleId="p5">
    <w:name w:val="p5"/>
    <w:basedOn w:val="Normal"/>
    <w:pPr>
      <w:widowControl w:val="0"/>
      <w:tabs>
        <w:tab w:val="left" w:pos="328"/>
        <w:tab w:val="left" w:pos="668"/>
      </w:tabs>
      <w:autoSpaceDE w:val="0"/>
      <w:autoSpaceDN w:val="0"/>
      <w:adjustRightInd w:val="0"/>
      <w:spacing w:line="260" w:lineRule="atLeast"/>
      <w:ind w:left="617" w:hanging="340"/>
    </w:pPr>
    <w:rPr>
      <w:lang w:val="en-US"/>
    </w:rPr>
  </w:style>
  <w:style w:type="paragraph" w:customStyle="1" w:styleId="p11">
    <w:name w:val="p11"/>
    <w:basedOn w:val="Normal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Textosinformato">
    <w:name w:val="Plain Text"/>
    <w:basedOn w:val="Normal"/>
    <w:rPr>
      <w:rFonts w:ascii="Arial" w:hAnsi="Arial" w:cs="Arial"/>
    </w:rPr>
  </w:style>
  <w:style w:type="paragraph" w:styleId="Prrafodelista">
    <w:name w:val="List Paragraph"/>
    <w:aliases w:val="Segundo nivel de viñetas"/>
    <w:basedOn w:val="Normal"/>
    <w:uiPriority w:val="34"/>
    <w:qFormat/>
    <w:pPr>
      <w:ind w:left="720"/>
      <w:contextualSpacing/>
    </w:pPr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Pr>
      <w:lang w:val="es-ES" w:eastAsia="es-ES"/>
    </w:rPr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extosinformato1">
    <w:name w:val="Texto sin formato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CO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link w:val="Asuntodelcomentario"/>
    <w:rPr>
      <w:b/>
      <w:bCs/>
      <w:lang w:val="es-ES" w:eastAsia="es-ES"/>
    </w:rPr>
  </w:style>
  <w:style w:type="table" w:styleId="Tablaconcuadrcula">
    <w:name w:val="Table Grid"/>
    <w:basedOn w:val="Tabla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adelista6concolores-nfasis61">
    <w:name w:val="Tabla de lista 6 con colores - Énfasis 61"/>
    <w:basedOn w:val="Tablanormal"/>
    <w:uiPriority w:val="51"/>
    <w:rPr>
      <w:rFonts w:asciiTheme="minorHAnsi" w:eastAsiaTheme="minorHAnsi" w:hAnsiTheme="minorHAnsi" w:cstheme="minorBid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5B9BD5" w:themeColor="accent1"/>
      <w:sz w:val="18"/>
      <w:szCs w:val="18"/>
      <w:lang w:val="es-CO"/>
    </w:rPr>
  </w:style>
  <w:style w:type="paragraph" w:styleId="Revisin">
    <w:name w:val="Revision"/>
    <w:hidden/>
    <w:uiPriority w:val="99"/>
    <w:semiHidden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pPr>
      <w:spacing w:before="360"/>
    </w:pPr>
    <w:rPr>
      <w:rFonts w:asciiTheme="majorHAnsi" w:eastAsiaTheme="minorEastAsia" w:hAnsiTheme="majorHAnsi" w:cstheme="minorBidi"/>
      <w:b/>
      <w:caps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pPr>
      <w:spacing w:before="240"/>
    </w:pPr>
    <w:rPr>
      <w:rFonts w:asciiTheme="minorHAnsi" w:eastAsiaTheme="minorEastAsia" w:hAnsiTheme="minorHAnsi" w:cstheme="minorBidi"/>
      <w:b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pPr>
      <w:ind w:left="24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pPr>
      <w:ind w:left="48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5">
    <w:name w:val="toc 5"/>
    <w:basedOn w:val="Normal"/>
    <w:next w:val="Normal"/>
    <w:autoRedefine/>
    <w:uiPriority w:val="39"/>
    <w:unhideWhenUsed/>
    <w:pPr>
      <w:ind w:left="72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6">
    <w:name w:val="toc 6"/>
    <w:basedOn w:val="Normal"/>
    <w:next w:val="Normal"/>
    <w:autoRedefine/>
    <w:uiPriority w:val="39"/>
    <w:unhideWhenUsed/>
    <w:pPr>
      <w:ind w:left="96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7">
    <w:name w:val="toc 7"/>
    <w:basedOn w:val="Normal"/>
    <w:next w:val="Normal"/>
    <w:autoRedefine/>
    <w:uiPriority w:val="39"/>
    <w:unhideWhenUsed/>
    <w:pPr>
      <w:ind w:left="120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8">
    <w:name w:val="toc 8"/>
    <w:basedOn w:val="Normal"/>
    <w:next w:val="Normal"/>
    <w:autoRedefine/>
    <w:uiPriority w:val="39"/>
    <w:unhideWhenUsed/>
    <w:pPr>
      <w:ind w:left="144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9">
    <w:name w:val="toc 9"/>
    <w:basedOn w:val="Normal"/>
    <w:next w:val="Normal"/>
    <w:autoRedefine/>
    <w:uiPriority w:val="39"/>
    <w:unhideWhenUsed/>
    <w:pPr>
      <w:ind w:left="168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Pr>
      <w:rFonts w:asciiTheme="minorHAnsi" w:eastAsiaTheme="minorEastAsia" w:hAnsiTheme="minorHAnsi" w:cstheme="minorBidi"/>
      <w:i/>
      <w:sz w:val="20"/>
      <w:szCs w:val="20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Pr>
      <w:rFonts w:asciiTheme="minorHAnsi" w:eastAsiaTheme="minorEastAsia" w:hAnsiTheme="minorHAnsi" w:cstheme="minorBidi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hAnsi="Arial" w:cs="Arial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uiPriority w:val="99"/>
    <w:pPr>
      <w:spacing w:line="278" w:lineRule="atLeast"/>
    </w:pPr>
    <w:rPr>
      <w:rFonts w:eastAsiaTheme="minorHAnsi"/>
      <w:color w:val="auto"/>
      <w:lang w:eastAsia="en-US"/>
    </w:rPr>
  </w:style>
  <w:style w:type="character" w:styleId="nfasis">
    <w:name w:val="Emphasis"/>
    <w:basedOn w:val="Fuentedeprrafopredeter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ICA13</b:Tag>
    <b:SourceType>Book</b:SourceType>
    <b:Guid>{143754DB-7512-A644-9B02-1521B8EE8769}</b:Guid>
    <b:Title>Cost of production of raw cotton</b:Title>
    <b:Year>2013</b:Year>
    <b:Author>
      <b:Author>
        <b:Corporate>ICAC</b:Corporate>
      </b:Author>
    </b:Author>
    <b:RefOrder>1</b:RefOrder>
  </b:Source>
  <b:Source>
    <b:Tag>Con14</b:Tag>
    <b:SourceType>Report</b:SourceType>
    <b:Guid>{A6C605F4-7EF7-F04D-B398-04EC6EF0BC35}</b:Guid>
    <b:Author>
      <b:Author>
        <b:Corporate>Conalgodón</b:Corporate>
      </b:Author>
    </b:Author>
    <b:Title>Política de ingresos y competitividad para el algodón 2016-2025</b:Title>
    <b:ThesisType>Memorando</b:ThesisType>
    <b:Year>Octubre 30 de  2014</b:Year>
    <b:RefOrder>2</b:RefOrder>
  </b:Source>
  <b:Source>
    <b:Tag>CON15</b:Tag>
    <b:SourceType>Report</b:SourceType>
    <b:Guid>{3FB6F917-A17B-C044-A2E1-D873109A9EBD}</b:Guid>
    <b:Author>
      <b:Author>
        <b:Corporate>Conalgodón</b:Corporate>
      </b:Author>
    </b:Author>
    <b:Title>Comunicación E-CON-2201</b:Title>
    <b:Year>Marzo 20 de 2015</b:Year>
    <b:ThesisType>Carta</b:ThesisType>
    <b:RefOrder>3</b:RefOrder>
  </b:Source>
  <b:Source>
    <b:Tag>Sam</b:Tag>
    <b:SourceType>Book</b:SourceType>
    <b:Guid>{99AE7933-EFB5-A549-85D0-3DBE1430ED44}</b:Guid>
    <b:Author>
      <b:Author>
        <b:NameList>
          <b:Person>
            <b:Last>Samacá</b:Last>
            <b:First>Henry</b:First>
          </b:Person>
        </b:NameList>
      </b:Author>
    </b:Author>
    <b:Title>Plan de acción para mejorar la competitividad de las zonas algodoneras o para facilitar su reconversión productiva. Informe final del contrato DJ-005-14</b:Title>
    <b:Year>julio 2014</b:Year>
    <b:RefOrder>4</b:RefOrder>
  </b:Source>
</b:Sources>
</file>

<file path=customXml/itemProps1.xml><?xml version="1.0" encoding="utf-8"?>
<ds:datastoreItem xmlns:ds="http://schemas.openxmlformats.org/officeDocument/2006/customXml" ds:itemID="{78D13149-9F91-4953-AB74-347CBD7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COLOMBIA</vt:lpstr>
    </vt:vector>
  </TitlesOfParts>
  <Company>FINAGRO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COLOMBIA</dc:title>
  <dc:creator>lmorales</dc:creator>
  <cp:lastModifiedBy>Julio Enrique Corzo Ortega</cp:lastModifiedBy>
  <cp:revision>2</cp:revision>
  <cp:lastPrinted>2016-01-15T22:14:00Z</cp:lastPrinted>
  <dcterms:created xsi:type="dcterms:W3CDTF">2018-06-28T23:29:00Z</dcterms:created>
  <dcterms:modified xsi:type="dcterms:W3CDTF">2018-06-28T23:29:00Z</dcterms:modified>
</cp:coreProperties>
</file>