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8" w:rsidRPr="00EB309F" w:rsidRDefault="00D86CD8" w:rsidP="00D86CD8">
      <w:pPr>
        <w:pStyle w:val="Ttulo1"/>
        <w:spacing w:before="75"/>
        <w:ind w:left="0" w:right="81"/>
      </w:pPr>
      <w:bookmarkStart w:id="0" w:name="_GoBack"/>
      <w:bookmarkEnd w:id="0"/>
      <w:r w:rsidRPr="00EB309F">
        <w:t>REPÚBLICA DE</w:t>
      </w:r>
      <w:r w:rsidRPr="00EB309F">
        <w:rPr>
          <w:spacing w:val="-5"/>
        </w:rPr>
        <w:t xml:space="preserve"> </w:t>
      </w:r>
      <w:r w:rsidRPr="00EB309F">
        <w:t>COLOMBIA</w:t>
      </w:r>
    </w:p>
    <w:p w:rsidR="00D86CD8" w:rsidRPr="00EB309F" w:rsidRDefault="00D86CD8" w:rsidP="00D86CD8">
      <w:pPr>
        <w:pStyle w:val="Textoindependiente"/>
        <w:spacing w:before="1"/>
        <w:ind w:right="81"/>
        <w:rPr>
          <w:b/>
        </w:rPr>
      </w:pPr>
    </w:p>
    <w:p w:rsidR="00D86CD8" w:rsidRPr="00EB309F" w:rsidRDefault="00D86CD8" w:rsidP="00D86CD8">
      <w:pPr>
        <w:spacing w:line="477" w:lineRule="auto"/>
        <w:ind w:right="81"/>
        <w:jc w:val="center"/>
        <w:rPr>
          <w:b/>
        </w:rPr>
      </w:pPr>
      <w:r w:rsidRPr="00EB309F">
        <w:rPr>
          <w:b/>
        </w:rPr>
        <w:t>COMISIÓN NACIONAL DE CRÉDITO</w:t>
      </w:r>
      <w:r w:rsidRPr="00EB309F">
        <w:rPr>
          <w:b/>
          <w:spacing w:val="-23"/>
        </w:rPr>
        <w:t xml:space="preserve"> </w:t>
      </w:r>
      <w:r w:rsidRPr="00EB309F">
        <w:rPr>
          <w:b/>
        </w:rPr>
        <w:t xml:space="preserve">AGROPECUARIO </w:t>
      </w:r>
    </w:p>
    <w:p w:rsidR="00D86CD8" w:rsidRPr="00EB309F" w:rsidRDefault="00D86CD8" w:rsidP="00D86CD8">
      <w:pPr>
        <w:spacing w:line="276" w:lineRule="auto"/>
        <w:ind w:right="81"/>
        <w:jc w:val="center"/>
        <w:rPr>
          <w:b/>
        </w:rPr>
      </w:pPr>
      <w:r w:rsidRPr="00EB309F">
        <w:rPr>
          <w:b/>
        </w:rPr>
        <w:t>RESOLUCIÓN No. ___ de</w:t>
      </w:r>
      <w:r w:rsidRPr="00EB309F">
        <w:rPr>
          <w:b/>
          <w:spacing w:val="-7"/>
        </w:rPr>
        <w:t xml:space="preserve"> </w:t>
      </w:r>
      <w:r w:rsidRPr="00EB309F">
        <w:rPr>
          <w:b/>
        </w:rPr>
        <w:t>2019</w:t>
      </w:r>
    </w:p>
    <w:p w:rsidR="00D86CD8" w:rsidRPr="00EB309F" w:rsidRDefault="00D86CD8" w:rsidP="00D86CD8">
      <w:pPr>
        <w:spacing w:line="276" w:lineRule="auto"/>
        <w:ind w:right="81"/>
        <w:jc w:val="center"/>
        <w:rPr>
          <w:b/>
        </w:rPr>
      </w:pPr>
      <w:r w:rsidRPr="00EB309F">
        <w:rPr>
          <w:b/>
        </w:rPr>
        <w:t>(Junio _)</w:t>
      </w:r>
    </w:p>
    <w:p w:rsidR="00D86CD8" w:rsidRPr="00EB309F" w:rsidRDefault="00D86CD8" w:rsidP="00D86CD8">
      <w:pPr>
        <w:pStyle w:val="Textoindependiente"/>
        <w:spacing w:before="7"/>
        <w:ind w:right="81"/>
        <w:rPr>
          <w:b/>
        </w:rPr>
      </w:pPr>
    </w:p>
    <w:p w:rsidR="00D86CD8" w:rsidRPr="00EB309F" w:rsidRDefault="00D86CD8" w:rsidP="00D86CD8">
      <w:pPr>
        <w:pStyle w:val="Textoindependiente"/>
        <w:ind w:right="81"/>
        <w:jc w:val="center"/>
      </w:pPr>
      <w:r w:rsidRPr="00EB309F">
        <w:t>"Por la cual se modifica la Resolución No. 12 de 2018 “Por la cual se establece el Plan Anual de ICR y LEC para el año 2019 y otras disposiciones”</w:t>
      </w:r>
    </w:p>
    <w:p w:rsidR="00D86CD8" w:rsidRPr="00EB309F" w:rsidRDefault="00D86CD8" w:rsidP="004F072C">
      <w:pPr>
        <w:pStyle w:val="Textoindependiente"/>
        <w:spacing w:before="10" w:line="120" w:lineRule="auto"/>
        <w:ind w:right="81"/>
      </w:pPr>
    </w:p>
    <w:p w:rsidR="00D86CD8" w:rsidRPr="00EB309F" w:rsidRDefault="00D86CD8" w:rsidP="00D86CD8">
      <w:pPr>
        <w:pStyle w:val="Ttulo1"/>
        <w:ind w:left="0" w:right="81"/>
      </w:pPr>
    </w:p>
    <w:p w:rsidR="00D86CD8" w:rsidRPr="00EB309F" w:rsidRDefault="00D86CD8" w:rsidP="00D86CD8">
      <w:pPr>
        <w:pStyle w:val="Ttulo1"/>
        <w:ind w:left="0" w:right="81"/>
      </w:pPr>
      <w:r w:rsidRPr="00EB309F">
        <w:t>LA COMISIÓN NACIONAL DE CRÉDITO AGROPECUARIO</w:t>
      </w:r>
    </w:p>
    <w:p w:rsidR="00D86CD8" w:rsidRPr="00EB309F" w:rsidRDefault="00D86CD8" w:rsidP="00D86CD8">
      <w:pPr>
        <w:pStyle w:val="Textoindependiente"/>
        <w:ind w:right="81"/>
        <w:rPr>
          <w:b/>
        </w:rPr>
      </w:pPr>
    </w:p>
    <w:p w:rsidR="00D86CD8" w:rsidRPr="00EB309F" w:rsidRDefault="00D86CD8" w:rsidP="00D86CD8">
      <w:pPr>
        <w:pStyle w:val="Textoindependiente"/>
        <w:ind w:right="81"/>
        <w:jc w:val="both"/>
      </w:pPr>
      <w:r w:rsidRPr="00EB309F">
        <w:t>En ejercicio de las facultades conferidas por los artículos 218 y 220 del Estatuto Orgánico del Sistema Financiero, las Leyes 16 de 1990, 1133 de 2007, el Decreto Ley 2371 de 2015, y el Decreto 1313 de 1990, y</w:t>
      </w:r>
    </w:p>
    <w:p w:rsidR="00D86CD8" w:rsidRPr="00EB309F" w:rsidRDefault="00D86CD8" w:rsidP="004F072C">
      <w:pPr>
        <w:pStyle w:val="Textoindependiente"/>
        <w:spacing w:line="120" w:lineRule="auto"/>
        <w:ind w:right="81"/>
        <w:jc w:val="center"/>
      </w:pPr>
      <w:r w:rsidRPr="00EB309F">
        <w:t xml:space="preserve"> </w:t>
      </w:r>
    </w:p>
    <w:p w:rsidR="00D86CD8" w:rsidRPr="00EB309F" w:rsidRDefault="00D86CD8" w:rsidP="00D86CD8">
      <w:pPr>
        <w:pStyle w:val="Ttulo1"/>
        <w:ind w:left="0" w:right="81"/>
      </w:pPr>
      <w:r w:rsidRPr="00EB309F">
        <w:t>CONSIDERANDO</w:t>
      </w:r>
    </w:p>
    <w:p w:rsidR="00D86CD8" w:rsidRPr="00EB309F" w:rsidRDefault="00D86CD8" w:rsidP="004F072C">
      <w:pPr>
        <w:pStyle w:val="Textoindependiente"/>
        <w:spacing w:before="3" w:line="120" w:lineRule="auto"/>
        <w:ind w:right="79"/>
        <w:rPr>
          <w:b/>
        </w:rPr>
      </w:pPr>
    </w:p>
    <w:p w:rsidR="00D86CD8" w:rsidRPr="00EB309F" w:rsidRDefault="00D86CD8" w:rsidP="00D86CD8">
      <w:pPr>
        <w:ind w:right="81"/>
        <w:jc w:val="both"/>
      </w:pPr>
      <w:r w:rsidRPr="00EB309F">
        <w:rPr>
          <w:b/>
        </w:rPr>
        <w:t>Primero</w:t>
      </w:r>
      <w:r w:rsidRPr="00EB309F">
        <w:t>. Que de acuerdo con lo dispuesto en el literal n), numeral 2. del artículo 218 del Estatuto Orgánico del Sistema Financiero, modificado por el artículo 2</w:t>
      </w:r>
      <w:r w:rsidR="00A73453">
        <w:t>o.</w:t>
      </w:r>
      <w:r w:rsidRPr="00EB309F">
        <w:t xml:space="preserve"> del Decreto Ley 2371 de 2015, la Comisión Nacional de Crédito Agropecuario -CNCA, podrá:</w:t>
      </w:r>
    </w:p>
    <w:p w:rsidR="00D86CD8" w:rsidRPr="00EB309F" w:rsidRDefault="00D86CD8" w:rsidP="00D86CD8">
      <w:pPr>
        <w:spacing w:before="183"/>
        <w:ind w:right="81"/>
        <w:jc w:val="both"/>
        <w:rPr>
          <w:i/>
        </w:rPr>
      </w:pPr>
      <w:r w:rsidRPr="00EB309F">
        <w:rPr>
          <w:i/>
        </w:rPr>
        <w:t xml:space="preserve">“(…) </w:t>
      </w:r>
    </w:p>
    <w:p w:rsidR="00D86CD8" w:rsidRPr="00EB309F" w:rsidRDefault="00D86CD8" w:rsidP="00D86CD8">
      <w:pPr>
        <w:spacing w:before="183"/>
        <w:ind w:right="81"/>
        <w:jc w:val="both"/>
      </w:pPr>
      <w:r w:rsidRPr="00EB309F">
        <w:rPr>
          <w:i/>
        </w:rPr>
        <w:t>n) Establecer, con base en la política trazada por el Ministerio de Agricultura y Desarrollo Rural, los términos y las condiciones financieras de las Líneas Especiales Crédito – LEC, del Incentivo a la Capitalización Rural - ICR y de otros incentivos o subsidios del Estado que estén relacionados exclusivamente con el crédito y/o riesgo agropecuario y rural</w:t>
      </w:r>
      <w:r w:rsidRPr="00EB309F">
        <w:t>.</w:t>
      </w:r>
    </w:p>
    <w:p w:rsidR="00D86CD8" w:rsidRPr="00EB309F" w:rsidRDefault="00D86CD8" w:rsidP="00D86CD8">
      <w:pPr>
        <w:spacing w:before="183"/>
        <w:ind w:right="81"/>
        <w:jc w:val="both"/>
      </w:pPr>
      <w:r w:rsidRPr="00EB309F">
        <w:rPr>
          <w:i/>
        </w:rPr>
        <w:t>(…)</w:t>
      </w:r>
      <w:r w:rsidRPr="00EB309F">
        <w:t>”</w:t>
      </w:r>
    </w:p>
    <w:p w:rsidR="00D86CD8" w:rsidRPr="00EB309F" w:rsidRDefault="00D86CD8" w:rsidP="00D86CD8">
      <w:pPr>
        <w:pStyle w:val="Textoindependiente"/>
        <w:spacing w:before="185"/>
        <w:ind w:right="81"/>
        <w:jc w:val="both"/>
      </w:pPr>
      <w:r w:rsidRPr="00EB309F">
        <w:rPr>
          <w:b/>
        </w:rPr>
        <w:t xml:space="preserve">Segundo. </w:t>
      </w:r>
      <w:r w:rsidRPr="00EB309F">
        <w:t>Que de acuerdo con lo dispuesto en el artículo 220 del Estatuto Orgánico del Sistema Financiero, “</w:t>
      </w:r>
      <w:r w:rsidRPr="00EB309F">
        <w:rPr>
          <w:i/>
        </w:rPr>
        <w:t>La Comisión Nacional de Crédito Agropecuario</w:t>
      </w:r>
      <w:r w:rsidRPr="00EB309F">
        <w:t xml:space="preserve"> </w:t>
      </w:r>
      <w:r w:rsidRPr="00EB309F">
        <w:rPr>
          <w:i/>
        </w:rPr>
        <w:t>definirá las líneas de crédito que otorgarán las entidades que integran el Sistema Nacional de Crédito Agropecuario, y las instituciones bancarias y financieras debidamente autorizadas por la Superintendencia Bancaria, para conceder créditos con destino al sector agropecuario, afines y similares (…)”.</w:t>
      </w:r>
    </w:p>
    <w:p w:rsidR="003207F9" w:rsidRPr="00B63F6C" w:rsidRDefault="003207F9" w:rsidP="008064B8">
      <w:pPr>
        <w:jc w:val="both"/>
        <w:rPr>
          <w:b/>
        </w:rPr>
      </w:pPr>
    </w:p>
    <w:p w:rsidR="00B17C1A" w:rsidRPr="00B63F6C" w:rsidRDefault="00B63F6C" w:rsidP="0045407B">
      <w:pPr>
        <w:jc w:val="both"/>
      </w:pPr>
      <w:r>
        <w:rPr>
          <w:b/>
        </w:rPr>
        <w:t>Tercero</w:t>
      </w:r>
      <w:r w:rsidR="00D86CD8" w:rsidRPr="00B63F6C">
        <w:t xml:space="preserve">. </w:t>
      </w:r>
      <w:r w:rsidR="00B17C1A" w:rsidRPr="00B63F6C">
        <w:t xml:space="preserve">Que </w:t>
      </w:r>
      <w:r>
        <w:t xml:space="preserve">en el marco de la regulación de las </w:t>
      </w:r>
      <w:r w:rsidR="008D62E7">
        <w:t xml:space="preserve">Líneas Especiales </w:t>
      </w:r>
      <w:r>
        <w:t xml:space="preserve">de </w:t>
      </w:r>
      <w:r w:rsidR="008D62E7">
        <w:t xml:space="preserve">Crédito </w:t>
      </w:r>
      <w:r>
        <w:t xml:space="preserve">con tasa subsidiada, </w:t>
      </w:r>
      <w:r w:rsidR="00B17C1A" w:rsidRPr="00B63F6C">
        <w:t xml:space="preserve">la CNCA mediante la Resolución No. 11 de 2015 estableció </w:t>
      </w:r>
      <w:r>
        <w:t>condiciones especiales para los</w:t>
      </w:r>
      <w:r w:rsidR="00B17C1A" w:rsidRPr="00B63F6C">
        <w:t xml:space="preserve"> créditos dirigidos a financiar la retención de vientres de ganado bovino y bufalino</w:t>
      </w:r>
      <w:r>
        <w:t>. Dentro de estas condiciones financieras, la resolución mencionada</w:t>
      </w:r>
      <w:r w:rsidR="00B17C1A" w:rsidRPr="00B63F6C">
        <w:t xml:space="preserve"> </w:t>
      </w:r>
      <w:r>
        <w:t>fij</w:t>
      </w:r>
      <w:r w:rsidR="001E3EA4">
        <w:t>ó</w:t>
      </w:r>
      <w:r w:rsidR="00B17C1A" w:rsidRPr="00B63F6C">
        <w:t xml:space="preserve"> un </w:t>
      </w:r>
      <w:r w:rsidR="00D06534">
        <w:t>“</w:t>
      </w:r>
      <w:r w:rsidR="00B17C1A" w:rsidRPr="00B63F6C">
        <w:t xml:space="preserve">plazo de </w:t>
      </w:r>
      <w:r>
        <w:rPr>
          <w:rFonts w:cs="Times New Roman"/>
          <w:szCs w:val="24"/>
          <w:lang w:eastAsia="es-ES"/>
        </w:rPr>
        <w:t>h</w:t>
      </w:r>
      <w:r w:rsidR="00B17C1A" w:rsidRPr="00B63F6C">
        <w:rPr>
          <w:rFonts w:cs="Times New Roman"/>
          <w:szCs w:val="24"/>
          <w:lang w:eastAsia="es-ES"/>
        </w:rPr>
        <w:t>asta siete años con un periodo de gracia incluido de hasta tres años</w:t>
      </w:r>
      <w:r w:rsidR="00D06534">
        <w:rPr>
          <w:rFonts w:cs="Times New Roman"/>
          <w:szCs w:val="24"/>
          <w:lang w:eastAsia="es-ES"/>
        </w:rPr>
        <w:t>”</w:t>
      </w:r>
      <w:r w:rsidR="00B17C1A" w:rsidRPr="00B63F6C">
        <w:t>.</w:t>
      </w:r>
      <w:r w:rsidR="00D06534">
        <w:t xml:space="preserve"> </w:t>
      </w:r>
    </w:p>
    <w:p w:rsidR="00B17C1A" w:rsidRPr="00B63F6C" w:rsidRDefault="00B17C1A" w:rsidP="0045407B">
      <w:pPr>
        <w:jc w:val="both"/>
      </w:pPr>
    </w:p>
    <w:p w:rsidR="00B17C1A" w:rsidRDefault="00D06534" w:rsidP="0045407B">
      <w:pPr>
        <w:jc w:val="both"/>
      </w:pPr>
      <w:r>
        <w:rPr>
          <w:b/>
        </w:rPr>
        <w:t>Cuarto</w:t>
      </w:r>
      <w:r w:rsidR="00B17C1A" w:rsidRPr="00B63F6C">
        <w:rPr>
          <w:b/>
        </w:rPr>
        <w:t xml:space="preserve">. </w:t>
      </w:r>
      <w:r w:rsidRPr="00D06534">
        <w:t xml:space="preserve">Que </w:t>
      </w:r>
      <w:r>
        <w:t xml:space="preserve">el plazo y periodo de gracia de la financiación de los </w:t>
      </w:r>
      <w:r w:rsidRPr="00B63F6C">
        <w:t>créditos dirigidos a financiar la retención de vientres de ganado bovino y bufalino</w:t>
      </w:r>
      <w:r>
        <w:t>, fue modificado por la Resolución No. 13 de 2017. L</w:t>
      </w:r>
      <w:r w:rsidR="00B17C1A">
        <w:t xml:space="preserve">as condiciones vigentes </w:t>
      </w:r>
      <w:r>
        <w:t>de estos créditos se encuentran</w:t>
      </w:r>
      <w:r w:rsidR="00B17C1A">
        <w:t xml:space="preserve"> señaladas en la </w:t>
      </w:r>
      <w:r w:rsidR="0045407B">
        <w:t xml:space="preserve">Resolución </w:t>
      </w:r>
      <w:r w:rsidR="00B17C1A">
        <w:t>No. 12 de 2018</w:t>
      </w:r>
      <w:r>
        <w:t xml:space="preserve">. </w:t>
      </w:r>
    </w:p>
    <w:p w:rsidR="00B17C1A" w:rsidRDefault="00B17C1A" w:rsidP="008064B8">
      <w:pPr>
        <w:jc w:val="both"/>
      </w:pPr>
    </w:p>
    <w:p w:rsidR="00D06534" w:rsidRDefault="00A73D03" w:rsidP="008064B8">
      <w:pPr>
        <w:jc w:val="both"/>
      </w:pPr>
      <w:r>
        <w:rPr>
          <w:b/>
        </w:rPr>
        <w:t>Quinto</w:t>
      </w:r>
      <w:r w:rsidR="00B17C1A" w:rsidRPr="00B17C1A">
        <w:rPr>
          <w:b/>
        </w:rPr>
        <w:t xml:space="preserve">. </w:t>
      </w:r>
      <w:r w:rsidR="00D06534" w:rsidRPr="00D06534">
        <w:t xml:space="preserve">Que </w:t>
      </w:r>
      <w:r>
        <w:t xml:space="preserve">el literal a. del numeral I. del artículo 6o. de </w:t>
      </w:r>
      <w:r w:rsidR="00D06534" w:rsidRPr="00D06534">
        <w:t xml:space="preserve">la </w:t>
      </w:r>
      <w:r>
        <w:t>R</w:t>
      </w:r>
      <w:r w:rsidR="00D06534" w:rsidRPr="00D06534">
        <w:t>esolución No. 12 de 2018</w:t>
      </w:r>
      <w:r w:rsidR="00D06534">
        <w:t xml:space="preserve"> establece</w:t>
      </w:r>
      <w:r>
        <w:t xml:space="preserve"> dentro de las condiciones especiales de la LEC General para la actividad de retención de vientres de ganado bovino y bufalino un “plazo máximo del crédito con subsidio de cinco años con hasta dos años de gracia”.</w:t>
      </w:r>
    </w:p>
    <w:p w:rsidR="00D06534" w:rsidRDefault="00D06534" w:rsidP="008064B8">
      <w:pPr>
        <w:jc w:val="both"/>
        <w:rPr>
          <w:b/>
        </w:rPr>
      </w:pPr>
    </w:p>
    <w:p w:rsidR="00A73D03" w:rsidRDefault="00A73D03" w:rsidP="008064B8">
      <w:pPr>
        <w:jc w:val="both"/>
        <w:rPr>
          <w:b/>
        </w:rPr>
      </w:pPr>
      <w:r w:rsidRPr="00A73D03">
        <w:rPr>
          <w:b/>
        </w:rPr>
        <w:t>Sexto.</w:t>
      </w:r>
      <w:r>
        <w:rPr>
          <w:b/>
        </w:rPr>
        <w:t xml:space="preserve"> </w:t>
      </w:r>
      <w:r w:rsidRPr="00A73D03">
        <w:t>Que los fenómenos climáticos recientes presentados en la región norte del país, así como en los llanos orientales, han tenido efectos</w:t>
      </w:r>
      <w:r>
        <w:t xml:space="preserve"> </w:t>
      </w:r>
      <w:r w:rsidR="00DF73D6">
        <w:t xml:space="preserve">adversos </w:t>
      </w:r>
      <w:r>
        <w:t>significativos</w:t>
      </w:r>
      <w:r w:rsidRPr="00A73D03">
        <w:t xml:space="preserve"> en la actividad </w:t>
      </w:r>
      <w:r w:rsidRPr="00A73D03">
        <w:lastRenderedPageBreak/>
        <w:t>ganadera del país, particularmente en la disponibilidad de alimentos</w:t>
      </w:r>
      <w:r>
        <w:t xml:space="preserve"> para la actividad ganadera y por ende en la consolidación del hato ganadero.</w:t>
      </w:r>
      <w:r w:rsidRPr="00A73D03">
        <w:rPr>
          <w:b/>
        </w:rPr>
        <w:t xml:space="preserve"> </w:t>
      </w:r>
    </w:p>
    <w:p w:rsidR="00A73D03" w:rsidRDefault="00A73D03" w:rsidP="008064B8">
      <w:pPr>
        <w:jc w:val="both"/>
        <w:rPr>
          <w:b/>
        </w:rPr>
      </w:pPr>
    </w:p>
    <w:p w:rsidR="00A73D03" w:rsidRDefault="00A73D03" w:rsidP="0068368A">
      <w:pPr>
        <w:jc w:val="both"/>
      </w:pPr>
      <w:r>
        <w:rPr>
          <w:b/>
        </w:rPr>
        <w:t xml:space="preserve">Séptimo. </w:t>
      </w:r>
      <w:r w:rsidR="003772A7" w:rsidRPr="003772A7">
        <w:t>Que</w:t>
      </w:r>
      <w:r w:rsidR="003772A7">
        <w:rPr>
          <w:b/>
        </w:rPr>
        <w:t xml:space="preserve"> </w:t>
      </w:r>
      <w:r w:rsidR="003772A7" w:rsidRPr="00A73D03">
        <w:t xml:space="preserve">en </w:t>
      </w:r>
      <w:r w:rsidRPr="00A73D03">
        <w:t>este marco,</w:t>
      </w:r>
      <w:r>
        <w:rPr>
          <w:b/>
        </w:rPr>
        <w:t xml:space="preserve"> </w:t>
      </w:r>
      <w:r>
        <w:t>con el fin de</w:t>
      </w:r>
      <w:r w:rsidR="00E216FA">
        <w:t xml:space="preserve"> mitigar </w:t>
      </w:r>
      <w:r>
        <w:t>el impacto de estos</w:t>
      </w:r>
      <w:r w:rsidR="00E216FA">
        <w:t xml:space="preserve"> efectos</w:t>
      </w:r>
      <w:r w:rsidRPr="00EB309F">
        <w:t xml:space="preserve">, </w:t>
      </w:r>
      <w:r w:rsidR="0068368A">
        <w:t>en coordinación con la política del MADR se propone</w:t>
      </w:r>
      <w:r w:rsidRPr="00EB309F">
        <w:t xml:space="preserve"> </w:t>
      </w:r>
      <w:r>
        <w:t xml:space="preserve">modificar </w:t>
      </w:r>
      <w:r w:rsidRPr="00EB309F">
        <w:t>las condiciones especiales de la LEC General para la Retención de Vientres de Ganado Bovino y Bufalino</w:t>
      </w:r>
      <w:r w:rsidR="0068368A">
        <w:t>, en lo relacionado con</w:t>
      </w:r>
      <w:r w:rsidRPr="00EB309F">
        <w:t xml:space="preserve"> </w:t>
      </w:r>
      <w:r>
        <w:t>el plazo máximo del crédito con subsidio y el periodo de gracia</w:t>
      </w:r>
      <w:r w:rsidR="0068368A">
        <w:t>. De esta forma, se considera conveniente liberar el plazo del crédito que otorgan los Intermediarios Financieros a través de esta línea y extender el plazo máximo del subsidio a seis años. Así mismo, se propone aumentar el período de gracia de dos años a tres años.</w:t>
      </w:r>
    </w:p>
    <w:p w:rsidR="00A73D03" w:rsidRDefault="00A73D03" w:rsidP="008064B8">
      <w:pPr>
        <w:jc w:val="both"/>
      </w:pPr>
    </w:p>
    <w:p w:rsidR="00D86CD8" w:rsidRPr="00EB309F" w:rsidRDefault="00B17C1A" w:rsidP="0068368A">
      <w:pPr>
        <w:jc w:val="both"/>
      </w:pPr>
      <w:r>
        <w:rPr>
          <w:b/>
        </w:rPr>
        <w:t>Octavo</w:t>
      </w:r>
      <w:r w:rsidR="00D86CD8" w:rsidRPr="00EB309F">
        <w:t xml:space="preserve">. </w:t>
      </w:r>
      <w:r w:rsidR="0068368A">
        <w:t>Que e</w:t>
      </w:r>
      <w:r w:rsidR="0068368A" w:rsidRPr="0068368A">
        <w:t>stas medidas permitirán</w:t>
      </w:r>
      <w:r w:rsidR="0068368A">
        <w:t xml:space="preserve"> la sostenibilidad del hato ganadero, en la medida en que</w:t>
      </w:r>
      <w:r w:rsidR="0068368A" w:rsidRPr="0068368A">
        <w:t xml:space="preserve"> </w:t>
      </w:r>
      <w:r w:rsidR="00417AC4">
        <w:t>el plazo de los créditos se podrá</w:t>
      </w:r>
      <w:r w:rsidR="0068368A" w:rsidRPr="0068368A">
        <w:t xml:space="preserve"> </w:t>
      </w:r>
      <w:r w:rsidR="00417AC4">
        <w:t>acordar</w:t>
      </w:r>
      <w:r w:rsidR="0068368A" w:rsidRPr="0068368A">
        <w:t xml:space="preserve"> en función del retorno máximo que se tomen las inversiones ganaderas para cada productor en particular. Igualmente, el periodo de tres años de gracia </w:t>
      </w:r>
      <w:r w:rsidR="00417AC4">
        <w:t xml:space="preserve">permitirá cubrir el ciclo ganadero de levante, que comprende </w:t>
      </w:r>
      <w:r w:rsidR="0068368A" w:rsidRPr="0068368A">
        <w:t xml:space="preserve">el tiempo de preñez de las hembras vacas y búfalas, </w:t>
      </w:r>
      <w:r w:rsidR="00417AC4">
        <w:t>hasta el levantamiento del ternero</w:t>
      </w:r>
      <w:r w:rsidR="0068368A" w:rsidRPr="0068368A">
        <w:t xml:space="preserve">. </w:t>
      </w:r>
      <w:r w:rsidR="00D86CD8" w:rsidRPr="00EB309F">
        <w:t xml:space="preserve"> </w:t>
      </w:r>
    </w:p>
    <w:p w:rsidR="00D86CD8" w:rsidRPr="00EB309F" w:rsidRDefault="00D86CD8" w:rsidP="00D86CD8">
      <w:pPr>
        <w:pStyle w:val="Textoindependiente"/>
        <w:spacing w:before="5"/>
        <w:ind w:right="81"/>
        <w:rPr>
          <w:i/>
        </w:rPr>
      </w:pPr>
    </w:p>
    <w:p w:rsidR="00D86CD8" w:rsidRPr="00EB309F" w:rsidRDefault="00B17C1A" w:rsidP="00D86CD8">
      <w:pPr>
        <w:pStyle w:val="Textoindependiente"/>
        <w:ind w:right="81"/>
        <w:jc w:val="both"/>
      </w:pPr>
      <w:r>
        <w:rPr>
          <w:b/>
        </w:rPr>
        <w:t>Noveno</w:t>
      </w:r>
      <w:r w:rsidR="00D86CD8" w:rsidRPr="00EB309F">
        <w:t>.</w:t>
      </w:r>
      <w:r w:rsidR="00453814">
        <w:t xml:space="preserve"> Que el proyecto de resolución “</w:t>
      </w:r>
      <w:r w:rsidR="005F3299" w:rsidRPr="00EB309F">
        <w:t>Por la cual se modifica la Resolución No. 12 de 2018 “Por la cual se establece el Plan Anual de ICR y LEC para el año 2019 y otras disposiciones</w:t>
      </w:r>
      <w:r w:rsidR="00D86CD8" w:rsidRPr="00EB309F">
        <w:t>”, estuvo publicado en la página web de FINAGRO para comentarios.</w:t>
      </w:r>
    </w:p>
    <w:p w:rsidR="00D86CD8" w:rsidRDefault="00D86CD8" w:rsidP="00D86CD8">
      <w:pPr>
        <w:pStyle w:val="Textoindependiente"/>
        <w:spacing w:before="11"/>
        <w:ind w:right="81"/>
      </w:pPr>
    </w:p>
    <w:p w:rsidR="00417AC4" w:rsidRPr="00EB309F" w:rsidRDefault="00417AC4" w:rsidP="00417AC4">
      <w:pPr>
        <w:ind w:right="81"/>
        <w:jc w:val="both"/>
      </w:pPr>
      <w:r>
        <w:rPr>
          <w:b/>
        </w:rPr>
        <w:t>Décimo</w:t>
      </w:r>
      <w:r w:rsidRPr="00EB309F">
        <w:t xml:space="preserve">. Que los demás términos y condiciones previstos en la Resolución No. 12 de 2018 y sus modificaciones, </w:t>
      </w:r>
      <w:r w:rsidRPr="00EB309F">
        <w:rPr>
          <w:color w:val="000000" w:themeColor="text1"/>
        </w:rPr>
        <w:t>permanecerán inalteradas conservando su vigor y efecto, en cuanto no sean contrarios con lo pretendido y establecido en la presente resolución.</w:t>
      </w:r>
      <w:r w:rsidRPr="00EB309F">
        <w:t xml:space="preserve"> </w:t>
      </w:r>
    </w:p>
    <w:p w:rsidR="00417AC4" w:rsidRDefault="00417AC4" w:rsidP="00D86CD8">
      <w:pPr>
        <w:pStyle w:val="Textoindependiente"/>
        <w:spacing w:before="11"/>
        <w:ind w:right="81"/>
      </w:pPr>
    </w:p>
    <w:p w:rsidR="00D86CD8" w:rsidRPr="00EB309F" w:rsidRDefault="00417AC4" w:rsidP="00D86CD8">
      <w:pPr>
        <w:spacing w:line="0" w:lineRule="atLeast"/>
        <w:jc w:val="both"/>
      </w:pPr>
      <w:r>
        <w:rPr>
          <w:b/>
        </w:rPr>
        <w:t>Décimo Primero</w:t>
      </w:r>
      <w:r w:rsidR="00D86CD8" w:rsidRPr="00EB309F">
        <w:rPr>
          <w:b/>
        </w:rPr>
        <w:t>.</w:t>
      </w:r>
      <w:r w:rsidR="00D86CD8" w:rsidRPr="00EB309F">
        <w:t xml:space="preserve"> Que el documento con la justificación jurídica y técnica de la presente resolución fue presentado para consideración de la CNCA y discutido en la reunión llevada a cabo el día </w:t>
      </w:r>
      <w:r w:rsidR="005F3299" w:rsidRPr="00EB309F">
        <w:t>___</w:t>
      </w:r>
      <w:r w:rsidR="00D86CD8" w:rsidRPr="00EB309F">
        <w:t xml:space="preserve"> (</w:t>
      </w:r>
      <w:r w:rsidR="005F3299" w:rsidRPr="00EB309F">
        <w:t>__</w:t>
      </w:r>
      <w:r w:rsidR="00D86CD8" w:rsidRPr="00EB309F">
        <w:t xml:space="preserve">) de </w:t>
      </w:r>
      <w:r w:rsidR="005F3299" w:rsidRPr="00EB309F">
        <w:t xml:space="preserve">junio de </w:t>
      </w:r>
      <w:r w:rsidR="0074131F">
        <w:t xml:space="preserve">dos mil diecinueve </w:t>
      </w:r>
      <w:r w:rsidR="005F3299" w:rsidRPr="00EB309F">
        <w:t>2019</w:t>
      </w:r>
      <w:r w:rsidR="00D86CD8" w:rsidRPr="00EB309F">
        <w:t>.</w:t>
      </w:r>
    </w:p>
    <w:p w:rsidR="00D86CD8" w:rsidRPr="00EB309F" w:rsidRDefault="00D86CD8" w:rsidP="00D86CD8">
      <w:pPr>
        <w:pStyle w:val="Textoindependiente"/>
        <w:spacing w:before="1"/>
        <w:ind w:right="81"/>
      </w:pPr>
    </w:p>
    <w:p w:rsidR="00D86CD8" w:rsidRPr="00EB309F" w:rsidRDefault="00D86CD8" w:rsidP="00D86CD8">
      <w:pPr>
        <w:pStyle w:val="Textoindependiente"/>
        <w:spacing w:before="1"/>
        <w:ind w:right="81"/>
        <w:jc w:val="both"/>
      </w:pPr>
      <w:r w:rsidRPr="00EB309F">
        <w:t>En mérito de lo anterior,</w:t>
      </w:r>
    </w:p>
    <w:p w:rsidR="00D86CD8" w:rsidRPr="00EB309F" w:rsidRDefault="00D86CD8" w:rsidP="00D86CD8">
      <w:pPr>
        <w:pStyle w:val="Textoindependiente"/>
        <w:spacing w:before="2"/>
        <w:ind w:right="81"/>
      </w:pPr>
    </w:p>
    <w:p w:rsidR="00D86CD8" w:rsidRPr="00EB309F" w:rsidRDefault="00D86CD8" w:rsidP="00D86CD8">
      <w:pPr>
        <w:pStyle w:val="Textoindependiente"/>
        <w:ind w:right="81"/>
        <w:jc w:val="center"/>
        <w:rPr>
          <w:b/>
        </w:rPr>
      </w:pPr>
      <w:r w:rsidRPr="00EB309F">
        <w:rPr>
          <w:b/>
        </w:rPr>
        <w:t xml:space="preserve">RESUELVE </w:t>
      </w:r>
    </w:p>
    <w:p w:rsidR="00D86CD8" w:rsidRPr="00EB309F" w:rsidRDefault="00D86CD8" w:rsidP="004F072C">
      <w:pPr>
        <w:pStyle w:val="Textoindependiente"/>
        <w:spacing w:line="120" w:lineRule="auto"/>
        <w:ind w:right="79"/>
        <w:jc w:val="center"/>
        <w:rPr>
          <w:b/>
        </w:rPr>
      </w:pPr>
    </w:p>
    <w:p w:rsidR="00D86CD8" w:rsidRPr="00EB309F" w:rsidRDefault="00A86709" w:rsidP="00A86709">
      <w:r w:rsidRPr="00EB309F">
        <w:rPr>
          <w:b/>
        </w:rPr>
        <w:t xml:space="preserve">Artículo 1o. </w:t>
      </w:r>
      <w:r w:rsidRPr="00EB309F">
        <w:t xml:space="preserve">Modificar </w:t>
      </w:r>
      <w:r w:rsidR="00975842">
        <w:t>el literal a. d</w:t>
      </w:r>
      <w:r w:rsidRPr="00EB309F">
        <w:t>el numeral I</w:t>
      </w:r>
      <w:r w:rsidR="00975842">
        <w:t>.</w:t>
      </w:r>
      <w:r w:rsidRPr="00EB309F">
        <w:t xml:space="preserve"> del artículo 6o. de la Resolución No. 12 de 2018 de la Comisión Nacional de Crédito Agropecuario, </w:t>
      </w:r>
      <w:r w:rsidR="00415D64" w:rsidRPr="00EB309F">
        <w:t>el cual quedará así</w:t>
      </w:r>
      <w:r w:rsidRPr="00EB309F">
        <w:t>:</w:t>
      </w:r>
    </w:p>
    <w:p w:rsidR="00A86709" w:rsidRPr="00EB309F" w:rsidRDefault="00A86709" w:rsidP="004F072C">
      <w:pPr>
        <w:spacing w:line="120" w:lineRule="auto"/>
      </w:pPr>
    </w:p>
    <w:p w:rsidR="00D86CD8" w:rsidRPr="00FC238D" w:rsidRDefault="00D86CD8" w:rsidP="004F072C">
      <w:pPr>
        <w:pStyle w:val="Prrafodelista"/>
        <w:spacing w:line="120" w:lineRule="auto"/>
        <w:rPr>
          <w:i/>
        </w:rPr>
      </w:pPr>
    </w:p>
    <w:p w:rsidR="00D86CD8" w:rsidRPr="00055329" w:rsidRDefault="00055329" w:rsidP="00055329">
      <w:pPr>
        <w:tabs>
          <w:tab w:val="left" w:pos="284"/>
          <w:tab w:val="left" w:pos="426"/>
          <w:tab w:val="left" w:pos="902"/>
        </w:tabs>
        <w:spacing w:before="77"/>
        <w:ind w:right="81"/>
        <w:jc w:val="both"/>
        <w:rPr>
          <w:i/>
        </w:rPr>
      </w:pPr>
      <w:r>
        <w:rPr>
          <w:b/>
          <w:i/>
        </w:rPr>
        <w:t>“</w:t>
      </w:r>
      <w:r w:rsidRPr="00055329">
        <w:rPr>
          <w:b/>
          <w:i/>
        </w:rPr>
        <w:t xml:space="preserve">I. </w:t>
      </w:r>
      <w:r w:rsidR="00D86CD8" w:rsidRPr="00055329">
        <w:rPr>
          <w:b/>
          <w:i/>
        </w:rPr>
        <w:t>Retención de Vientres de Ganado Bovino y Bufalino.</w:t>
      </w:r>
    </w:p>
    <w:p w:rsidR="00D86CD8" w:rsidRPr="00FC238D" w:rsidRDefault="00D86CD8" w:rsidP="004F072C">
      <w:pPr>
        <w:pStyle w:val="Textoindependiente"/>
        <w:tabs>
          <w:tab w:val="left" w:pos="284"/>
        </w:tabs>
        <w:spacing w:before="2" w:line="120" w:lineRule="auto"/>
        <w:ind w:left="567" w:right="81" w:hanging="567"/>
        <w:rPr>
          <w:b/>
          <w:i/>
        </w:rPr>
      </w:pPr>
    </w:p>
    <w:p w:rsidR="00D86CD8" w:rsidRPr="00055329" w:rsidRDefault="00D86CD8" w:rsidP="00055329">
      <w:pPr>
        <w:pStyle w:val="Prrafodelista"/>
        <w:numPr>
          <w:ilvl w:val="0"/>
          <w:numId w:val="6"/>
        </w:numPr>
        <w:tabs>
          <w:tab w:val="left" w:pos="284"/>
          <w:tab w:val="left" w:pos="709"/>
        </w:tabs>
        <w:spacing w:before="77"/>
        <w:ind w:left="284" w:right="81" w:hanging="284"/>
        <w:jc w:val="both"/>
        <w:rPr>
          <w:i/>
        </w:rPr>
      </w:pPr>
      <w:r w:rsidRPr="00FC238D">
        <w:rPr>
          <w:i/>
        </w:rPr>
        <w:t xml:space="preserve">El plazo </w:t>
      </w:r>
      <w:r w:rsidR="00A24DA5">
        <w:rPr>
          <w:i/>
        </w:rPr>
        <w:t xml:space="preserve">del crédito </w:t>
      </w:r>
      <w:r w:rsidR="00055329">
        <w:rPr>
          <w:i/>
        </w:rPr>
        <w:t xml:space="preserve">será acordado libremente entre las partes, </w:t>
      </w:r>
      <w:r w:rsidR="00055329" w:rsidRPr="00FC238D">
        <w:rPr>
          <w:i/>
        </w:rPr>
        <w:t>con hasta tres (3) años de gracia</w:t>
      </w:r>
      <w:r w:rsidR="00055329">
        <w:rPr>
          <w:i/>
        </w:rPr>
        <w:t xml:space="preserve">. El otorgamiento del subsidio será hasta </w:t>
      </w:r>
      <w:r w:rsidR="00A86709" w:rsidRPr="00FC238D">
        <w:rPr>
          <w:i/>
        </w:rPr>
        <w:t xml:space="preserve">seis </w:t>
      </w:r>
      <w:r w:rsidRPr="00FC238D">
        <w:rPr>
          <w:i/>
        </w:rPr>
        <w:t>(</w:t>
      </w:r>
      <w:r w:rsidR="00A86709" w:rsidRPr="00FC238D">
        <w:rPr>
          <w:i/>
        </w:rPr>
        <w:t>6</w:t>
      </w:r>
      <w:r w:rsidRPr="00FC238D">
        <w:rPr>
          <w:i/>
        </w:rPr>
        <w:t>) años</w:t>
      </w:r>
      <w:r w:rsidR="00975842" w:rsidRPr="00055329">
        <w:rPr>
          <w:i/>
        </w:rPr>
        <w:t>”</w:t>
      </w:r>
      <w:r w:rsidR="00055329">
        <w:rPr>
          <w:i/>
        </w:rPr>
        <w:t>.</w:t>
      </w:r>
    </w:p>
    <w:p w:rsidR="00D86CD8" w:rsidRPr="00EB309F" w:rsidRDefault="00D86CD8" w:rsidP="004F072C">
      <w:pPr>
        <w:pStyle w:val="Prrafodelista"/>
        <w:tabs>
          <w:tab w:val="left" w:pos="284"/>
          <w:tab w:val="left" w:pos="426"/>
          <w:tab w:val="left" w:pos="709"/>
        </w:tabs>
        <w:spacing w:before="77" w:line="120" w:lineRule="auto"/>
        <w:ind w:left="993" w:right="81" w:hanging="142"/>
        <w:jc w:val="both"/>
      </w:pPr>
    </w:p>
    <w:p w:rsidR="00D86CD8" w:rsidRPr="00EB309F" w:rsidRDefault="00EB309F" w:rsidP="00D86CD8">
      <w:pPr>
        <w:ind w:right="81"/>
        <w:jc w:val="both"/>
        <w:rPr>
          <w:i/>
        </w:rPr>
      </w:pPr>
      <w:r w:rsidRPr="00EB309F">
        <w:rPr>
          <w:b/>
        </w:rPr>
        <w:t>Artículo 2</w:t>
      </w:r>
      <w:r w:rsidR="00D86CD8" w:rsidRPr="00EB309F">
        <w:rPr>
          <w:b/>
        </w:rPr>
        <w:t>o.</w:t>
      </w:r>
      <w:r w:rsidR="00D86CD8" w:rsidRPr="00EB309F">
        <w:t xml:space="preserve"> FINAGRO adoptará los procedimientos y medidas necesarias para el desarrollo de la presente resolución para lo cual expedirá la circular reglamentaria</w:t>
      </w:r>
      <w:r w:rsidR="00D86CD8" w:rsidRPr="00EB309F">
        <w:rPr>
          <w:spacing w:val="-5"/>
        </w:rPr>
        <w:t xml:space="preserve"> </w:t>
      </w:r>
      <w:r w:rsidR="00D86CD8" w:rsidRPr="00EB309F">
        <w:t>correspondiente.</w:t>
      </w:r>
    </w:p>
    <w:p w:rsidR="00D86CD8" w:rsidRPr="00EB309F" w:rsidRDefault="00D86CD8" w:rsidP="00D86CD8">
      <w:pPr>
        <w:pStyle w:val="Textoindependiente"/>
        <w:ind w:right="81"/>
      </w:pPr>
    </w:p>
    <w:p w:rsidR="00D86CD8" w:rsidRPr="00EB309F" w:rsidRDefault="00D86CD8" w:rsidP="00D86CD8">
      <w:pPr>
        <w:ind w:right="81"/>
        <w:jc w:val="both"/>
      </w:pPr>
      <w:r w:rsidRPr="00EB309F">
        <w:rPr>
          <w:b/>
        </w:rPr>
        <w:t xml:space="preserve">Artículo </w:t>
      </w:r>
      <w:r w:rsidR="00EB309F">
        <w:rPr>
          <w:b/>
        </w:rPr>
        <w:t>3</w:t>
      </w:r>
      <w:r w:rsidRPr="00EB309F">
        <w:rPr>
          <w:b/>
        </w:rPr>
        <w:t xml:space="preserve">o. </w:t>
      </w:r>
      <w:r w:rsidRPr="00EB309F">
        <w:t xml:space="preserve">La presente resolución rige a partir de la fecha de su publicación en el Diario Oficial, y sus efectos aplicarán a partir de la fecha en que FINAGRO disponga de los recursos presupuestales. </w:t>
      </w:r>
    </w:p>
    <w:p w:rsidR="00D86CD8" w:rsidRPr="00EB309F" w:rsidRDefault="00D86CD8" w:rsidP="00D86CD8">
      <w:pPr>
        <w:ind w:right="81"/>
        <w:jc w:val="both"/>
      </w:pPr>
    </w:p>
    <w:p w:rsidR="00D86CD8" w:rsidRPr="00EB309F" w:rsidRDefault="00D86CD8" w:rsidP="00D86CD8">
      <w:pPr>
        <w:spacing w:line="0" w:lineRule="atLeast"/>
        <w:ind w:right="81"/>
        <w:jc w:val="both"/>
        <w:rPr>
          <w:lang w:val="es-ES"/>
        </w:rPr>
      </w:pPr>
      <w:r w:rsidRPr="00EB309F">
        <w:rPr>
          <w:b/>
          <w:color w:val="000000" w:themeColor="text1"/>
        </w:rPr>
        <w:t xml:space="preserve">Artículo </w:t>
      </w:r>
      <w:r w:rsidR="00EB309F">
        <w:rPr>
          <w:b/>
          <w:color w:val="000000" w:themeColor="text1"/>
        </w:rPr>
        <w:t>4o</w:t>
      </w:r>
      <w:r w:rsidRPr="00EB309F">
        <w:rPr>
          <w:b/>
          <w:color w:val="000000" w:themeColor="text1"/>
        </w:rPr>
        <w:t>.</w:t>
      </w:r>
      <w:r w:rsidRPr="00EB309F">
        <w:rPr>
          <w:color w:val="000000" w:themeColor="text1"/>
        </w:rPr>
        <w:t xml:space="preserve"> Los términos y condiciones establecidos en las demás resoluciones de la Comisión Nacional de Crédito Agropecuario permanecerán inalterados y conservarán todo su vigencia y efecto, en cuanto no se opongan a lo establecido en la presente resolución.</w:t>
      </w:r>
    </w:p>
    <w:p w:rsidR="00D86CD8" w:rsidRPr="00EB309F" w:rsidRDefault="00D86CD8" w:rsidP="00D86CD8">
      <w:pPr>
        <w:pStyle w:val="Textoindependiente"/>
        <w:ind w:right="81"/>
      </w:pPr>
    </w:p>
    <w:p w:rsidR="00D86CD8" w:rsidRPr="00EB309F" w:rsidRDefault="00D86CD8" w:rsidP="00D86CD8">
      <w:pPr>
        <w:adjustRightInd w:val="0"/>
        <w:spacing w:line="0" w:lineRule="atLeast"/>
        <w:jc w:val="both"/>
      </w:pPr>
      <w:r w:rsidRPr="00EB309F">
        <w:t>Dada en Bogotá D.C.,</w:t>
      </w:r>
      <w:r w:rsidR="00EB309F" w:rsidRPr="00EB309F">
        <w:t xml:space="preserve"> a los ___</w:t>
      </w:r>
      <w:r w:rsidRPr="00EB309F">
        <w:t xml:space="preserve"> (</w:t>
      </w:r>
      <w:r w:rsidR="00EB309F" w:rsidRPr="00EB309F">
        <w:t>__</w:t>
      </w:r>
      <w:r w:rsidRPr="00EB309F">
        <w:t xml:space="preserve">) días del mes de </w:t>
      </w:r>
      <w:r w:rsidR="00EB309F" w:rsidRPr="00EB309F">
        <w:t>junio</w:t>
      </w:r>
      <w:r w:rsidRPr="00EB309F">
        <w:t xml:space="preserve"> de dos mil dieci</w:t>
      </w:r>
      <w:r w:rsidR="00EB309F" w:rsidRPr="00EB309F">
        <w:t>nueve (2019</w:t>
      </w:r>
      <w:r w:rsidRPr="00EB309F">
        <w:t>).</w:t>
      </w:r>
    </w:p>
    <w:p w:rsidR="00D86CD8" w:rsidRPr="00EB309F" w:rsidRDefault="00D86CD8" w:rsidP="00D86CD8">
      <w:pPr>
        <w:ind w:right="81"/>
      </w:pPr>
    </w:p>
    <w:p w:rsidR="00D86CD8" w:rsidRPr="00EB309F" w:rsidRDefault="00D86CD8" w:rsidP="00D86CD8">
      <w:pPr>
        <w:ind w:right="81"/>
      </w:pPr>
    </w:p>
    <w:p w:rsidR="00D86CD8" w:rsidRPr="00EB309F" w:rsidRDefault="00D86CD8" w:rsidP="00D86CD8">
      <w:pPr>
        <w:ind w:right="81"/>
      </w:pPr>
    </w:p>
    <w:p w:rsidR="00D86CD8" w:rsidRPr="00EB309F" w:rsidRDefault="00D86CD8" w:rsidP="00D86CD8">
      <w:pPr>
        <w:ind w:right="81"/>
      </w:pPr>
    </w:p>
    <w:p w:rsidR="00D86CD8" w:rsidRPr="00EB309F" w:rsidRDefault="00D86CD8" w:rsidP="00D86CD8">
      <w:pPr>
        <w:spacing w:line="0" w:lineRule="atLeast"/>
        <w:ind w:right="81"/>
        <w:rPr>
          <w:b/>
          <w:color w:val="000000" w:themeColor="text1"/>
        </w:rPr>
      </w:pPr>
      <w:r w:rsidRPr="00EB309F">
        <w:rPr>
          <w:b/>
          <w:color w:val="000000" w:themeColor="text1"/>
        </w:rPr>
        <w:t>ANDRÉS VALENCIA</w:t>
      </w:r>
      <w:r w:rsidRPr="00EB309F">
        <w:rPr>
          <w:b/>
          <w:color w:val="000000" w:themeColor="text1"/>
        </w:rPr>
        <w:tab/>
        <w:t xml:space="preserve"> PINZÓN</w:t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b/>
          <w:color w:val="000000" w:themeColor="text1"/>
        </w:rPr>
        <w:t>CLAUDIA ACOSTA ECHEVERRÍA</w:t>
      </w:r>
    </w:p>
    <w:p w:rsidR="00D86CD8" w:rsidRPr="00A60AC7" w:rsidRDefault="00D86CD8" w:rsidP="00D86CD8">
      <w:pPr>
        <w:spacing w:line="0" w:lineRule="atLeast"/>
        <w:ind w:right="81" w:firstLine="720"/>
        <w:rPr>
          <w:color w:val="000000" w:themeColor="text1"/>
        </w:rPr>
      </w:pPr>
      <w:r w:rsidRPr="00EB309F">
        <w:rPr>
          <w:color w:val="000000" w:themeColor="text1"/>
        </w:rPr>
        <w:t>Presidente</w:t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</w:r>
      <w:r w:rsidRPr="00EB309F">
        <w:rPr>
          <w:color w:val="000000" w:themeColor="text1"/>
        </w:rPr>
        <w:tab/>
        <w:t>Secretaria Técnica (E)</w:t>
      </w:r>
      <w:r w:rsidRPr="00A60AC7">
        <w:rPr>
          <w:color w:val="000000" w:themeColor="text1"/>
        </w:rPr>
        <w:t xml:space="preserve"> </w:t>
      </w:r>
    </w:p>
    <w:p w:rsidR="00D86CD8" w:rsidRPr="00A60AC7" w:rsidRDefault="00D86CD8" w:rsidP="00D86CD8">
      <w:pPr>
        <w:pStyle w:val="Textoindependiente"/>
        <w:ind w:right="81"/>
      </w:pPr>
    </w:p>
    <w:p w:rsidR="00D86CD8" w:rsidRPr="00A60AC7" w:rsidRDefault="00D86CD8" w:rsidP="00D86CD8">
      <w:pPr>
        <w:pStyle w:val="Textoindependiente"/>
        <w:ind w:right="81"/>
      </w:pPr>
    </w:p>
    <w:p w:rsidR="00674E74" w:rsidRDefault="00674E74"/>
    <w:sectPr w:rsidR="00674E74">
      <w:footerReference w:type="default" r:id="rId7"/>
      <w:pgSz w:w="11910" w:h="16840"/>
      <w:pgMar w:top="1580" w:right="15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C2" w:rsidRDefault="00E13CC2">
      <w:r>
        <w:separator/>
      </w:r>
    </w:p>
  </w:endnote>
  <w:endnote w:type="continuationSeparator" w:id="0">
    <w:p w:rsidR="00E13CC2" w:rsidRDefault="00E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152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6CB7" w:rsidRPr="007C6CB7" w:rsidRDefault="00EB309F">
        <w:pPr>
          <w:pStyle w:val="Piedepgina"/>
          <w:jc w:val="right"/>
          <w:rPr>
            <w:sz w:val="20"/>
          </w:rPr>
        </w:pPr>
        <w:r w:rsidRPr="007C6CB7">
          <w:rPr>
            <w:sz w:val="20"/>
          </w:rPr>
          <w:fldChar w:fldCharType="begin"/>
        </w:r>
        <w:r w:rsidRPr="007C6CB7">
          <w:rPr>
            <w:sz w:val="20"/>
          </w:rPr>
          <w:instrText>PAGE   \* MERGEFORMAT</w:instrText>
        </w:r>
        <w:r w:rsidRPr="007C6CB7">
          <w:rPr>
            <w:sz w:val="20"/>
          </w:rPr>
          <w:fldChar w:fldCharType="separate"/>
        </w:r>
        <w:r w:rsidR="00162DF2" w:rsidRPr="00162DF2">
          <w:rPr>
            <w:noProof/>
            <w:sz w:val="20"/>
            <w:lang w:val="es-ES"/>
          </w:rPr>
          <w:t>1</w:t>
        </w:r>
        <w:r w:rsidRPr="007C6CB7">
          <w:rPr>
            <w:sz w:val="20"/>
          </w:rPr>
          <w:fldChar w:fldCharType="end"/>
        </w:r>
      </w:p>
    </w:sdtContent>
  </w:sdt>
  <w:p w:rsidR="007C6CB7" w:rsidRDefault="00162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C2" w:rsidRDefault="00E13CC2">
      <w:r>
        <w:separator/>
      </w:r>
    </w:p>
  </w:footnote>
  <w:footnote w:type="continuationSeparator" w:id="0">
    <w:p w:rsidR="00E13CC2" w:rsidRDefault="00E1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90E"/>
    <w:multiLevelType w:val="hybridMultilevel"/>
    <w:tmpl w:val="8A0087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ECC"/>
    <w:multiLevelType w:val="hybridMultilevel"/>
    <w:tmpl w:val="40346B54"/>
    <w:lvl w:ilvl="0" w:tplc="C42C8390">
      <w:start w:val="1"/>
      <w:numFmt w:val="lowerLetter"/>
      <w:lvlText w:val="%1."/>
      <w:lvlJc w:val="left"/>
      <w:pPr>
        <w:ind w:left="1655" w:hanging="360"/>
      </w:pPr>
      <w:rPr>
        <w:rFonts w:ascii="Arial" w:eastAsia="Arial" w:hAnsi="Arial" w:cs="Arial"/>
        <w:w w:val="92"/>
        <w:sz w:val="22"/>
        <w:szCs w:val="22"/>
        <w:lang w:val="es-CO" w:eastAsia="es-CO" w:bidi="es-C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EDA"/>
    <w:multiLevelType w:val="hybridMultilevel"/>
    <w:tmpl w:val="BE041C88"/>
    <w:lvl w:ilvl="0" w:tplc="D7A2E4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5C8"/>
    <w:multiLevelType w:val="hybridMultilevel"/>
    <w:tmpl w:val="8A0087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4059"/>
    <w:multiLevelType w:val="hybridMultilevel"/>
    <w:tmpl w:val="04103E48"/>
    <w:lvl w:ilvl="0" w:tplc="08C6F4E4">
      <w:start w:val="1"/>
      <w:numFmt w:val="lowerLetter"/>
      <w:lvlText w:val="%1)"/>
      <w:lvlJc w:val="left"/>
      <w:pPr>
        <w:ind w:left="9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CO" w:eastAsia="es-CO" w:bidi="es-CO"/>
      </w:rPr>
    </w:lvl>
    <w:lvl w:ilvl="1" w:tplc="C42C8390">
      <w:start w:val="1"/>
      <w:numFmt w:val="lowerLetter"/>
      <w:lvlText w:val="%2."/>
      <w:lvlJc w:val="left"/>
      <w:pPr>
        <w:ind w:left="1655" w:hanging="360"/>
      </w:pPr>
      <w:rPr>
        <w:rFonts w:ascii="Arial" w:eastAsia="Arial" w:hAnsi="Arial" w:cs="Arial"/>
        <w:w w:val="92"/>
        <w:sz w:val="22"/>
        <w:szCs w:val="22"/>
        <w:lang w:val="es-CO" w:eastAsia="es-CO" w:bidi="es-CO"/>
      </w:rPr>
    </w:lvl>
    <w:lvl w:ilvl="2" w:tplc="591E2BEC">
      <w:numFmt w:val="bullet"/>
      <w:lvlText w:val="•"/>
      <w:lvlJc w:val="left"/>
      <w:pPr>
        <w:ind w:left="2460" w:hanging="360"/>
      </w:pPr>
      <w:rPr>
        <w:rFonts w:hint="default"/>
        <w:lang w:val="es-CO" w:eastAsia="es-CO" w:bidi="es-CO"/>
      </w:rPr>
    </w:lvl>
    <w:lvl w:ilvl="3" w:tplc="437EA5D6">
      <w:numFmt w:val="bullet"/>
      <w:lvlText w:val="•"/>
      <w:lvlJc w:val="left"/>
      <w:pPr>
        <w:ind w:left="3261" w:hanging="360"/>
      </w:pPr>
      <w:rPr>
        <w:rFonts w:hint="default"/>
        <w:lang w:val="es-CO" w:eastAsia="es-CO" w:bidi="es-CO"/>
      </w:rPr>
    </w:lvl>
    <w:lvl w:ilvl="4" w:tplc="80247202">
      <w:numFmt w:val="bullet"/>
      <w:lvlText w:val="•"/>
      <w:lvlJc w:val="left"/>
      <w:pPr>
        <w:ind w:left="4062" w:hanging="360"/>
      </w:pPr>
      <w:rPr>
        <w:rFonts w:hint="default"/>
        <w:lang w:val="es-CO" w:eastAsia="es-CO" w:bidi="es-CO"/>
      </w:rPr>
    </w:lvl>
    <w:lvl w:ilvl="5" w:tplc="547EDAB0">
      <w:numFmt w:val="bullet"/>
      <w:lvlText w:val="•"/>
      <w:lvlJc w:val="left"/>
      <w:pPr>
        <w:ind w:left="4862" w:hanging="360"/>
      </w:pPr>
      <w:rPr>
        <w:rFonts w:hint="default"/>
        <w:lang w:val="es-CO" w:eastAsia="es-CO" w:bidi="es-CO"/>
      </w:rPr>
    </w:lvl>
    <w:lvl w:ilvl="6" w:tplc="556C6752">
      <w:numFmt w:val="bullet"/>
      <w:lvlText w:val="•"/>
      <w:lvlJc w:val="left"/>
      <w:pPr>
        <w:ind w:left="5663" w:hanging="360"/>
      </w:pPr>
      <w:rPr>
        <w:rFonts w:hint="default"/>
        <w:lang w:val="es-CO" w:eastAsia="es-CO" w:bidi="es-CO"/>
      </w:rPr>
    </w:lvl>
    <w:lvl w:ilvl="7" w:tplc="43D00254">
      <w:numFmt w:val="bullet"/>
      <w:lvlText w:val="•"/>
      <w:lvlJc w:val="left"/>
      <w:pPr>
        <w:ind w:left="6464" w:hanging="360"/>
      </w:pPr>
      <w:rPr>
        <w:rFonts w:hint="default"/>
        <w:lang w:val="es-CO" w:eastAsia="es-CO" w:bidi="es-CO"/>
      </w:rPr>
    </w:lvl>
    <w:lvl w:ilvl="8" w:tplc="C4242130">
      <w:numFmt w:val="bullet"/>
      <w:lvlText w:val="•"/>
      <w:lvlJc w:val="left"/>
      <w:pPr>
        <w:ind w:left="7264" w:hanging="360"/>
      </w:pPr>
      <w:rPr>
        <w:rFonts w:hint="default"/>
        <w:lang w:val="es-CO" w:eastAsia="es-CO" w:bidi="es-CO"/>
      </w:rPr>
    </w:lvl>
  </w:abstractNum>
  <w:abstractNum w:abstractNumId="5" w15:restartNumberingAfterBreak="0">
    <w:nsid w:val="319F51C4"/>
    <w:multiLevelType w:val="hybridMultilevel"/>
    <w:tmpl w:val="B832C71C"/>
    <w:lvl w:ilvl="0" w:tplc="25860646">
      <w:start w:val="1"/>
      <w:numFmt w:val="lowerLetter"/>
      <w:lvlText w:val="%1."/>
      <w:lvlJc w:val="left"/>
      <w:pPr>
        <w:ind w:left="902" w:hanging="360"/>
      </w:pPr>
      <w:rPr>
        <w:rFonts w:ascii="Arial" w:eastAsia="Arial" w:hAnsi="Arial" w:cs="Arial"/>
        <w:spacing w:val="-1"/>
        <w:w w:val="100"/>
        <w:sz w:val="22"/>
        <w:szCs w:val="22"/>
        <w:lang w:val="es-CO" w:eastAsia="es-CO" w:bidi="es-CO"/>
      </w:rPr>
    </w:lvl>
    <w:lvl w:ilvl="1" w:tplc="D04A4C2C">
      <w:numFmt w:val="bullet"/>
      <w:lvlText w:val="•"/>
      <w:lvlJc w:val="left"/>
      <w:pPr>
        <w:ind w:left="1696" w:hanging="360"/>
      </w:pPr>
      <w:rPr>
        <w:rFonts w:hint="default"/>
        <w:lang w:val="es-CO" w:eastAsia="es-CO" w:bidi="es-CO"/>
      </w:rPr>
    </w:lvl>
    <w:lvl w:ilvl="2" w:tplc="B62095A0">
      <w:numFmt w:val="bullet"/>
      <w:lvlText w:val="•"/>
      <w:lvlJc w:val="left"/>
      <w:pPr>
        <w:ind w:left="2493" w:hanging="360"/>
      </w:pPr>
      <w:rPr>
        <w:rFonts w:hint="default"/>
        <w:lang w:val="es-CO" w:eastAsia="es-CO" w:bidi="es-CO"/>
      </w:rPr>
    </w:lvl>
    <w:lvl w:ilvl="3" w:tplc="C23E39EE">
      <w:numFmt w:val="bullet"/>
      <w:lvlText w:val="•"/>
      <w:lvlJc w:val="left"/>
      <w:pPr>
        <w:ind w:left="3289" w:hanging="360"/>
      </w:pPr>
      <w:rPr>
        <w:rFonts w:hint="default"/>
        <w:lang w:val="es-CO" w:eastAsia="es-CO" w:bidi="es-CO"/>
      </w:rPr>
    </w:lvl>
    <w:lvl w:ilvl="4" w:tplc="ADC4ADD8">
      <w:numFmt w:val="bullet"/>
      <w:lvlText w:val="•"/>
      <w:lvlJc w:val="left"/>
      <w:pPr>
        <w:ind w:left="4086" w:hanging="360"/>
      </w:pPr>
      <w:rPr>
        <w:rFonts w:hint="default"/>
        <w:lang w:val="es-CO" w:eastAsia="es-CO" w:bidi="es-CO"/>
      </w:rPr>
    </w:lvl>
    <w:lvl w:ilvl="5" w:tplc="C7B4DF64">
      <w:numFmt w:val="bullet"/>
      <w:lvlText w:val="•"/>
      <w:lvlJc w:val="left"/>
      <w:pPr>
        <w:ind w:left="4883" w:hanging="360"/>
      </w:pPr>
      <w:rPr>
        <w:rFonts w:hint="default"/>
        <w:lang w:val="es-CO" w:eastAsia="es-CO" w:bidi="es-CO"/>
      </w:rPr>
    </w:lvl>
    <w:lvl w:ilvl="6" w:tplc="A19A0FEC">
      <w:numFmt w:val="bullet"/>
      <w:lvlText w:val="•"/>
      <w:lvlJc w:val="left"/>
      <w:pPr>
        <w:ind w:left="5679" w:hanging="360"/>
      </w:pPr>
      <w:rPr>
        <w:rFonts w:hint="default"/>
        <w:lang w:val="es-CO" w:eastAsia="es-CO" w:bidi="es-CO"/>
      </w:rPr>
    </w:lvl>
    <w:lvl w:ilvl="7" w:tplc="2ABCB558">
      <w:numFmt w:val="bullet"/>
      <w:lvlText w:val="•"/>
      <w:lvlJc w:val="left"/>
      <w:pPr>
        <w:ind w:left="6476" w:hanging="360"/>
      </w:pPr>
      <w:rPr>
        <w:rFonts w:hint="default"/>
        <w:lang w:val="es-CO" w:eastAsia="es-CO" w:bidi="es-CO"/>
      </w:rPr>
    </w:lvl>
    <w:lvl w:ilvl="8" w:tplc="93186F46">
      <w:numFmt w:val="bullet"/>
      <w:lvlText w:val="•"/>
      <w:lvlJc w:val="left"/>
      <w:pPr>
        <w:ind w:left="7273" w:hanging="360"/>
      </w:pPr>
      <w:rPr>
        <w:rFonts w:hint="default"/>
        <w:lang w:val="es-CO" w:eastAsia="es-CO" w:bidi="es-CO"/>
      </w:rPr>
    </w:lvl>
  </w:abstractNum>
  <w:abstractNum w:abstractNumId="6" w15:restartNumberingAfterBreak="0">
    <w:nsid w:val="4C081016"/>
    <w:multiLevelType w:val="multilevel"/>
    <w:tmpl w:val="0DC6DDA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687140"/>
    <w:multiLevelType w:val="hybridMultilevel"/>
    <w:tmpl w:val="159C67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04C0E"/>
    <w:multiLevelType w:val="hybridMultilevel"/>
    <w:tmpl w:val="D5BA0072"/>
    <w:lvl w:ilvl="0" w:tplc="251C0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06E94"/>
    <w:multiLevelType w:val="hybridMultilevel"/>
    <w:tmpl w:val="2BE2D8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6DB1"/>
    <w:multiLevelType w:val="hybridMultilevel"/>
    <w:tmpl w:val="BE041C88"/>
    <w:lvl w:ilvl="0" w:tplc="D7A2E4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8"/>
    <w:rsid w:val="00055329"/>
    <w:rsid w:val="000B5591"/>
    <w:rsid w:val="000C1036"/>
    <w:rsid w:val="00146750"/>
    <w:rsid w:val="00155504"/>
    <w:rsid w:val="00162DF2"/>
    <w:rsid w:val="001856BD"/>
    <w:rsid w:val="001E3EA4"/>
    <w:rsid w:val="00207E40"/>
    <w:rsid w:val="00240CFE"/>
    <w:rsid w:val="002C2E32"/>
    <w:rsid w:val="003207F9"/>
    <w:rsid w:val="003772A7"/>
    <w:rsid w:val="003E2F50"/>
    <w:rsid w:val="00415D64"/>
    <w:rsid w:val="00417AC4"/>
    <w:rsid w:val="00453814"/>
    <w:rsid w:val="0045407B"/>
    <w:rsid w:val="004F072C"/>
    <w:rsid w:val="00504EA0"/>
    <w:rsid w:val="00525469"/>
    <w:rsid w:val="00590876"/>
    <w:rsid w:val="005A66A0"/>
    <w:rsid w:val="005C4508"/>
    <w:rsid w:val="005D78DA"/>
    <w:rsid w:val="005F3299"/>
    <w:rsid w:val="00674E74"/>
    <w:rsid w:val="00683341"/>
    <w:rsid w:val="0068368A"/>
    <w:rsid w:val="00703A23"/>
    <w:rsid w:val="00730ABD"/>
    <w:rsid w:val="0074131F"/>
    <w:rsid w:val="00775019"/>
    <w:rsid w:val="0078045C"/>
    <w:rsid w:val="00786A7C"/>
    <w:rsid w:val="007E52F6"/>
    <w:rsid w:val="007F0061"/>
    <w:rsid w:val="008064B8"/>
    <w:rsid w:val="00850E7B"/>
    <w:rsid w:val="008D4651"/>
    <w:rsid w:val="008D62E7"/>
    <w:rsid w:val="008F24BC"/>
    <w:rsid w:val="00934FB4"/>
    <w:rsid w:val="00960CF6"/>
    <w:rsid w:val="00975842"/>
    <w:rsid w:val="009F16C6"/>
    <w:rsid w:val="00A24DA5"/>
    <w:rsid w:val="00A52E06"/>
    <w:rsid w:val="00A73453"/>
    <w:rsid w:val="00A73D03"/>
    <w:rsid w:val="00A86709"/>
    <w:rsid w:val="00A97977"/>
    <w:rsid w:val="00AC2E8F"/>
    <w:rsid w:val="00AD08B2"/>
    <w:rsid w:val="00AE2B8C"/>
    <w:rsid w:val="00AF5F37"/>
    <w:rsid w:val="00B17C1A"/>
    <w:rsid w:val="00B40C4F"/>
    <w:rsid w:val="00B44B4B"/>
    <w:rsid w:val="00B63F6C"/>
    <w:rsid w:val="00C035B7"/>
    <w:rsid w:val="00C63C28"/>
    <w:rsid w:val="00D06534"/>
    <w:rsid w:val="00D365F0"/>
    <w:rsid w:val="00D7616E"/>
    <w:rsid w:val="00D86CD8"/>
    <w:rsid w:val="00DC49B3"/>
    <w:rsid w:val="00DC6955"/>
    <w:rsid w:val="00DD7C64"/>
    <w:rsid w:val="00DE3E6F"/>
    <w:rsid w:val="00DF73D6"/>
    <w:rsid w:val="00E13CC2"/>
    <w:rsid w:val="00E216FA"/>
    <w:rsid w:val="00E4297A"/>
    <w:rsid w:val="00E60481"/>
    <w:rsid w:val="00EB309F"/>
    <w:rsid w:val="00F03A54"/>
    <w:rsid w:val="00F2372B"/>
    <w:rsid w:val="00F375E6"/>
    <w:rsid w:val="00F47340"/>
    <w:rsid w:val="00F51A13"/>
    <w:rsid w:val="00F52757"/>
    <w:rsid w:val="00F927BE"/>
    <w:rsid w:val="00F9582F"/>
    <w:rsid w:val="00FA5B8C"/>
    <w:rsid w:val="00FC1E44"/>
    <w:rsid w:val="00FC238D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BA67-4EEA-4A6B-8786-8B5EDC9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6C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D86CD8"/>
    <w:pPr>
      <w:ind w:left="141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6CD8"/>
    <w:rPr>
      <w:rFonts w:ascii="Arial" w:eastAsia="Arial" w:hAnsi="Arial" w:cs="Arial"/>
      <w:b/>
      <w:bCs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D86CD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6CD8"/>
    <w:rPr>
      <w:rFonts w:ascii="Arial" w:eastAsia="Arial" w:hAnsi="Arial" w:cs="Arial"/>
      <w:lang w:eastAsia="es-CO" w:bidi="es-CO"/>
    </w:rPr>
  </w:style>
  <w:style w:type="paragraph" w:styleId="Prrafodelista">
    <w:name w:val="List Paragraph"/>
    <w:aliases w:val="Segundo nivel de viñetas"/>
    <w:basedOn w:val="Normal"/>
    <w:qFormat/>
    <w:rsid w:val="00D86CD8"/>
    <w:pPr>
      <w:ind w:left="902" w:hanging="360"/>
    </w:pPr>
  </w:style>
  <w:style w:type="character" w:customStyle="1" w:styleId="asset-entry-summary">
    <w:name w:val="asset-entry-summary"/>
    <w:basedOn w:val="Fuentedeprrafopredeter"/>
    <w:rsid w:val="00D86CD8"/>
  </w:style>
  <w:style w:type="table" w:customStyle="1" w:styleId="Tabladecuadrcula4-nfasis64">
    <w:name w:val="Tabla de cuadrícula 4 - Énfasis 64"/>
    <w:basedOn w:val="Tablanormal"/>
    <w:next w:val="Tabladecuadrcula4-nfasis6"/>
    <w:uiPriority w:val="49"/>
    <w:rsid w:val="00D86CD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D86C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CD8"/>
    <w:rPr>
      <w:rFonts w:ascii="Arial" w:eastAsia="Arial" w:hAnsi="Arial" w:cs="Arial"/>
      <w:lang w:eastAsia="es-CO" w:bidi="es-CO"/>
    </w:rPr>
  </w:style>
  <w:style w:type="table" w:customStyle="1" w:styleId="Tabladecuadrcula4-nfasis641">
    <w:name w:val="Tabla de cuadrícula 4 - Énfasis 641"/>
    <w:basedOn w:val="Tablanormal"/>
    <w:next w:val="Tabladecuadrcula4-nfasis6"/>
    <w:uiPriority w:val="49"/>
    <w:rsid w:val="00D86CD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D86C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A66A0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A66A0"/>
    <w:rPr>
      <w:rFonts w:eastAsiaTheme="minorEastAsia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66A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s-ES_tradnl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66A0"/>
    <w:rPr>
      <w:rFonts w:eastAsiaTheme="minorEastAsi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A66A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E3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E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E6F"/>
    <w:rPr>
      <w:rFonts w:ascii="Arial" w:eastAsia="Arial" w:hAnsi="Arial" w:cs="Arial"/>
      <w:sz w:val="20"/>
      <w:szCs w:val="20"/>
      <w:lang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E6F"/>
    <w:rPr>
      <w:rFonts w:ascii="Arial" w:eastAsia="Arial" w:hAnsi="Arial" w:cs="Arial"/>
      <w:b/>
      <w:bCs/>
      <w:sz w:val="20"/>
      <w:szCs w:val="20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6F"/>
    <w:rPr>
      <w:rFonts w:ascii="Segoe UI" w:eastAsia="Arial" w:hAnsi="Segoe UI" w:cs="Segoe UI"/>
      <w:sz w:val="18"/>
      <w:szCs w:val="18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5094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 Hurtado Beltrán</dc:creator>
  <cp:keywords/>
  <dc:description/>
  <cp:lastModifiedBy>Claudia Lorena Hurtado Beltrán</cp:lastModifiedBy>
  <cp:revision>2</cp:revision>
  <cp:lastPrinted>2019-05-29T17:15:00Z</cp:lastPrinted>
  <dcterms:created xsi:type="dcterms:W3CDTF">2019-05-31T21:04:00Z</dcterms:created>
  <dcterms:modified xsi:type="dcterms:W3CDTF">2019-05-31T21:04:00Z</dcterms:modified>
</cp:coreProperties>
</file>