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FF0E1" w14:textId="77777777" w:rsidR="008A4E27" w:rsidRPr="00777993" w:rsidRDefault="008A4E27" w:rsidP="008A4E27">
      <w:pPr>
        <w:pStyle w:val="c4"/>
        <w:tabs>
          <w:tab w:val="left" w:pos="-374"/>
          <w:tab w:val="left" w:pos="0"/>
        </w:tabs>
        <w:spacing w:line="240" w:lineRule="auto"/>
        <w:rPr>
          <w:rFonts w:ascii="Arial" w:hAnsi="Arial" w:cs="Arial"/>
          <w:b/>
          <w:color w:val="000000" w:themeColor="text1"/>
          <w:sz w:val="22"/>
          <w:szCs w:val="22"/>
          <w:lang w:val="es-CO"/>
        </w:rPr>
      </w:pPr>
      <w:bookmarkStart w:id="0" w:name="_GoBack"/>
      <w:bookmarkEnd w:id="0"/>
      <w:r w:rsidRPr="00777993">
        <w:rPr>
          <w:rFonts w:ascii="Arial" w:hAnsi="Arial" w:cs="Arial"/>
          <w:b/>
          <w:color w:val="000000" w:themeColor="text1"/>
          <w:sz w:val="22"/>
          <w:szCs w:val="22"/>
          <w:lang w:val="es-CO"/>
        </w:rPr>
        <w:t>REPÚBLICA DE COLOMBIA</w:t>
      </w:r>
    </w:p>
    <w:p w14:paraId="672A6659" w14:textId="77777777" w:rsidR="008A4E27" w:rsidRPr="00777993" w:rsidRDefault="008A4E27" w:rsidP="008A4E27">
      <w:pPr>
        <w:tabs>
          <w:tab w:val="left" w:pos="204"/>
        </w:tabs>
        <w:jc w:val="center"/>
        <w:rPr>
          <w:rFonts w:ascii="Arial" w:hAnsi="Arial" w:cs="Arial"/>
          <w:b/>
          <w:color w:val="000000" w:themeColor="text1"/>
          <w:sz w:val="22"/>
          <w:szCs w:val="22"/>
        </w:rPr>
      </w:pPr>
    </w:p>
    <w:p w14:paraId="45486BC5" w14:textId="77777777" w:rsidR="008A4E27" w:rsidRPr="00777993" w:rsidRDefault="008A4E27" w:rsidP="008A4E27">
      <w:pPr>
        <w:pStyle w:val="c4"/>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COMISIÓN NACIONAL DE CRÉDITO AGROPECUARIO</w:t>
      </w:r>
    </w:p>
    <w:p w14:paraId="0A37501D" w14:textId="77777777" w:rsidR="008A4E27" w:rsidRPr="00777993" w:rsidRDefault="008A4E27" w:rsidP="008A4E27">
      <w:pPr>
        <w:tabs>
          <w:tab w:val="left" w:pos="204"/>
        </w:tabs>
        <w:jc w:val="center"/>
        <w:rPr>
          <w:rFonts w:ascii="Arial" w:hAnsi="Arial" w:cs="Arial"/>
          <w:b/>
          <w:color w:val="000000" w:themeColor="text1"/>
          <w:sz w:val="22"/>
          <w:szCs w:val="22"/>
        </w:rPr>
      </w:pPr>
    </w:p>
    <w:p w14:paraId="31E53C10" w14:textId="77777777" w:rsidR="008A4E27" w:rsidRPr="00C6005C" w:rsidRDefault="008A4E27" w:rsidP="008A4E27">
      <w:pPr>
        <w:pStyle w:val="c5"/>
        <w:tabs>
          <w:tab w:val="left" w:pos="204"/>
        </w:tabs>
        <w:spacing w:line="240" w:lineRule="auto"/>
        <w:rPr>
          <w:rFonts w:ascii="Arial" w:hAnsi="Arial" w:cs="Arial"/>
          <w:b/>
          <w:sz w:val="22"/>
          <w:szCs w:val="22"/>
          <w:lang w:val="es-CO"/>
        </w:rPr>
      </w:pPr>
      <w:r w:rsidRPr="00C6005C">
        <w:rPr>
          <w:rFonts w:ascii="Arial" w:hAnsi="Arial" w:cs="Arial"/>
          <w:b/>
          <w:sz w:val="22"/>
          <w:szCs w:val="22"/>
          <w:lang w:val="es-CO"/>
        </w:rPr>
        <w:t>RESOLUCIÓN No.__ DE 2019</w:t>
      </w:r>
    </w:p>
    <w:p w14:paraId="2C4EDC7F" w14:textId="77777777" w:rsidR="008A4E27" w:rsidRPr="00C6005C" w:rsidRDefault="008A4E27" w:rsidP="008A4E27">
      <w:pPr>
        <w:pStyle w:val="c5"/>
        <w:tabs>
          <w:tab w:val="left" w:pos="204"/>
        </w:tabs>
        <w:spacing w:line="240" w:lineRule="auto"/>
        <w:rPr>
          <w:rFonts w:ascii="Arial" w:hAnsi="Arial" w:cs="Arial"/>
          <w:b/>
          <w:sz w:val="22"/>
          <w:szCs w:val="22"/>
          <w:lang w:val="es-CO"/>
        </w:rPr>
      </w:pPr>
      <w:r w:rsidRPr="00C6005C">
        <w:rPr>
          <w:rFonts w:ascii="Arial" w:hAnsi="Arial" w:cs="Arial"/>
          <w:b/>
          <w:sz w:val="22"/>
          <w:szCs w:val="22"/>
          <w:lang w:val="es-CO"/>
        </w:rPr>
        <w:t>(</w:t>
      </w:r>
      <w:r w:rsidR="00C90E56" w:rsidRPr="00C6005C">
        <w:rPr>
          <w:rFonts w:ascii="Arial" w:hAnsi="Arial" w:cs="Arial"/>
          <w:b/>
          <w:sz w:val="22"/>
          <w:szCs w:val="22"/>
          <w:lang w:val="es-CO"/>
        </w:rPr>
        <w:t xml:space="preserve">Junio </w:t>
      </w:r>
      <w:proofErr w:type="gramStart"/>
      <w:r w:rsidR="00C90E56" w:rsidRPr="00C6005C">
        <w:rPr>
          <w:rFonts w:ascii="Arial" w:hAnsi="Arial" w:cs="Arial"/>
          <w:b/>
          <w:sz w:val="22"/>
          <w:szCs w:val="22"/>
          <w:lang w:val="es-CO"/>
        </w:rPr>
        <w:t>11</w:t>
      </w:r>
      <w:r w:rsidRPr="00C6005C">
        <w:rPr>
          <w:rFonts w:ascii="Arial" w:hAnsi="Arial" w:cs="Arial"/>
          <w:b/>
          <w:sz w:val="22"/>
          <w:szCs w:val="22"/>
          <w:lang w:val="es-CO"/>
        </w:rPr>
        <w:t xml:space="preserve"> )</w:t>
      </w:r>
      <w:proofErr w:type="gramEnd"/>
    </w:p>
    <w:p w14:paraId="5DAB6C7B" w14:textId="77777777" w:rsidR="008A4E27" w:rsidRPr="00777993" w:rsidRDefault="008A4E27" w:rsidP="00FE443E">
      <w:pPr>
        <w:tabs>
          <w:tab w:val="left" w:pos="204"/>
        </w:tabs>
        <w:rPr>
          <w:rFonts w:ascii="Arial" w:hAnsi="Arial" w:cs="Arial"/>
          <w:color w:val="000000" w:themeColor="text1"/>
          <w:sz w:val="22"/>
          <w:szCs w:val="22"/>
        </w:rPr>
      </w:pPr>
    </w:p>
    <w:p w14:paraId="2FDE6ED6" w14:textId="77777777" w:rsidR="001863C0" w:rsidRPr="00777993" w:rsidRDefault="001863C0" w:rsidP="001863C0">
      <w:pPr>
        <w:pStyle w:val="c5"/>
        <w:tabs>
          <w:tab w:val="left" w:pos="204"/>
        </w:tabs>
        <w:spacing w:line="240" w:lineRule="auto"/>
        <w:rPr>
          <w:rFonts w:ascii="Arial" w:hAnsi="Arial" w:cs="Arial"/>
          <w:sz w:val="22"/>
          <w:szCs w:val="22"/>
          <w:lang w:val="es-CO"/>
        </w:rPr>
      </w:pPr>
      <w:r w:rsidRPr="00BD6E11">
        <w:rPr>
          <w:rFonts w:ascii="Arial" w:hAnsi="Arial" w:cs="Arial"/>
          <w:sz w:val="22"/>
          <w:szCs w:val="22"/>
          <w:lang w:val="es-CO"/>
        </w:rPr>
        <w:t xml:space="preserve">“Por la cual se establece una Línea Especial de Crédito para </w:t>
      </w:r>
      <w:r w:rsidR="00B87165" w:rsidRPr="00BD6E11">
        <w:rPr>
          <w:rFonts w:ascii="Arial" w:hAnsi="Arial" w:cs="Arial"/>
          <w:sz w:val="22"/>
          <w:szCs w:val="22"/>
          <w:lang w:val="es-CO"/>
        </w:rPr>
        <w:t>incentiv</w:t>
      </w:r>
      <w:r w:rsidR="00BD6E11" w:rsidRPr="00BD6E11">
        <w:rPr>
          <w:rFonts w:ascii="Arial" w:hAnsi="Arial" w:cs="Arial"/>
          <w:sz w:val="22"/>
          <w:szCs w:val="22"/>
          <w:lang w:val="es-CO"/>
        </w:rPr>
        <w:t>ar el</w:t>
      </w:r>
      <w:r w:rsidR="00C90E56" w:rsidRPr="00BD6E11">
        <w:rPr>
          <w:rFonts w:ascii="Arial" w:hAnsi="Arial" w:cs="Arial"/>
          <w:sz w:val="22"/>
          <w:szCs w:val="22"/>
          <w:lang w:val="es-CO"/>
        </w:rPr>
        <w:t xml:space="preserve"> almacenamiento de Arroz</w:t>
      </w:r>
      <w:r w:rsidR="00BD6E11" w:rsidRPr="00BD6E11">
        <w:rPr>
          <w:rFonts w:ascii="Arial" w:hAnsi="Arial" w:cs="Arial"/>
          <w:sz w:val="22"/>
          <w:szCs w:val="22"/>
          <w:lang w:val="es-CO"/>
        </w:rPr>
        <w:t xml:space="preserve"> en el segundo semestre de 2019</w:t>
      </w:r>
      <w:r w:rsidR="00C90E56" w:rsidRPr="00BD6E11">
        <w:rPr>
          <w:rFonts w:ascii="Arial" w:hAnsi="Arial" w:cs="Arial"/>
          <w:sz w:val="22"/>
          <w:szCs w:val="22"/>
          <w:lang w:val="es-CO"/>
        </w:rPr>
        <w:t xml:space="preserve"> </w:t>
      </w:r>
      <w:r w:rsidR="0046149B" w:rsidRPr="00BD6E11">
        <w:rPr>
          <w:rFonts w:ascii="Arial" w:hAnsi="Arial" w:cs="Arial"/>
          <w:bCs/>
          <w:sz w:val="22"/>
          <w:szCs w:val="22"/>
          <w:lang w:val="es-CO"/>
        </w:rPr>
        <w:t>y se adoptan otras disposiciones</w:t>
      </w:r>
      <w:r w:rsidRPr="00BD6E11">
        <w:rPr>
          <w:rFonts w:ascii="Arial" w:hAnsi="Arial" w:cs="Arial"/>
          <w:sz w:val="22"/>
          <w:szCs w:val="22"/>
          <w:lang w:val="es-CO"/>
        </w:rPr>
        <w:t>”</w:t>
      </w:r>
    </w:p>
    <w:p w14:paraId="02EB378F" w14:textId="77777777" w:rsidR="00B175B5" w:rsidRPr="00777993" w:rsidRDefault="00B175B5" w:rsidP="001863C0">
      <w:pPr>
        <w:pStyle w:val="c5"/>
        <w:tabs>
          <w:tab w:val="left" w:pos="204"/>
        </w:tabs>
        <w:spacing w:line="240" w:lineRule="auto"/>
        <w:rPr>
          <w:rFonts w:ascii="Arial" w:hAnsi="Arial" w:cs="Arial"/>
          <w:sz w:val="22"/>
          <w:szCs w:val="22"/>
          <w:lang w:val="es-CO"/>
        </w:rPr>
      </w:pPr>
    </w:p>
    <w:p w14:paraId="6A05A809" w14:textId="77777777" w:rsidR="008A4E27" w:rsidRPr="00777993" w:rsidRDefault="008A4E27" w:rsidP="008A4E27">
      <w:pPr>
        <w:tabs>
          <w:tab w:val="left" w:pos="204"/>
        </w:tabs>
        <w:jc w:val="center"/>
        <w:rPr>
          <w:rFonts w:ascii="Arial" w:hAnsi="Arial" w:cs="Arial"/>
          <w:color w:val="000000" w:themeColor="text1"/>
          <w:sz w:val="22"/>
          <w:szCs w:val="22"/>
        </w:rPr>
      </w:pPr>
    </w:p>
    <w:p w14:paraId="6A282C63" w14:textId="77777777" w:rsidR="008A4E27" w:rsidRPr="00777993" w:rsidRDefault="008A4E27" w:rsidP="008A4E27">
      <w:pPr>
        <w:pStyle w:val="c5"/>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LA COMISIÓN NACIONAL DE CRÉDITO AGROPECUARIO</w:t>
      </w:r>
    </w:p>
    <w:p w14:paraId="5A39BBE3" w14:textId="77777777" w:rsidR="008A4E27" w:rsidRPr="00777993" w:rsidRDefault="008A4E27" w:rsidP="008A4E27">
      <w:pPr>
        <w:tabs>
          <w:tab w:val="left" w:pos="204"/>
        </w:tabs>
        <w:jc w:val="both"/>
        <w:rPr>
          <w:rFonts w:ascii="Arial" w:hAnsi="Arial" w:cs="Arial"/>
          <w:color w:val="000000" w:themeColor="text1"/>
          <w:sz w:val="22"/>
          <w:szCs w:val="22"/>
        </w:rPr>
      </w:pPr>
    </w:p>
    <w:p w14:paraId="78559B3D" w14:textId="77777777" w:rsidR="008A4E27" w:rsidRPr="00777993" w:rsidRDefault="008A4E27" w:rsidP="008A4E27">
      <w:pPr>
        <w:pStyle w:val="p6"/>
        <w:spacing w:line="240" w:lineRule="auto"/>
        <w:ind w:left="0"/>
        <w:rPr>
          <w:rFonts w:ascii="Arial" w:hAnsi="Arial" w:cs="Arial"/>
          <w:color w:val="000000" w:themeColor="text1"/>
          <w:sz w:val="22"/>
          <w:szCs w:val="22"/>
          <w:lang w:val="es-CO"/>
        </w:rPr>
      </w:pPr>
      <w:r w:rsidRPr="00777993">
        <w:rPr>
          <w:rFonts w:ascii="Arial" w:hAnsi="Arial" w:cs="Arial"/>
          <w:color w:val="000000" w:themeColor="text1"/>
          <w:sz w:val="22"/>
          <w:szCs w:val="22"/>
          <w:lang w:val="es-CO"/>
        </w:rPr>
        <w:t>En ejercicio de las facultades conferidas por los artículos 218 y 220 del Estatuto Orgánico del Sistema Financie</w:t>
      </w:r>
      <w:r w:rsidRPr="002D3AE8">
        <w:rPr>
          <w:rFonts w:ascii="Arial" w:hAnsi="Arial" w:cs="Arial"/>
          <w:color w:val="000000" w:themeColor="text1"/>
          <w:sz w:val="22"/>
          <w:szCs w:val="22"/>
          <w:lang w:val="es-CO"/>
        </w:rPr>
        <w:t>ro, las Leyes 16 de 1990, 101 de 1993,</w:t>
      </w:r>
      <w:r w:rsidR="00B33764" w:rsidRPr="002D3AE8">
        <w:rPr>
          <w:rFonts w:ascii="Arial" w:hAnsi="Arial" w:cs="Arial"/>
          <w:color w:val="000000" w:themeColor="text1"/>
          <w:sz w:val="22"/>
          <w:szCs w:val="22"/>
          <w:lang w:val="es-CO"/>
        </w:rPr>
        <w:t xml:space="preserve"> </w:t>
      </w:r>
      <w:r w:rsidRPr="002D3AE8">
        <w:rPr>
          <w:rFonts w:ascii="Arial" w:hAnsi="Arial" w:cs="Arial"/>
          <w:color w:val="000000" w:themeColor="text1"/>
          <w:sz w:val="22"/>
          <w:szCs w:val="22"/>
          <w:lang w:val="es-CO"/>
        </w:rPr>
        <w:t xml:space="preserve">1133 de 2007, 1731 de 2014, el Decreto Ley 2371 de 2015, y </w:t>
      </w:r>
      <w:r w:rsidR="00B562B1" w:rsidRPr="002D3AE8">
        <w:rPr>
          <w:rFonts w:ascii="Arial" w:hAnsi="Arial" w:cs="Arial"/>
          <w:color w:val="000000" w:themeColor="text1"/>
          <w:sz w:val="22"/>
          <w:szCs w:val="22"/>
          <w:lang w:val="es-CO"/>
        </w:rPr>
        <w:t>el</w:t>
      </w:r>
      <w:r w:rsidRPr="002D3AE8">
        <w:rPr>
          <w:rFonts w:ascii="Arial" w:hAnsi="Arial" w:cs="Arial"/>
          <w:color w:val="000000" w:themeColor="text1"/>
          <w:sz w:val="22"/>
          <w:szCs w:val="22"/>
          <w:lang w:val="es-CO"/>
        </w:rPr>
        <w:t xml:space="preserve"> Decreto 1313 de 1990</w:t>
      </w:r>
      <w:r w:rsidR="00DC3062" w:rsidRPr="002D3AE8">
        <w:rPr>
          <w:rFonts w:ascii="Arial" w:hAnsi="Arial" w:cs="Arial"/>
          <w:color w:val="000000" w:themeColor="text1"/>
          <w:sz w:val="22"/>
          <w:szCs w:val="22"/>
          <w:lang w:val="es-CO"/>
        </w:rPr>
        <w:t>,</w:t>
      </w:r>
    </w:p>
    <w:p w14:paraId="41C8F396" w14:textId="77777777" w:rsidR="008A4E27" w:rsidRPr="00777993" w:rsidRDefault="008A4E27" w:rsidP="008A4E27">
      <w:pPr>
        <w:tabs>
          <w:tab w:val="left" w:pos="1479"/>
        </w:tabs>
        <w:jc w:val="center"/>
        <w:rPr>
          <w:rFonts w:ascii="Arial" w:hAnsi="Arial" w:cs="Arial"/>
          <w:b/>
          <w:color w:val="000000" w:themeColor="text1"/>
          <w:sz w:val="22"/>
          <w:szCs w:val="22"/>
        </w:rPr>
      </w:pPr>
    </w:p>
    <w:p w14:paraId="50771C1E" w14:textId="77777777" w:rsidR="008A4E27" w:rsidRPr="00777993" w:rsidRDefault="008A4E27" w:rsidP="008A4E27">
      <w:pPr>
        <w:tabs>
          <w:tab w:val="left" w:pos="1479"/>
        </w:tabs>
        <w:jc w:val="center"/>
        <w:rPr>
          <w:rFonts w:ascii="Arial" w:hAnsi="Arial" w:cs="Arial"/>
          <w:b/>
          <w:color w:val="000000" w:themeColor="text1"/>
          <w:sz w:val="22"/>
          <w:szCs w:val="22"/>
        </w:rPr>
      </w:pPr>
      <w:r w:rsidRPr="00777993">
        <w:rPr>
          <w:rFonts w:ascii="Arial" w:hAnsi="Arial" w:cs="Arial"/>
          <w:b/>
          <w:color w:val="000000" w:themeColor="text1"/>
          <w:sz w:val="22"/>
          <w:szCs w:val="22"/>
        </w:rPr>
        <w:t>CONSIDERANDO</w:t>
      </w:r>
    </w:p>
    <w:p w14:paraId="72A3D3EC" w14:textId="77777777" w:rsidR="008A4E27" w:rsidRPr="00777993" w:rsidRDefault="008A4E27" w:rsidP="008A4E27">
      <w:pPr>
        <w:jc w:val="both"/>
        <w:rPr>
          <w:rFonts w:ascii="Arial" w:hAnsi="Arial" w:cs="Arial"/>
          <w:color w:val="000000" w:themeColor="text1"/>
          <w:sz w:val="22"/>
          <w:szCs w:val="22"/>
        </w:rPr>
      </w:pPr>
    </w:p>
    <w:p w14:paraId="0D0B940D" w14:textId="77777777" w:rsidR="005A6647" w:rsidRPr="00777993" w:rsidRDefault="005A6647" w:rsidP="008A4E27">
      <w:pPr>
        <w:widowControl w:val="0"/>
        <w:autoSpaceDE w:val="0"/>
        <w:autoSpaceDN w:val="0"/>
        <w:ind w:right="81"/>
        <w:jc w:val="both"/>
        <w:rPr>
          <w:rFonts w:ascii="Arial" w:eastAsia="Arial" w:hAnsi="Arial" w:cs="Arial"/>
          <w:b/>
          <w:color w:val="000000" w:themeColor="text1"/>
          <w:sz w:val="22"/>
          <w:szCs w:val="22"/>
          <w:lang w:eastAsia="es-CO" w:bidi="es-CO"/>
        </w:rPr>
      </w:pPr>
    </w:p>
    <w:p w14:paraId="78AE069C" w14:textId="77777777" w:rsidR="008A4E27" w:rsidRPr="00777993" w:rsidRDefault="00581610" w:rsidP="008A4E27">
      <w:pPr>
        <w:widowControl w:val="0"/>
        <w:autoSpaceDE w:val="0"/>
        <w:autoSpaceDN w:val="0"/>
        <w:ind w:right="81"/>
        <w:jc w:val="both"/>
        <w:rPr>
          <w:rFonts w:ascii="Arial" w:eastAsia="Arial" w:hAnsi="Arial" w:cs="Arial"/>
          <w:color w:val="000000" w:themeColor="text1"/>
          <w:sz w:val="22"/>
          <w:szCs w:val="22"/>
          <w:lang w:eastAsia="es-CO" w:bidi="es-CO"/>
        </w:rPr>
      </w:pPr>
      <w:r w:rsidRPr="00777993">
        <w:rPr>
          <w:rFonts w:ascii="Arial" w:eastAsia="Arial" w:hAnsi="Arial" w:cs="Arial"/>
          <w:b/>
          <w:color w:val="000000" w:themeColor="text1"/>
          <w:sz w:val="22"/>
          <w:szCs w:val="22"/>
          <w:lang w:eastAsia="es-CO" w:bidi="es-CO"/>
        </w:rPr>
        <w:t>Primero</w:t>
      </w:r>
      <w:r w:rsidR="008A4E27" w:rsidRPr="00777993">
        <w:rPr>
          <w:rFonts w:ascii="Arial" w:eastAsia="Arial" w:hAnsi="Arial" w:cs="Arial"/>
          <w:color w:val="000000" w:themeColor="text1"/>
          <w:sz w:val="22"/>
          <w:szCs w:val="22"/>
          <w:lang w:eastAsia="es-CO" w:bidi="es-CO"/>
        </w:rPr>
        <w:t xml:space="preserve">. Que de acuerdo con lo dispuesto en </w:t>
      </w:r>
      <w:r w:rsidR="002339EC">
        <w:rPr>
          <w:rFonts w:ascii="Arial" w:eastAsia="Arial" w:hAnsi="Arial" w:cs="Arial"/>
          <w:color w:val="000000" w:themeColor="text1"/>
          <w:sz w:val="22"/>
          <w:szCs w:val="22"/>
          <w:lang w:eastAsia="es-CO" w:bidi="es-CO"/>
        </w:rPr>
        <w:t xml:space="preserve">el </w:t>
      </w:r>
      <w:r w:rsidR="008A4E27" w:rsidRPr="00777993">
        <w:rPr>
          <w:rFonts w:ascii="Arial" w:eastAsia="Arial" w:hAnsi="Arial" w:cs="Arial"/>
          <w:color w:val="000000" w:themeColor="text1"/>
          <w:sz w:val="22"/>
          <w:szCs w:val="22"/>
          <w:lang w:eastAsia="es-CO" w:bidi="es-CO"/>
        </w:rPr>
        <w:t>numeral 2. del artículo 218 del Estatuto Orgánico del Sistema Financiero, modificado por el artículo 2</w:t>
      </w:r>
      <w:r w:rsidR="00CC4E45" w:rsidRPr="00777993">
        <w:rPr>
          <w:rFonts w:ascii="Arial" w:eastAsia="Arial" w:hAnsi="Arial" w:cs="Arial"/>
          <w:color w:val="000000" w:themeColor="text1"/>
          <w:sz w:val="22"/>
          <w:szCs w:val="22"/>
          <w:lang w:eastAsia="es-CO" w:bidi="es-CO"/>
        </w:rPr>
        <w:t>o.</w:t>
      </w:r>
      <w:r w:rsidR="008A4E27" w:rsidRPr="00777993">
        <w:rPr>
          <w:rFonts w:ascii="Arial" w:eastAsia="Arial" w:hAnsi="Arial" w:cs="Arial"/>
          <w:color w:val="000000" w:themeColor="text1"/>
          <w:sz w:val="22"/>
          <w:szCs w:val="22"/>
          <w:lang w:eastAsia="es-CO" w:bidi="es-CO"/>
        </w:rPr>
        <w:t xml:space="preserve"> del Decreto Ley 2371 de 2015, la Comisión Nacional de Crédito Agropecuario - CNCA, </w:t>
      </w:r>
      <w:r w:rsidR="002339EC">
        <w:rPr>
          <w:rFonts w:ascii="Arial" w:eastAsia="Arial" w:hAnsi="Arial" w:cs="Arial"/>
          <w:color w:val="000000" w:themeColor="text1"/>
          <w:sz w:val="22"/>
          <w:szCs w:val="22"/>
          <w:lang w:eastAsia="es-CO" w:bidi="es-CO"/>
        </w:rPr>
        <w:t xml:space="preserve">como organismo rector del financiamiento del sector agropecuario y del manejo de riesgos </w:t>
      </w:r>
      <w:r w:rsidR="008A4E27" w:rsidRPr="00777993">
        <w:rPr>
          <w:rFonts w:ascii="Arial" w:eastAsia="Arial" w:hAnsi="Arial" w:cs="Arial"/>
          <w:color w:val="000000" w:themeColor="text1"/>
          <w:sz w:val="22"/>
          <w:szCs w:val="22"/>
          <w:lang w:eastAsia="es-CO" w:bidi="es-CO"/>
        </w:rPr>
        <w:t>podrá:</w:t>
      </w:r>
    </w:p>
    <w:p w14:paraId="4DED6019" w14:textId="77777777" w:rsidR="008A4E27"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 </w:t>
      </w:r>
    </w:p>
    <w:p w14:paraId="474EABCB" w14:textId="77777777" w:rsidR="002339EC" w:rsidRDefault="002339EC"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78B4BA0D" w14:textId="77777777" w:rsidR="002339EC" w:rsidRDefault="002339EC"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r w:rsidR="00A548F2">
        <w:rPr>
          <w:rFonts w:ascii="Arial" w:eastAsia="Arial" w:hAnsi="Arial" w:cs="Arial"/>
          <w:color w:val="000000" w:themeColor="text1"/>
          <w:sz w:val="22"/>
          <w:szCs w:val="22"/>
          <w:lang w:eastAsia="es-CO" w:bidi="es-CO"/>
        </w:rPr>
        <w:t>. (…)</w:t>
      </w:r>
    </w:p>
    <w:p w14:paraId="428C9045" w14:textId="77777777" w:rsidR="00A548F2" w:rsidRPr="00777993" w:rsidRDefault="00A548F2"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 xml:space="preserve">f) Fijar las tasas y márgenes de redescuento de las operaciones que apruebe </w:t>
      </w:r>
      <w:proofErr w:type="spellStart"/>
      <w:r>
        <w:rPr>
          <w:rFonts w:ascii="Arial" w:eastAsia="Arial" w:hAnsi="Arial" w:cs="Arial"/>
          <w:color w:val="000000" w:themeColor="text1"/>
          <w:sz w:val="22"/>
          <w:szCs w:val="22"/>
          <w:lang w:eastAsia="es-CO" w:bidi="es-CO"/>
        </w:rPr>
        <w:t>Finagro</w:t>
      </w:r>
      <w:proofErr w:type="spellEnd"/>
      <w:r>
        <w:rPr>
          <w:rFonts w:ascii="Arial" w:eastAsia="Arial" w:hAnsi="Arial" w:cs="Arial"/>
          <w:color w:val="000000" w:themeColor="text1"/>
          <w:sz w:val="22"/>
          <w:szCs w:val="22"/>
          <w:lang w:eastAsia="es-CO" w:bidi="es-CO"/>
        </w:rPr>
        <w:t>. (…)</w:t>
      </w:r>
    </w:p>
    <w:p w14:paraId="2B3FE226" w14:textId="77777777" w:rsidR="008A4E27"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00A548F2">
        <w:rPr>
          <w:rFonts w:ascii="Arial" w:eastAsia="Arial" w:hAnsi="Arial" w:cs="Arial"/>
          <w:color w:val="000000" w:themeColor="text1"/>
          <w:sz w:val="22"/>
          <w:szCs w:val="22"/>
          <w:lang w:eastAsia="es-CO" w:bidi="es-CO"/>
        </w:rPr>
        <w:t xml:space="preserve"> (…)</w:t>
      </w:r>
    </w:p>
    <w:p w14:paraId="5A5E3199" w14:textId="77777777" w:rsidR="008A4E27" w:rsidRPr="00777993" w:rsidRDefault="00A548F2"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Pr>
          <w:rFonts w:ascii="Arial" w:eastAsia="Arial" w:hAnsi="Arial" w:cs="Arial"/>
          <w:color w:val="000000" w:themeColor="text1"/>
          <w:sz w:val="22"/>
          <w:szCs w:val="22"/>
          <w:lang w:eastAsia="es-CO" w:bidi="es-CO"/>
        </w:rPr>
        <w:t>q)  Las demás que le correspondan</w:t>
      </w:r>
      <w:r w:rsidR="00E10CCE">
        <w:rPr>
          <w:rFonts w:ascii="Arial" w:eastAsia="Arial" w:hAnsi="Arial" w:cs="Arial"/>
          <w:color w:val="000000" w:themeColor="text1"/>
          <w:sz w:val="22"/>
          <w:szCs w:val="22"/>
          <w:lang w:eastAsia="es-CO" w:bidi="es-CO"/>
        </w:rPr>
        <w:t xml:space="preserve"> como organismo rector de la política del financiamiento y gestión del riesgo del sector agropecuario.</w:t>
      </w:r>
      <w:r w:rsidR="006C2DDF">
        <w:rPr>
          <w:rFonts w:ascii="Arial" w:eastAsia="Arial" w:hAnsi="Arial" w:cs="Arial"/>
          <w:color w:val="000000" w:themeColor="text1"/>
          <w:sz w:val="22"/>
          <w:szCs w:val="22"/>
          <w:lang w:eastAsia="es-CO" w:bidi="es-CO"/>
        </w:rPr>
        <w:t xml:space="preserve"> </w:t>
      </w:r>
      <w:r w:rsidR="008A4E27" w:rsidRPr="00777993">
        <w:rPr>
          <w:rFonts w:ascii="Arial" w:eastAsia="Arial" w:hAnsi="Arial" w:cs="Arial"/>
          <w:color w:val="000000" w:themeColor="text1"/>
          <w:sz w:val="22"/>
          <w:szCs w:val="22"/>
          <w:lang w:eastAsia="es-CO" w:bidi="es-CO"/>
        </w:rPr>
        <w:t>(…)”</w:t>
      </w:r>
    </w:p>
    <w:p w14:paraId="4DB5AE4E" w14:textId="77777777" w:rsidR="008A4E27" w:rsidRDefault="00581610" w:rsidP="008A4E27">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00777993">
        <w:rPr>
          <w:rFonts w:ascii="Arial" w:hAnsi="Arial" w:cs="Arial"/>
          <w:b/>
          <w:color w:val="000000" w:themeColor="text1"/>
          <w:sz w:val="22"/>
          <w:szCs w:val="22"/>
        </w:rPr>
        <w:t>Segundo</w:t>
      </w:r>
      <w:r w:rsidR="008A4E27" w:rsidRPr="00777993">
        <w:rPr>
          <w:rFonts w:ascii="Arial" w:eastAsia="Arial" w:hAnsi="Arial" w:cs="Arial"/>
          <w:b/>
          <w:color w:val="000000" w:themeColor="text1"/>
          <w:sz w:val="22"/>
          <w:szCs w:val="22"/>
          <w:lang w:eastAsia="es-CO" w:bidi="es-CO"/>
        </w:rPr>
        <w:t xml:space="preserve">. </w:t>
      </w:r>
      <w:r w:rsidR="008A4E27" w:rsidRPr="00777993">
        <w:rPr>
          <w:rFonts w:ascii="Arial" w:eastAsia="Arial" w:hAnsi="Arial" w:cs="Arial"/>
          <w:color w:val="000000" w:themeColor="text1"/>
          <w:sz w:val="22"/>
          <w:szCs w:val="22"/>
          <w:lang w:eastAsia="es-CO" w:bidi="es-CO"/>
        </w:rPr>
        <w:t>Que de acuerdo con lo dispuesto en el artículo 220 del Estatuto Orgánico del Sistema Financiero, “La Comisión Nacional de Crédito Agropecuario 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p>
    <w:p w14:paraId="0E27B00A" w14:textId="77777777" w:rsidR="006D5940" w:rsidRPr="005B7030" w:rsidRDefault="006D5940" w:rsidP="008A4E27">
      <w:pPr>
        <w:widowControl w:val="0"/>
        <w:autoSpaceDE w:val="0"/>
        <w:autoSpaceDN w:val="0"/>
        <w:spacing w:before="185"/>
        <w:ind w:right="81"/>
        <w:jc w:val="both"/>
        <w:rPr>
          <w:rFonts w:ascii="Arial" w:eastAsia="Arial" w:hAnsi="Arial" w:cs="Arial"/>
          <w:b/>
          <w:color w:val="000000" w:themeColor="text1"/>
          <w:sz w:val="22"/>
          <w:szCs w:val="22"/>
          <w:lang w:eastAsia="es-CO" w:bidi="es-CO"/>
        </w:rPr>
      </w:pPr>
    </w:p>
    <w:p w14:paraId="60061E4C" w14:textId="77777777" w:rsidR="008A4E27" w:rsidRDefault="008A4E27" w:rsidP="008A4E27">
      <w:pPr>
        <w:autoSpaceDE w:val="0"/>
        <w:autoSpaceDN w:val="0"/>
        <w:adjustRightInd w:val="0"/>
        <w:spacing w:line="0" w:lineRule="atLeast"/>
        <w:jc w:val="both"/>
        <w:rPr>
          <w:rFonts w:ascii="Arial" w:hAnsi="Arial" w:cs="Arial"/>
          <w:color w:val="000000" w:themeColor="text1"/>
          <w:sz w:val="22"/>
          <w:szCs w:val="22"/>
        </w:rPr>
      </w:pPr>
    </w:p>
    <w:p w14:paraId="44EAFD9C" w14:textId="77777777" w:rsidR="00404B8E" w:rsidRDefault="00404B8E" w:rsidP="008A4E27">
      <w:pPr>
        <w:autoSpaceDE w:val="0"/>
        <w:autoSpaceDN w:val="0"/>
        <w:adjustRightInd w:val="0"/>
        <w:spacing w:line="0" w:lineRule="atLeast"/>
        <w:jc w:val="both"/>
        <w:rPr>
          <w:rFonts w:ascii="Arial" w:hAnsi="Arial" w:cs="Arial"/>
          <w:color w:val="000000" w:themeColor="text1"/>
          <w:sz w:val="22"/>
          <w:szCs w:val="22"/>
        </w:rPr>
      </w:pPr>
    </w:p>
    <w:p w14:paraId="4B94D5A5" w14:textId="77777777" w:rsidR="00404B8E" w:rsidRPr="00777993" w:rsidRDefault="00404B8E" w:rsidP="008A4E27">
      <w:pPr>
        <w:autoSpaceDE w:val="0"/>
        <w:autoSpaceDN w:val="0"/>
        <w:adjustRightInd w:val="0"/>
        <w:spacing w:line="0" w:lineRule="atLeast"/>
        <w:jc w:val="both"/>
        <w:rPr>
          <w:rFonts w:ascii="Arial" w:hAnsi="Arial" w:cs="Arial"/>
          <w:color w:val="000000" w:themeColor="text1"/>
          <w:sz w:val="22"/>
          <w:szCs w:val="22"/>
        </w:rPr>
      </w:pPr>
    </w:p>
    <w:p w14:paraId="07F6DBEF" w14:textId="77777777" w:rsidR="00716248" w:rsidRPr="00BD6E11" w:rsidRDefault="00404B8E" w:rsidP="00716248">
      <w:pPr>
        <w:tabs>
          <w:tab w:val="left" w:pos="8503"/>
        </w:tabs>
        <w:ind w:right="-2"/>
        <w:jc w:val="both"/>
        <w:rPr>
          <w:rFonts w:ascii="Arial" w:hAnsi="Arial" w:cs="Arial"/>
          <w:sz w:val="22"/>
          <w:szCs w:val="22"/>
        </w:rPr>
      </w:pPr>
      <w:bookmarkStart w:id="1" w:name="_Hlk7177382"/>
      <w:r w:rsidRPr="00BD6E11">
        <w:rPr>
          <w:rFonts w:ascii="Arial" w:hAnsi="Arial" w:cs="Arial"/>
          <w:b/>
          <w:sz w:val="22"/>
          <w:szCs w:val="22"/>
        </w:rPr>
        <w:t>Tercero</w:t>
      </w:r>
      <w:r w:rsidRPr="00BD6E11">
        <w:rPr>
          <w:rFonts w:ascii="Arial" w:hAnsi="Arial" w:cs="Arial"/>
          <w:sz w:val="22"/>
          <w:szCs w:val="22"/>
        </w:rPr>
        <w:t>. Que</w:t>
      </w:r>
      <w:bookmarkEnd w:id="1"/>
      <w:r w:rsidR="00D4535D">
        <w:rPr>
          <w:rFonts w:ascii="Arial" w:hAnsi="Arial" w:cs="Arial"/>
          <w:sz w:val="22"/>
          <w:szCs w:val="22"/>
        </w:rPr>
        <w:t xml:space="preserve"> </w:t>
      </w:r>
      <w:r w:rsidR="00716248" w:rsidRPr="00BD6E11">
        <w:rPr>
          <w:rFonts w:ascii="Arial" w:hAnsi="Arial" w:cs="Arial"/>
          <w:sz w:val="22"/>
          <w:szCs w:val="22"/>
        </w:rPr>
        <w:t xml:space="preserve">con el propósito de desarrollar los postulados constitucionales que buscan impulsar las actividades agropecuarias, </w:t>
      </w:r>
      <w:r w:rsidR="00240C89">
        <w:rPr>
          <w:rFonts w:ascii="Arial" w:hAnsi="Arial" w:cs="Arial"/>
          <w:sz w:val="22"/>
          <w:szCs w:val="22"/>
        </w:rPr>
        <w:t>el</w:t>
      </w:r>
      <w:r w:rsidR="00240C89" w:rsidRPr="00BD6E11">
        <w:rPr>
          <w:rFonts w:ascii="Arial" w:hAnsi="Arial" w:cs="Arial"/>
          <w:sz w:val="22"/>
          <w:szCs w:val="22"/>
        </w:rPr>
        <w:t xml:space="preserve"> </w:t>
      </w:r>
      <w:r w:rsidR="00A344B5" w:rsidRPr="00BD6E11">
        <w:rPr>
          <w:rFonts w:ascii="Arial" w:hAnsi="Arial" w:cs="Arial"/>
          <w:sz w:val="22"/>
          <w:szCs w:val="22"/>
        </w:rPr>
        <w:t>artículo 6o.</w:t>
      </w:r>
      <w:r w:rsidR="00E07556">
        <w:rPr>
          <w:rFonts w:ascii="Arial" w:hAnsi="Arial" w:cs="Arial"/>
          <w:sz w:val="22"/>
          <w:szCs w:val="22"/>
        </w:rPr>
        <w:t xml:space="preserve"> </w:t>
      </w:r>
      <w:r w:rsidR="00A344B5" w:rsidRPr="00BD6E11">
        <w:rPr>
          <w:rFonts w:ascii="Arial" w:hAnsi="Arial" w:cs="Arial"/>
          <w:sz w:val="22"/>
          <w:szCs w:val="22"/>
        </w:rPr>
        <w:t xml:space="preserve">de </w:t>
      </w:r>
      <w:r w:rsidR="00716248" w:rsidRPr="00BD6E11">
        <w:rPr>
          <w:rFonts w:ascii="Arial" w:hAnsi="Arial" w:cs="Arial"/>
          <w:sz w:val="22"/>
          <w:szCs w:val="22"/>
        </w:rPr>
        <w:t xml:space="preserve">la de la Ley 101 de 1993 dispone que el Gobierno Nacional otorgará prioridad al desarrollo integral de las actividades agrícolas, pecuarias, pesqueras, forestales y agroindustriales, y su comercialización. </w:t>
      </w:r>
      <w:r w:rsidR="0040111D" w:rsidRPr="0040111D">
        <w:rPr>
          <w:rFonts w:ascii="Arial" w:hAnsi="Arial" w:cs="Arial"/>
          <w:sz w:val="22"/>
          <w:szCs w:val="22"/>
        </w:rPr>
        <w:t>En este sentido, adicionalmente, establece que el sistema crediticio y las políticas relacionadas con la actividad económica en general deberán ajustarse al propósito de asegurar preferentemente el desarrollo rural.</w:t>
      </w:r>
    </w:p>
    <w:p w14:paraId="3DEEC669" w14:textId="77777777" w:rsidR="00716248" w:rsidRPr="00BD6E11" w:rsidRDefault="00716248" w:rsidP="00716248">
      <w:pPr>
        <w:tabs>
          <w:tab w:val="left" w:pos="8503"/>
        </w:tabs>
        <w:ind w:right="-2"/>
        <w:jc w:val="both"/>
        <w:rPr>
          <w:rFonts w:ascii="Arial" w:hAnsi="Arial"/>
          <w:sz w:val="22"/>
          <w:szCs w:val="22"/>
        </w:rPr>
      </w:pPr>
    </w:p>
    <w:p w14:paraId="088B7B2F" w14:textId="77777777" w:rsidR="00716248" w:rsidRPr="00BD6E11" w:rsidRDefault="00492D9D" w:rsidP="00716248">
      <w:pPr>
        <w:tabs>
          <w:tab w:val="left" w:pos="8503"/>
        </w:tabs>
        <w:ind w:right="-2"/>
        <w:jc w:val="both"/>
        <w:rPr>
          <w:rFonts w:ascii="Arial" w:hAnsi="Arial" w:cs="Arial"/>
        </w:rPr>
      </w:pPr>
      <w:r w:rsidRPr="00492D9D">
        <w:rPr>
          <w:rFonts w:ascii="Arial" w:hAnsi="Arial" w:cs="Arial"/>
          <w:b/>
          <w:sz w:val="22"/>
          <w:szCs w:val="22"/>
        </w:rPr>
        <w:t>Cuarto</w:t>
      </w:r>
      <w:r>
        <w:rPr>
          <w:rFonts w:ascii="Arial" w:hAnsi="Arial" w:cs="Arial"/>
          <w:sz w:val="22"/>
          <w:szCs w:val="22"/>
        </w:rPr>
        <w:t xml:space="preserve">. </w:t>
      </w:r>
      <w:r w:rsidRPr="00492D9D">
        <w:rPr>
          <w:rFonts w:ascii="Arial" w:hAnsi="Arial" w:cs="Arial"/>
          <w:sz w:val="22"/>
          <w:szCs w:val="22"/>
        </w:rPr>
        <w:t xml:space="preserve"> </w:t>
      </w:r>
      <w:r w:rsidR="00716248" w:rsidRPr="00BD6E11">
        <w:rPr>
          <w:rFonts w:ascii="Arial" w:hAnsi="Arial" w:cs="Arial"/>
          <w:sz w:val="22"/>
          <w:szCs w:val="22"/>
        </w:rPr>
        <w:t xml:space="preserve">Que, conforme a este marco legal, el Ministerio de Agricultura y Desarrollo Rural </w:t>
      </w:r>
      <w:r w:rsidR="0042646D">
        <w:rPr>
          <w:rFonts w:ascii="Arial" w:hAnsi="Arial" w:cs="Arial"/>
          <w:sz w:val="22"/>
          <w:szCs w:val="22"/>
        </w:rPr>
        <w:t>-</w:t>
      </w:r>
      <w:r w:rsidR="00716248" w:rsidRPr="00BD6E11">
        <w:rPr>
          <w:rFonts w:ascii="Arial" w:hAnsi="Arial" w:cs="Arial"/>
          <w:sz w:val="22"/>
          <w:szCs w:val="22"/>
        </w:rPr>
        <w:t>MADR dentro de la política pública agropecuaria tiene dispuesto un “Programa de incentivo al almacenamiento de arroz”</w:t>
      </w:r>
      <w:r>
        <w:rPr>
          <w:rFonts w:ascii="Arial" w:hAnsi="Arial" w:cs="Arial"/>
          <w:sz w:val="22"/>
          <w:szCs w:val="22"/>
        </w:rPr>
        <w:t xml:space="preserve">, </w:t>
      </w:r>
      <w:r w:rsidR="00156A76" w:rsidRPr="00156A76">
        <w:rPr>
          <w:rFonts w:ascii="Arial" w:hAnsi="Arial" w:cs="Arial"/>
          <w:sz w:val="22"/>
          <w:szCs w:val="22"/>
        </w:rPr>
        <w:t xml:space="preserve">el cual consiste en un apoyo </w:t>
      </w:r>
      <w:r w:rsidR="00156A76">
        <w:rPr>
          <w:rFonts w:ascii="Arial" w:hAnsi="Arial" w:cs="Arial"/>
          <w:sz w:val="22"/>
          <w:szCs w:val="22"/>
        </w:rPr>
        <w:t xml:space="preserve">económico </w:t>
      </w:r>
      <w:r w:rsidR="00156A76" w:rsidRPr="00156A76">
        <w:rPr>
          <w:rFonts w:ascii="Arial" w:hAnsi="Arial" w:cs="Arial"/>
          <w:sz w:val="22"/>
          <w:szCs w:val="22"/>
        </w:rPr>
        <w:t>a los productores</w:t>
      </w:r>
      <w:r w:rsidR="00156A76">
        <w:rPr>
          <w:rFonts w:ascii="Arial" w:hAnsi="Arial" w:cs="Arial"/>
          <w:sz w:val="22"/>
          <w:szCs w:val="22"/>
        </w:rPr>
        <w:t xml:space="preserve"> de arroz</w:t>
      </w:r>
      <w:r w:rsidR="00156A76" w:rsidRPr="00156A76">
        <w:rPr>
          <w:rFonts w:ascii="Arial" w:hAnsi="Arial" w:cs="Arial"/>
          <w:sz w:val="22"/>
          <w:szCs w:val="22"/>
        </w:rPr>
        <w:t xml:space="preserve">, productores de semilla y compradores, para incentivar el almacenamiento de arroz </w:t>
      </w:r>
      <w:proofErr w:type="spellStart"/>
      <w:r w:rsidR="00156A76" w:rsidRPr="00156A76">
        <w:rPr>
          <w:rFonts w:ascii="Arial" w:hAnsi="Arial" w:cs="Arial"/>
          <w:sz w:val="22"/>
          <w:szCs w:val="22"/>
        </w:rPr>
        <w:t>paddy</w:t>
      </w:r>
      <w:proofErr w:type="spellEnd"/>
      <w:r w:rsidR="00156A76" w:rsidRPr="00156A76">
        <w:rPr>
          <w:rFonts w:ascii="Arial" w:hAnsi="Arial" w:cs="Arial"/>
          <w:sz w:val="22"/>
          <w:szCs w:val="22"/>
        </w:rPr>
        <w:t xml:space="preserve"> seco</w:t>
      </w:r>
      <w:r w:rsidR="00156A76">
        <w:rPr>
          <w:rFonts w:ascii="Arial" w:hAnsi="Arial" w:cs="Arial"/>
          <w:sz w:val="22"/>
          <w:szCs w:val="22"/>
        </w:rPr>
        <w:t>,</w:t>
      </w:r>
      <w:r w:rsidR="00156A76" w:rsidRPr="00156A76">
        <w:rPr>
          <w:rFonts w:ascii="Arial" w:hAnsi="Arial" w:cs="Arial"/>
          <w:sz w:val="22"/>
          <w:szCs w:val="22"/>
        </w:rPr>
        <w:t xml:space="preserve"> </w:t>
      </w:r>
      <w:r w:rsidR="00156A76">
        <w:rPr>
          <w:rFonts w:ascii="Arial" w:hAnsi="Arial" w:cs="Arial"/>
          <w:sz w:val="22"/>
          <w:szCs w:val="22"/>
        </w:rPr>
        <w:t>arroz integral o arroz blanco</w:t>
      </w:r>
      <w:r w:rsidR="00156A76" w:rsidRPr="00156A76">
        <w:rPr>
          <w:rFonts w:ascii="Arial" w:hAnsi="Arial" w:cs="Arial"/>
          <w:sz w:val="22"/>
          <w:szCs w:val="22"/>
        </w:rPr>
        <w:t xml:space="preserve"> </w:t>
      </w:r>
      <w:r w:rsidR="00156A76">
        <w:rPr>
          <w:rFonts w:ascii="Arial" w:hAnsi="Arial" w:cs="Arial"/>
          <w:sz w:val="22"/>
          <w:szCs w:val="22"/>
        </w:rPr>
        <w:t>en los periodos</w:t>
      </w:r>
      <w:r w:rsidR="00156A76" w:rsidRPr="00156A76">
        <w:rPr>
          <w:rFonts w:ascii="Arial" w:hAnsi="Arial" w:cs="Arial"/>
          <w:sz w:val="22"/>
          <w:szCs w:val="22"/>
        </w:rPr>
        <w:t xml:space="preserve"> donde se presentan excedentes de cosecha</w:t>
      </w:r>
      <w:r w:rsidR="00156A76">
        <w:rPr>
          <w:rFonts w:ascii="Arial" w:hAnsi="Arial" w:cs="Arial"/>
          <w:sz w:val="22"/>
          <w:szCs w:val="22"/>
        </w:rPr>
        <w:t xml:space="preserve">, </w:t>
      </w:r>
      <w:r w:rsidR="0040111D">
        <w:rPr>
          <w:rFonts w:ascii="Arial" w:hAnsi="Arial" w:cs="Arial"/>
          <w:sz w:val="22"/>
          <w:szCs w:val="22"/>
        </w:rPr>
        <w:t>con el objeto de generar la estabilidad de los ingresos de los productores, normalizar los niveles de la oferta nacional y permitir la continuidad de los agricultores arroceros en esta actividad</w:t>
      </w:r>
      <w:r w:rsidR="00716248" w:rsidRPr="00BD6E11">
        <w:rPr>
          <w:rFonts w:ascii="Arial" w:hAnsi="Arial" w:cs="Arial"/>
          <w:sz w:val="22"/>
          <w:szCs w:val="22"/>
        </w:rPr>
        <w:t>.</w:t>
      </w:r>
      <w:r w:rsidR="00716248" w:rsidRPr="00BD6E11">
        <w:rPr>
          <w:rFonts w:ascii="Arial" w:hAnsi="Arial" w:cs="Arial"/>
        </w:rPr>
        <w:t xml:space="preserve"> </w:t>
      </w:r>
    </w:p>
    <w:p w14:paraId="3656B9AB" w14:textId="77777777" w:rsidR="00716248" w:rsidRPr="00BD6E11" w:rsidRDefault="00716248" w:rsidP="00716248">
      <w:pPr>
        <w:tabs>
          <w:tab w:val="left" w:pos="8503"/>
        </w:tabs>
        <w:ind w:right="-2"/>
        <w:jc w:val="both"/>
        <w:rPr>
          <w:rFonts w:ascii="Arial" w:hAnsi="Arial" w:cs="Arial"/>
        </w:rPr>
      </w:pPr>
    </w:p>
    <w:p w14:paraId="4FC98DD0" w14:textId="77777777" w:rsidR="00404B8E" w:rsidRDefault="00492D9D" w:rsidP="00247534">
      <w:pPr>
        <w:tabs>
          <w:tab w:val="left" w:pos="8503"/>
        </w:tabs>
        <w:ind w:right="-2"/>
        <w:jc w:val="both"/>
        <w:rPr>
          <w:rFonts w:ascii="Arial" w:hAnsi="Arial" w:cs="Arial"/>
          <w:sz w:val="22"/>
          <w:szCs w:val="22"/>
        </w:rPr>
      </w:pPr>
      <w:r w:rsidRPr="00492D9D">
        <w:rPr>
          <w:rFonts w:ascii="Arial" w:hAnsi="Arial" w:cs="Arial"/>
          <w:b/>
          <w:sz w:val="22"/>
          <w:szCs w:val="22"/>
        </w:rPr>
        <w:t>Quinto.</w:t>
      </w:r>
      <w:r>
        <w:rPr>
          <w:rFonts w:ascii="Arial" w:hAnsi="Arial" w:cs="Arial"/>
          <w:sz w:val="22"/>
          <w:szCs w:val="22"/>
        </w:rPr>
        <w:t xml:space="preserve"> </w:t>
      </w:r>
      <w:r w:rsidR="00716248" w:rsidRPr="00BD6E11">
        <w:rPr>
          <w:rFonts w:ascii="Arial" w:hAnsi="Arial" w:cs="Arial"/>
          <w:sz w:val="22"/>
          <w:szCs w:val="22"/>
        </w:rPr>
        <w:t>Qu</w:t>
      </w:r>
      <w:r w:rsidR="00841CC5">
        <w:rPr>
          <w:rFonts w:ascii="Arial" w:hAnsi="Arial" w:cs="Arial"/>
          <w:sz w:val="22"/>
          <w:szCs w:val="22"/>
        </w:rPr>
        <w:t xml:space="preserve">e </w:t>
      </w:r>
      <w:r>
        <w:rPr>
          <w:rFonts w:ascii="Arial" w:hAnsi="Arial" w:cs="Arial"/>
          <w:sz w:val="22"/>
          <w:szCs w:val="22"/>
        </w:rPr>
        <w:t>dentro del marco de política pública d</w:t>
      </w:r>
      <w:r w:rsidR="00716248" w:rsidRPr="00BD6E11">
        <w:rPr>
          <w:rFonts w:ascii="Arial" w:hAnsi="Arial" w:cs="Arial"/>
          <w:sz w:val="22"/>
          <w:szCs w:val="22"/>
        </w:rPr>
        <w:t>el MADR</w:t>
      </w:r>
      <w:r>
        <w:rPr>
          <w:rFonts w:ascii="Arial" w:hAnsi="Arial" w:cs="Arial"/>
          <w:sz w:val="22"/>
          <w:szCs w:val="22"/>
        </w:rPr>
        <w:t>, se</w:t>
      </w:r>
      <w:r w:rsidR="00716248" w:rsidRPr="00BD6E11">
        <w:rPr>
          <w:rFonts w:ascii="Arial" w:hAnsi="Arial" w:cs="Arial"/>
          <w:sz w:val="22"/>
          <w:szCs w:val="22"/>
        </w:rPr>
        <w:t xml:space="preserve"> considera pertinente </w:t>
      </w:r>
      <w:r>
        <w:rPr>
          <w:rFonts w:ascii="Arial" w:hAnsi="Arial" w:cs="Arial"/>
          <w:sz w:val="22"/>
          <w:szCs w:val="22"/>
        </w:rPr>
        <w:t xml:space="preserve">la implementación de medidas complementarias que incentiven el almacenamiento de los excedentes </w:t>
      </w:r>
      <w:r w:rsidR="00716248" w:rsidRPr="00BD6E11">
        <w:rPr>
          <w:rFonts w:ascii="Arial" w:hAnsi="Arial" w:cs="Arial"/>
          <w:sz w:val="22"/>
          <w:szCs w:val="22"/>
        </w:rPr>
        <w:t xml:space="preserve">de arroz </w:t>
      </w:r>
      <w:r>
        <w:rPr>
          <w:rFonts w:ascii="Arial" w:hAnsi="Arial" w:cs="Arial"/>
          <w:sz w:val="22"/>
          <w:szCs w:val="22"/>
        </w:rPr>
        <w:t>y</w:t>
      </w:r>
      <w:r w:rsidR="00B626CB">
        <w:rPr>
          <w:rFonts w:ascii="Arial" w:hAnsi="Arial" w:cs="Arial"/>
          <w:sz w:val="22"/>
          <w:szCs w:val="22"/>
        </w:rPr>
        <w:t>,</w:t>
      </w:r>
      <w:r>
        <w:rPr>
          <w:rFonts w:ascii="Arial" w:hAnsi="Arial" w:cs="Arial"/>
          <w:sz w:val="22"/>
          <w:szCs w:val="22"/>
        </w:rPr>
        <w:t xml:space="preserve"> </w:t>
      </w:r>
      <w:r w:rsidR="00B626CB">
        <w:rPr>
          <w:rFonts w:ascii="Arial" w:hAnsi="Arial" w:cs="Arial"/>
          <w:sz w:val="22"/>
          <w:szCs w:val="22"/>
        </w:rPr>
        <w:t xml:space="preserve">de esta forma, contribuyan a la </w:t>
      </w:r>
      <w:r w:rsidR="0040111D">
        <w:rPr>
          <w:rFonts w:ascii="Arial" w:hAnsi="Arial" w:cs="Arial"/>
          <w:sz w:val="22"/>
          <w:szCs w:val="22"/>
        </w:rPr>
        <w:t>estabiliza</w:t>
      </w:r>
      <w:r w:rsidR="00B626CB">
        <w:rPr>
          <w:rFonts w:ascii="Arial" w:hAnsi="Arial" w:cs="Arial"/>
          <w:sz w:val="22"/>
          <w:szCs w:val="22"/>
        </w:rPr>
        <w:t xml:space="preserve">ción </w:t>
      </w:r>
      <w:proofErr w:type="gramStart"/>
      <w:r w:rsidR="00B626CB">
        <w:rPr>
          <w:rFonts w:ascii="Arial" w:hAnsi="Arial" w:cs="Arial"/>
          <w:sz w:val="22"/>
          <w:szCs w:val="22"/>
        </w:rPr>
        <w:t xml:space="preserve">de </w:t>
      </w:r>
      <w:r w:rsidR="0040111D">
        <w:rPr>
          <w:rFonts w:ascii="Arial" w:hAnsi="Arial" w:cs="Arial"/>
          <w:sz w:val="22"/>
          <w:szCs w:val="22"/>
        </w:rPr>
        <w:t xml:space="preserve"> las</w:t>
      </w:r>
      <w:proofErr w:type="gramEnd"/>
      <w:r w:rsidR="0040111D">
        <w:rPr>
          <w:rFonts w:ascii="Arial" w:hAnsi="Arial" w:cs="Arial"/>
          <w:sz w:val="22"/>
          <w:szCs w:val="22"/>
        </w:rPr>
        <w:t xml:space="preserve"> condiciones de comercialización</w:t>
      </w:r>
      <w:r w:rsidR="00716248" w:rsidRPr="00BD6E11">
        <w:rPr>
          <w:rFonts w:ascii="Arial" w:hAnsi="Arial" w:cs="Arial"/>
          <w:sz w:val="22"/>
          <w:szCs w:val="22"/>
        </w:rPr>
        <w:t xml:space="preserve"> de la oferta nacional en el </w:t>
      </w:r>
      <w:r w:rsidR="0040111D">
        <w:rPr>
          <w:rFonts w:ascii="Arial" w:hAnsi="Arial" w:cs="Arial"/>
          <w:sz w:val="22"/>
          <w:szCs w:val="22"/>
        </w:rPr>
        <w:t>segundo semestre</w:t>
      </w:r>
      <w:r w:rsidR="00716248" w:rsidRPr="00BD6E11">
        <w:rPr>
          <w:rFonts w:ascii="Arial" w:hAnsi="Arial" w:cs="Arial"/>
          <w:sz w:val="22"/>
          <w:szCs w:val="22"/>
        </w:rPr>
        <w:t xml:space="preserve"> de 2019</w:t>
      </w:r>
      <w:r w:rsidR="00B626CB">
        <w:rPr>
          <w:rFonts w:ascii="Arial" w:hAnsi="Arial" w:cs="Arial"/>
          <w:sz w:val="22"/>
          <w:szCs w:val="22"/>
        </w:rPr>
        <w:t xml:space="preserve">. </w:t>
      </w:r>
      <w:r>
        <w:rPr>
          <w:rFonts w:ascii="Arial" w:hAnsi="Arial" w:cs="Arial"/>
          <w:sz w:val="22"/>
          <w:szCs w:val="22"/>
        </w:rPr>
        <w:t>Dentro de estas medidas</w:t>
      </w:r>
      <w:r w:rsidR="0018024C">
        <w:rPr>
          <w:rFonts w:ascii="Arial" w:hAnsi="Arial" w:cs="Arial"/>
          <w:sz w:val="22"/>
          <w:szCs w:val="22"/>
        </w:rPr>
        <w:t xml:space="preserve"> se considera habilitar una línea de financiamiento especial</w:t>
      </w:r>
      <w:r w:rsidR="00B626CB">
        <w:rPr>
          <w:rFonts w:ascii="Arial" w:hAnsi="Arial" w:cs="Arial"/>
          <w:sz w:val="22"/>
          <w:szCs w:val="22"/>
        </w:rPr>
        <w:t xml:space="preserve"> para el pago de los costos </w:t>
      </w:r>
      <w:r w:rsidR="00247534" w:rsidRPr="00247534">
        <w:rPr>
          <w:rFonts w:ascii="Arial" w:hAnsi="Arial" w:cs="Arial"/>
          <w:sz w:val="22"/>
          <w:szCs w:val="22"/>
        </w:rPr>
        <w:t>de almacenamiento de</w:t>
      </w:r>
      <w:r w:rsidR="00247534">
        <w:rPr>
          <w:rFonts w:ascii="Arial" w:hAnsi="Arial" w:cs="Arial"/>
          <w:sz w:val="22"/>
          <w:szCs w:val="22"/>
        </w:rPr>
        <w:t>l</w:t>
      </w:r>
      <w:r w:rsidR="00247534" w:rsidRPr="00247534">
        <w:rPr>
          <w:rFonts w:ascii="Arial" w:hAnsi="Arial" w:cs="Arial"/>
          <w:sz w:val="22"/>
          <w:szCs w:val="22"/>
        </w:rPr>
        <w:t xml:space="preserve"> arroz </w:t>
      </w:r>
      <w:proofErr w:type="spellStart"/>
      <w:r w:rsidR="00247534" w:rsidRPr="00247534">
        <w:rPr>
          <w:rFonts w:ascii="Arial" w:hAnsi="Arial" w:cs="Arial"/>
          <w:sz w:val="22"/>
          <w:szCs w:val="22"/>
        </w:rPr>
        <w:t>paddy</w:t>
      </w:r>
      <w:proofErr w:type="spellEnd"/>
      <w:r w:rsidR="00247534" w:rsidRPr="00247534">
        <w:rPr>
          <w:rFonts w:ascii="Arial" w:hAnsi="Arial" w:cs="Arial"/>
          <w:sz w:val="22"/>
          <w:szCs w:val="22"/>
        </w:rPr>
        <w:t xml:space="preserve"> seco, arroz integral o arroz blanco</w:t>
      </w:r>
      <w:bookmarkStart w:id="2" w:name="_Hlk1931636"/>
      <w:r w:rsidR="00247534">
        <w:rPr>
          <w:rFonts w:ascii="Arial" w:hAnsi="Arial" w:cs="Arial"/>
          <w:sz w:val="22"/>
          <w:szCs w:val="22"/>
        </w:rPr>
        <w:t>.</w:t>
      </w:r>
    </w:p>
    <w:p w14:paraId="45FB0818" w14:textId="77777777" w:rsidR="00247534" w:rsidRDefault="00247534" w:rsidP="00247534">
      <w:pPr>
        <w:tabs>
          <w:tab w:val="left" w:pos="8503"/>
        </w:tabs>
        <w:ind w:right="-2"/>
        <w:jc w:val="both"/>
        <w:rPr>
          <w:rFonts w:ascii="Arial" w:hAnsi="Arial" w:cs="Arial"/>
          <w:b/>
          <w:color w:val="000000" w:themeColor="text1"/>
          <w:sz w:val="22"/>
          <w:szCs w:val="22"/>
          <w:lang w:bidi="es-CO"/>
        </w:rPr>
      </w:pPr>
    </w:p>
    <w:p w14:paraId="4459BD2D" w14:textId="77777777" w:rsidR="00404B8E" w:rsidRPr="00702DE3" w:rsidRDefault="00B626CB" w:rsidP="00404B8E">
      <w:pPr>
        <w:jc w:val="both"/>
        <w:rPr>
          <w:rFonts w:ascii="Arial" w:hAnsi="Arial" w:cs="Arial"/>
          <w:color w:val="000000" w:themeColor="text1"/>
          <w:sz w:val="22"/>
          <w:szCs w:val="22"/>
        </w:rPr>
      </w:pPr>
      <w:r>
        <w:rPr>
          <w:rFonts w:ascii="Arial" w:hAnsi="Arial" w:cs="Arial"/>
          <w:b/>
          <w:color w:val="000000" w:themeColor="text1"/>
          <w:sz w:val="22"/>
          <w:szCs w:val="22"/>
        </w:rPr>
        <w:t>Sexto</w:t>
      </w:r>
      <w:r w:rsidR="00404B8E" w:rsidRPr="00702DE3">
        <w:rPr>
          <w:rFonts w:ascii="Arial" w:hAnsi="Arial" w:cs="Arial"/>
          <w:b/>
          <w:color w:val="000000" w:themeColor="text1"/>
          <w:sz w:val="22"/>
          <w:szCs w:val="22"/>
        </w:rPr>
        <w:t>.</w:t>
      </w:r>
      <w:r w:rsidR="00404B8E" w:rsidRPr="00702DE3">
        <w:rPr>
          <w:rFonts w:ascii="Arial" w:hAnsi="Arial" w:cs="Arial"/>
          <w:color w:val="000000" w:themeColor="text1"/>
          <w:sz w:val="22"/>
          <w:szCs w:val="22"/>
        </w:rPr>
        <w:t xml:space="preserve"> Que mediante la Resolución </w:t>
      </w:r>
      <w:r w:rsidR="00404B8E">
        <w:rPr>
          <w:rFonts w:ascii="Arial" w:hAnsi="Arial" w:cs="Arial"/>
          <w:color w:val="000000" w:themeColor="text1"/>
          <w:sz w:val="22"/>
          <w:szCs w:val="22"/>
        </w:rPr>
        <w:t>No.</w:t>
      </w:r>
      <w:r w:rsidR="00404B8E" w:rsidRPr="00702DE3">
        <w:rPr>
          <w:rFonts w:ascii="Arial" w:hAnsi="Arial" w:cs="Arial"/>
          <w:color w:val="000000" w:themeColor="text1"/>
          <w:sz w:val="22"/>
          <w:szCs w:val="22"/>
        </w:rPr>
        <w:t>12 de 2018 se estableció el Plan Anual de ICR y LEC para el Año 2019, el cual se complementa con la Línea Especial de Crédito que se establece en esta resolución.</w:t>
      </w:r>
    </w:p>
    <w:p w14:paraId="049F31CB" w14:textId="77777777" w:rsidR="00404B8E" w:rsidRPr="00702DE3" w:rsidRDefault="00404B8E" w:rsidP="00404B8E">
      <w:pPr>
        <w:jc w:val="both"/>
        <w:rPr>
          <w:rFonts w:ascii="Arial" w:hAnsi="Arial" w:cs="Arial"/>
          <w:color w:val="000000" w:themeColor="text1"/>
          <w:sz w:val="22"/>
          <w:szCs w:val="22"/>
        </w:rPr>
      </w:pPr>
    </w:p>
    <w:p w14:paraId="5C0BD40B" w14:textId="77777777" w:rsidR="00404B8E" w:rsidRPr="00702DE3" w:rsidRDefault="00B626CB" w:rsidP="00BD6E11">
      <w:pPr>
        <w:tabs>
          <w:tab w:val="left" w:pos="204"/>
        </w:tabs>
        <w:jc w:val="both"/>
        <w:rPr>
          <w:rFonts w:ascii="Arial" w:eastAsia="Arial" w:hAnsi="Arial" w:cs="Arial"/>
          <w:color w:val="000000" w:themeColor="text1"/>
          <w:sz w:val="22"/>
          <w:szCs w:val="22"/>
          <w:lang w:eastAsia="es-CO" w:bidi="es-CO"/>
        </w:rPr>
      </w:pPr>
      <w:r>
        <w:rPr>
          <w:rFonts w:ascii="Arial" w:hAnsi="Arial" w:cs="Arial"/>
          <w:b/>
          <w:color w:val="000000" w:themeColor="text1"/>
          <w:sz w:val="22"/>
          <w:szCs w:val="22"/>
          <w:lang w:bidi="es-CO"/>
        </w:rPr>
        <w:t>Séptimo</w:t>
      </w:r>
      <w:r w:rsidR="00404B8E" w:rsidRPr="00702DE3">
        <w:rPr>
          <w:rFonts w:ascii="Arial" w:eastAsia="Arial" w:hAnsi="Arial" w:cs="Arial"/>
          <w:b/>
          <w:color w:val="000000" w:themeColor="text1"/>
          <w:sz w:val="22"/>
          <w:szCs w:val="22"/>
          <w:lang w:eastAsia="es-CO" w:bidi="es-CO"/>
        </w:rPr>
        <w:t>.</w:t>
      </w:r>
      <w:r w:rsidR="00404B8E" w:rsidRPr="00702DE3">
        <w:rPr>
          <w:rFonts w:ascii="Arial" w:eastAsia="Arial" w:hAnsi="Arial" w:cs="Arial"/>
          <w:color w:val="000000" w:themeColor="text1"/>
          <w:sz w:val="22"/>
          <w:szCs w:val="22"/>
          <w:lang w:eastAsia="es-CO" w:bidi="es-CO"/>
        </w:rPr>
        <w:t xml:space="preserve"> </w:t>
      </w:r>
      <w:bookmarkEnd w:id="2"/>
      <w:r w:rsidR="00404B8E" w:rsidRPr="00702DE3">
        <w:rPr>
          <w:rFonts w:ascii="Arial" w:hAnsi="Arial" w:cs="Arial"/>
          <w:color w:val="000000" w:themeColor="text1"/>
          <w:sz w:val="22"/>
          <w:szCs w:val="22"/>
          <w:lang w:bidi="es-CO"/>
        </w:rPr>
        <w:t>Que el proyecto de resolución</w:t>
      </w:r>
      <w:r w:rsidR="00BD6E11">
        <w:rPr>
          <w:rFonts w:ascii="Arial" w:hAnsi="Arial" w:cs="Arial"/>
          <w:color w:val="000000" w:themeColor="text1"/>
          <w:sz w:val="22"/>
          <w:szCs w:val="22"/>
          <w:lang w:bidi="es-CO"/>
        </w:rPr>
        <w:t xml:space="preserve"> </w:t>
      </w:r>
      <w:r w:rsidR="00BD6E11" w:rsidRPr="00BD6E11">
        <w:rPr>
          <w:rFonts w:ascii="Arial" w:hAnsi="Arial" w:cs="Arial"/>
          <w:sz w:val="22"/>
          <w:szCs w:val="22"/>
        </w:rPr>
        <w:t xml:space="preserve">“Por la cual se establece una Línea Especial de Crédito para incentivar el almacenamiento de Arroz en el segundo semestre de 2019 </w:t>
      </w:r>
      <w:r w:rsidR="00BD6E11" w:rsidRPr="00BD6E11">
        <w:rPr>
          <w:rFonts w:ascii="Arial" w:hAnsi="Arial" w:cs="Arial"/>
          <w:bCs/>
          <w:sz w:val="22"/>
          <w:szCs w:val="22"/>
        </w:rPr>
        <w:t>y se adoptan otras disposiciones</w:t>
      </w:r>
      <w:r w:rsidR="00BD6E11" w:rsidRPr="00BD6E11">
        <w:rPr>
          <w:rFonts w:ascii="Arial" w:hAnsi="Arial" w:cs="Arial"/>
          <w:sz w:val="22"/>
          <w:szCs w:val="22"/>
        </w:rPr>
        <w:t>”</w:t>
      </w:r>
      <w:r w:rsidR="00BD6E11">
        <w:rPr>
          <w:rFonts w:ascii="Arial" w:hAnsi="Arial" w:cs="Arial"/>
          <w:sz w:val="22"/>
          <w:szCs w:val="22"/>
        </w:rPr>
        <w:t xml:space="preserve"> </w:t>
      </w:r>
      <w:r w:rsidR="00404B8E" w:rsidRPr="00702DE3">
        <w:rPr>
          <w:rFonts w:ascii="Arial" w:hAnsi="Arial" w:cs="Arial"/>
          <w:color w:val="000000" w:themeColor="text1"/>
          <w:sz w:val="22"/>
          <w:szCs w:val="22"/>
          <w:lang w:bidi="es-CO"/>
        </w:rPr>
        <w:t>estuvo publicado en la página web de FINAGRO para comentarios.</w:t>
      </w:r>
    </w:p>
    <w:p w14:paraId="53128261" w14:textId="77777777" w:rsidR="00404B8E" w:rsidRPr="00702DE3" w:rsidRDefault="00404B8E" w:rsidP="00404B8E">
      <w:pPr>
        <w:jc w:val="both"/>
        <w:rPr>
          <w:rFonts w:ascii="Arial" w:hAnsi="Arial" w:cs="Arial"/>
          <w:sz w:val="22"/>
          <w:szCs w:val="22"/>
        </w:rPr>
      </w:pPr>
    </w:p>
    <w:p w14:paraId="4D3FCADC" w14:textId="77777777" w:rsidR="00404B8E" w:rsidRPr="00702DE3" w:rsidRDefault="00B626CB" w:rsidP="00404B8E">
      <w:pPr>
        <w:tabs>
          <w:tab w:val="left" w:pos="8503"/>
        </w:tabs>
        <w:ind w:right="-2"/>
        <w:jc w:val="both"/>
        <w:rPr>
          <w:rFonts w:ascii="Arial" w:hAnsi="Arial" w:cs="Arial"/>
          <w:color w:val="000000" w:themeColor="text1"/>
          <w:sz w:val="22"/>
          <w:szCs w:val="22"/>
          <w:lang w:bidi="es-CO"/>
        </w:rPr>
      </w:pPr>
      <w:r>
        <w:rPr>
          <w:rFonts w:ascii="Arial" w:hAnsi="Arial" w:cs="Arial"/>
          <w:b/>
          <w:color w:val="000000" w:themeColor="text1"/>
          <w:sz w:val="22"/>
          <w:szCs w:val="22"/>
          <w:lang w:bidi="es-CO"/>
        </w:rPr>
        <w:t>Octavo</w:t>
      </w:r>
      <w:r w:rsidR="00404B8E" w:rsidRPr="00702DE3">
        <w:rPr>
          <w:rFonts w:ascii="Arial" w:hAnsi="Arial" w:cs="Arial"/>
          <w:b/>
          <w:color w:val="000000" w:themeColor="text1"/>
          <w:sz w:val="22"/>
          <w:szCs w:val="22"/>
          <w:lang w:bidi="es-CO"/>
        </w:rPr>
        <w:t>.</w:t>
      </w:r>
      <w:r w:rsidR="00404B8E" w:rsidRPr="00702DE3">
        <w:rPr>
          <w:rFonts w:ascii="Arial" w:hAnsi="Arial" w:cs="Arial"/>
          <w:color w:val="000000" w:themeColor="text1"/>
          <w:sz w:val="22"/>
          <w:szCs w:val="22"/>
          <w:lang w:bidi="es-CO"/>
        </w:rPr>
        <w:t xml:space="preserve"> Que el documento con la justificación jurídica y técnica de la presente resolución fue presentado para consideración de la CNCA y discutido en la reunión llevada a cabo el día </w:t>
      </w:r>
      <w:r w:rsidR="00404B8E">
        <w:rPr>
          <w:rFonts w:ascii="Arial" w:hAnsi="Arial" w:cs="Arial"/>
          <w:color w:val="000000" w:themeColor="text1"/>
          <w:sz w:val="22"/>
          <w:szCs w:val="22"/>
          <w:lang w:bidi="es-CO"/>
        </w:rPr>
        <w:t>once</w:t>
      </w:r>
      <w:r w:rsidR="00404B8E" w:rsidRPr="00702DE3">
        <w:rPr>
          <w:rFonts w:ascii="Arial" w:hAnsi="Arial" w:cs="Arial"/>
          <w:color w:val="000000" w:themeColor="text1"/>
          <w:sz w:val="22"/>
          <w:szCs w:val="22"/>
          <w:lang w:bidi="es-CO"/>
        </w:rPr>
        <w:t xml:space="preserve"> (</w:t>
      </w:r>
      <w:r w:rsidR="00404B8E">
        <w:rPr>
          <w:rFonts w:ascii="Arial" w:hAnsi="Arial" w:cs="Arial"/>
          <w:color w:val="000000" w:themeColor="text1"/>
          <w:sz w:val="22"/>
          <w:szCs w:val="22"/>
          <w:lang w:bidi="es-CO"/>
        </w:rPr>
        <w:t>11</w:t>
      </w:r>
      <w:r w:rsidR="00404B8E" w:rsidRPr="00702DE3">
        <w:rPr>
          <w:rFonts w:ascii="Arial" w:hAnsi="Arial" w:cs="Arial"/>
          <w:color w:val="000000" w:themeColor="text1"/>
          <w:sz w:val="22"/>
          <w:szCs w:val="22"/>
          <w:lang w:bidi="es-CO"/>
        </w:rPr>
        <w:t xml:space="preserve">) de </w:t>
      </w:r>
      <w:r w:rsidR="00404B8E">
        <w:rPr>
          <w:rFonts w:ascii="Arial" w:hAnsi="Arial" w:cs="Arial"/>
          <w:color w:val="000000" w:themeColor="text1"/>
          <w:sz w:val="22"/>
          <w:szCs w:val="22"/>
          <w:lang w:bidi="es-CO"/>
        </w:rPr>
        <w:t>junio</w:t>
      </w:r>
      <w:r w:rsidR="00404B8E" w:rsidRPr="00702DE3">
        <w:rPr>
          <w:rFonts w:ascii="Arial" w:hAnsi="Arial" w:cs="Arial"/>
          <w:color w:val="000000" w:themeColor="text1"/>
          <w:sz w:val="22"/>
          <w:szCs w:val="22"/>
          <w:lang w:bidi="es-CO"/>
        </w:rPr>
        <w:t xml:space="preserve"> de dos mil diecinueve (2019).</w:t>
      </w:r>
    </w:p>
    <w:p w14:paraId="62486C05" w14:textId="77777777" w:rsidR="00714DC2" w:rsidRPr="00777993" w:rsidRDefault="00714DC2">
      <w:pPr>
        <w:rPr>
          <w:color w:val="000000" w:themeColor="text1"/>
        </w:rPr>
      </w:pPr>
    </w:p>
    <w:p w14:paraId="10B2B3E7" w14:textId="77777777" w:rsidR="00714DC2" w:rsidRPr="00777993" w:rsidRDefault="00714DC2" w:rsidP="00714DC2">
      <w:pPr>
        <w:tabs>
          <w:tab w:val="left" w:pos="8503"/>
        </w:tabs>
        <w:ind w:right="-2"/>
        <w:jc w:val="both"/>
        <w:rPr>
          <w:rFonts w:ascii="Arial" w:hAnsi="Arial" w:cs="Arial"/>
          <w:color w:val="000000" w:themeColor="text1"/>
          <w:sz w:val="22"/>
          <w:szCs w:val="22"/>
          <w:lang w:bidi="es-CO"/>
        </w:rPr>
      </w:pPr>
      <w:r w:rsidRPr="00777993">
        <w:rPr>
          <w:rFonts w:ascii="Arial" w:hAnsi="Arial" w:cs="Arial"/>
          <w:color w:val="000000" w:themeColor="text1"/>
          <w:sz w:val="22"/>
          <w:szCs w:val="22"/>
          <w:lang w:bidi="es-CO"/>
        </w:rPr>
        <w:t>En mérito de lo anterior,</w:t>
      </w:r>
    </w:p>
    <w:p w14:paraId="68A3624F" w14:textId="77777777" w:rsidR="00714DC2" w:rsidRPr="00777993" w:rsidRDefault="00714DC2" w:rsidP="00714DC2">
      <w:pPr>
        <w:pStyle w:val="c5"/>
        <w:tabs>
          <w:tab w:val="left" w:pos="1479"/>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RESUELVE</w:t>
      </w:r>
    </w:p>
    <w:p w14:paraId="4101652C" w14:textId="77777777" w:rsidR="00714DC2" w:rsidRPr="00777993" w:rsidRDefault="00714DC2" w:rsidP="002E79D8">
      <w:pPr>
        <w:pStyle w:val="p2"/>
        <w:spacing w:line="0" w:lineRule="atLeast"/>
        <w:ind w:left="0"/>
        <w:rPr>
          <w:rFonts w:ascii="Arial" w:hAnsi="Arial" w:cs="Arial"/>
          <w:color w:val="000000" w:themeColor="text1"/>
          <w:sz w:val="22"/>
          <w:szCs w:val="22"/>
          <w:lang w:val="es-CO"/>
        </w:rPr>
      </w:pPr>
    </w:p>
    <w:p w14:paraId="0386B82C" w14:textId="77777777" w:rsidR="00F217A5" w:rsidRPr="004C7548" w:rsidRDefault="002E79D8" w:rsidP="00F217A5">
      <w:pPr>
        <w:widowControl w:val="0"/>
        <w:jc w:val="both"/>
        <w:rPr>
          <w:rFonts w:ascii="Arial" w:hAnsi="Arial" w:cs="Arial"/>
          <w:b/>
          <w:kern w:val="3"/>
          <w:sz w:val="22"/>
          <w:szCs w:val="22"/>
          <w:lang w:val="es-ES" w:eastAsia="es-ES"/>
        </w:rPr>
      </w:pPr>
      <w:r w:rsidRPr="00777993">
        <w:rPr>
          <w:rFonts w:ascii="Arial" w:eastAsia="Arial" w:hAnsi="Arial" w:cs="Arial"/>
          <w:b/>
          <w:sz w:val="22"/>
          <w:szCs w:val="22"/>
          <w:lang w:eastAsia="es-CO" w:bidi="es-CO"/>
        </w:rPr>
        <w:t xml:space="preserve">Artículo 1o. </w:t>
      </w:r>
      <w:r w:rsidR="00404B8E" w:rsidRPr="00BD6E11">
        <w:rPr>
          <w:rFonts w:ascii="Arial" w:hAnsi="Arial" w:cs="Arial"/>
          <w:sz w:val="22"/>
          <w:szCs w:val="22"/>
        </w:rPr>
        <w:t xml:space="preserve">Establecer la Línea Especial de Crédito con Tasa Subsidiada para </w:t>
      </w:r>
      <w:r w:rsidR="00BD6E11" w:rsidRPr="00BD6E11">
        <w:rPr>
          <w:rFonts w:ascii="Arial" w:hAnsi="Arial" w:cs="Arial"/>
          <w:kern w:val="3"/>
          <w:sz w:val="22"/>
          <w:szCs w:val="22"/>
          <w:lang w:val="es-ES" w:eastAsia="es-ES"/>
        </w:rPr>
        <w:t xml:space="preserve">para Incentivar el Almacenamiento de Arroz en el Segundo Semestre de </w:t>
      </w:r>
      <w:r w:rsidR="00EE269B" w:rsidRPr="00BD6E11">
        <w:rPr>
          <w:rFonts w:ascii="Arial" w:hAnsi="Arial" w:cs="Arial"/>
          <w:kern w:val="3"/>
          <w:sz w:val="22"/>
          <w:szCs w:val="22"/>
          <w:lang w:val="es-ES" w:eastAsia="es-ES"/>
        </w:rPr>
        <w:t>2019,</w:t>
      </w:r>
      <w:r w:rsidR="00404B8E" w:rsidRPr="00BD6E11">
        <w:rPr>
          <w:rFonts w:ascii="Arial" w:hAnsi="Arial" w:cs="Arial"/>
          <w:sz w:val="22"/>
          <w:szCs w:val="22"/>
        </w:rPr>
        <w:t xml:space="preserve"> con las siguientes </w:t>
      </w:r>
      <w:r w:rsidR="00404B8E" w:rsidRPr="00BD6E11">
        <w:rPr>
          <w:rFonts w:ascii="Arial" w:hAnsi="Arial" w:cs="Arial"/>
          <w:bCs/>
          <w:sz w:val="22"/>
          <w:szCs w:val="22"/>
        </w:rPr>
        <w:t>condiciones financieras:</w:t>
      </w:r>
    </w:p>
    <w:p w14:paraId="4B99056E" w14:textId="77777777" w:rsidR="00F217A5" w:rsidRPr="004C7548" w:rsidRDefault="00F217A5" w:rsidP="00F217A5">
      <w:pPr>
        <w:widowControl w:val="0"/>
        <w:jc w:val="both"/>
        <w:rPr>
          <w:rFonts w:ascii="Arial" w:hAnsi="Arial" w:cs="Arial"/>
          <w:b/>
          <w:kern w:val="3"/>
          <w:sz w:val="22"/>
          <w:szCs w:val="22"/>
          <w:lang w:val="es-ES" w:eastAsia="es-ES"/>
        </w:rPr>
      </w:pPr>
    </w:p>
    <w:p w14:paraId="00C06D3F" w14:textId="77777777" w:rsidR="00F217A5" w:rsidRPr="005C58CA" w:rsidRDefault="00F217A5" w:rsidP="00F217A5">
      <w:pPr>
        <w:pStyle w:val="p2"/>
        <w:numPr>
          <w:ilvl w:val="0"/>
          <w:numId w:val="3"/>
        </w:numPr>
        <w:spacing w:line="240" w:lineRule="auto"/>
        <w:rPr>
          <w:rFonts w:ascii="Arial" w:hAnsi="Arial" w:cs="Arial"/>
          <w:bCs/>
          <w:sz w:val="22"/>
          <w:szCs w:val="22"/>
          <w:lang w:val="es-CO"/>
        </w:rPr>
      </w:pPr>
      <w:r w:rsidRPr="005C58CA">
        <w:rPr>
          <w:rFonts w:ascii="Arial" w:hAnsi="Arial" w:cs="Arial"/>
          <w:b/>
          <w:sz w:val="22"/>
          <w:szCs w:val="22"/>
          <w:lang w:val="es-CO"/>
        </w:rPr>
        <w:t>Beneficiarios:</w:t>
      </w:r>
      <w:r>
        <w:rPr>
          <w:rFonts w:ascii="Arial" w:hAnsi="Arial" w:cs="Arial"/>
          <w:sz w:val="22"/>
          <w:szCs w:val="22"/>
          <w:lang w:val="es-CO"/>
        </w:rPr>
        <w:t xml:space="preserve"> p</w:t>
      </w:r>
      <w:r w:rsidRPr="000D33B7">
        <w:rPr>
          <w:rFonts w:ascii="Arial" w:hAnsi="Arial" w:cs="Arial"/>
          <w:sz w:val="22"/>
          <w:szCs w:val="22"/>
          <w:lang w:val="es-CO"/>
        </w:rPr>
        <w:t xml:space="preserve">odrán acceder a esta línea, </w:t>
      </w:r>
      <w:r w:rsidR="00A23880">
        <w:rPr>
          <w:rFonts w:ascii="Arial" w:hAnsi="Arial" w:cs="Arial"/>
          <w:sz w:val="22"/>
          <w:szCs w:val="22"/>
          <w:lang w:val="es-CO"/>
        </w:rPr>
        <w:t>las personas naturales o jurídicas productoras de arroz y/o de semilla de arroz, los gremios arroceros y empresas compradoras de arroz</w:t>
      </w:r>
      <w:r>
        <w:rPr>
          <w:rFonts w:ascii="Arial" w:hAnsi="Arial" w:cs="Arial"/>
          <w:sz w:val="22"/>
          <w:szCs w:val="22"/>
          <w:lang w:val="es-CO"/>
        </w:rPr>
        <w:t>, producido en el segundo semestre de 201</w:t>
      </w:r>
      <w:r w:rsidR="00B626CB">
        <w:rPr>
          <w:rFonts w:ascii="Arial" w:hAnsi="Arial" w:cs="Arial"/>
          <w:sz w:val="22"/>
          <w:szCs w:val="22"/>
          <w:lang w:val="es-CO"/>
        </w:rPr>
        <w:t>9</w:t>
      </w:r>
      <w:r>
        <w:rPr>
          <w:rFonts w:ascii="Arial" w:hAnsi="Arial" w:cs="Arial"/>
          <w:sz w:val="22"/>
          <w:szCs w:val="22"/>
          <w:lang w:val="es-CO"/>
        </w:rPr>
        <w:t xml:space="preserve">. </w:t>
      </w:r>
    </w:p>
    <w:p w14:paraId="1299C43A" w14:textId="77777777" w:rsidR="00F217A5" w:rsidRDefault="00F217A5" w:rsidP="00F217A5">
      <w:pPr>
        <w:pStyle w:val="p2"/>
        <w:spacing w:line="240" w:lineRule="auto"/>
        <w:ind w:left="720"/>
        <w:rPr>
          <w:rFonts w:ascii="Arial" w:hAnsi="Arial" w:cs="Arial"/>
          <w:bCs/>
          <w:sz w:val="22"/>
          <w:szCs w:val="22"/>
          <w:lang w:val="es-CO"/>
        </w:rPr>
      </w:pPr>
      <w:bookmarkStart w:id="3" w:name="_Hlk10270736"/>
    </w:p>
    <w:p w14:paraId="4ECFEFDD" w14:textId="77777777" w:rsidR="00F217A5" w:rsidRPr="009519D3" w:rsidRDefault="00F217A5" w:rsidP="00F217A5">
      <w:pPr>
        <w:pStyle w:val="p2"/>
        <w:numPr>
          <w:ilvl w:val="0"/>
          <w:numId w:val="3"/>
        </w:numPr>
        <w:spacing w:line="240" w:lineRule="auto"/>
        <w:rPr>
          <w:rFonts w:ascii="Arial" w:hAnsi="Arial" w:cs="Arial"/>
          <w:bCs/>
          <w:sz w:val="22"/>
          <w:szCs w:val="22"/>
          <w:lang w:val="es-CO"/>
        </w:rPr>
      </w:pPr>
      <w:r w:rsidRPr="005C58CA">
        <w:rPr>
          <w:rFonts w:ascii="Arial" w:hAnsi="Arial" w:cs="Arial"/>
          <w:b/>
          <w:bCs/>
          <w:sz w:val="22"/>
          <w:szCs w:val="22"/>
          <w:lang w:val="es-CO"/>
        </w:rPr>
        <w:t>Actividad Financiable:</w:t>
      </w:r>
      <w:r w:rsidRPr="005C58CA">
        <w:rPr>
          <w:rFonts w:ascii="Arial" w:hAnsi="Arial" w:cs="Arial"/>
          <w:bCs/>
          <w:sz w:val="22"/>
          <w:szCs w:val="22"/>
          <w:lang w:val="es-CO"/>
        </w:rPr>
        <w:t xml:space="preserve"> </w:t>
      </w:r>
      <w:r w:rsidRPr="005C58CA">
        <w:rPr>
          <w:rFonts w:ascii="Arial" w:hAnsi="Arial" w:cs="Arial"/>
          <w:sz w:val="22"/>
          <w:szCs w:val="22"/>
          <w:lang w:val="es-CO"/>
        </w:rPr>
        <w:t xml:space="preserve">costos </w:t>
      </w:r>
      <w:r>
        <w:rPr>
          <w:rFonts w:ascii="Arial" w:hAnsi="Arial" w:cs="Arial"/>
          <w:sz w:val="22"/>
          <w:szCs w:val="22"/>
          <w:lang w:val="es-CO"/>
        </w:rPr>
        <w:t>de</w:t>
      </w:r>
      <w:r w:rsidRPr="005C58CA">
        <w:rPr>
          <w:rFonts w:ascii="Arial" w:hAnsi="Arial" w:cs="Arial"/>
          <w:sz w:val="22"/>
          <w:szCs w:val="22"/>
          <w:lang w:val="es-CO"/>
        </w:rPr>
        <w:t xml:space="preserve"> almacenamiento de </w:t>
      </w:r>
      <w:r>
        <w:rPr>
          <w:rFonts w:ascii="Arial" w:hAnsi="Arial" w:cs="Arial"/>
          <w:sz w:val="22"/>
          <w:szCs w:val="22"/>
          <w:lang w:val="es-CO"/>
        </w:rPr>
        <w:t xml:space="preserve">arroz </w:t>
      </w:r>
      <w:proofErr w:type="spellStart"/>
      <w:r>
        <w:rPr>
          <w:rFonts w:ascii="Arial" w:hAnsi="Arial" w:cs="Arial"/>
          <w:sz w:val="22"/>
          <w:szCs w:val="22"/>
          <w:lang w:val="es-CO"/>
        </w:rPr>
        <w:t>paddy</w:t>
      </w:r>
      <w:proofErr w:type="spellEnd"/>
      <w:r>
        <w:rPr>
          <w:rFonts w:ascii="Arial" w:hAnsi="Arial" w:cs="Arial"/>
          <w:sz w:val="22"/>
          <w:szCs w:val="22"/>
          <w:lang w:val="es-CO"/>
        </w:rPr>
        <w:t xml:space="preserve"> seco</w:t>
      </w:r>
      <w:r w:rsidR="00CC6999">
        <w:rPr>
          <w:rFonts w:ascii="Arial" w:hAnsi="Arial" w:cs="Arial"/>
          <w:sz w:val="22"/>
          <w:szCs w:val="22"/>
          <w:lang w:val="es-CO"/>
        </w:rPr>
        <w:t>, arroz integral o arroz blanco</w:t>
      </w:r>
      <w:r w:rsidRPr="005C58CA">
        <w:rPr>
          <w:rFonts w:ascii="Arial" w:hAnsi="Arial" w:cs="Arial"/>
          <w:sz w:val="22"/>
          <w:szCs w:val="22"/>
          <w:lang w:val="es-CO"/>
        </w:rPr>
        <w:t xml:space="preserve"> que se encuentre amparado </w:t>
      </w:r>
      <w:r>
        <w:rPr>
          <w:rFonts w:ascii="Arial" w:hAnsi="Arial" w:cs="Arial"/>
          <w:sz w:val="22"/>
          <w:szCs w:val="22"/>
          <w:lang w:val="es-CO"/>
        </w:rPr>
        <w:t>con</w:t>
      </w:r>
      <w:r w:rsidRPr="005C58CA">
        <w:rPr>
          <w:rFonts w:ascii="Arial" w:hAnsi="Arial" w:cs="Arial"/>
          <w:sz w:val="22"/>
          <w:szCs w:val="22"/>
          <w:lang w:val="es-CO"/>
        </w:rPr>
        <w:t xml:space="preserve"> Certificados de Depósito de Mercancías CDM</w:t>
      </w:r>
      <w:r>
        <w:rPr>
          <w:rFonts w:ascii="Arial" w:hAnsi="Arial" w:cs="Arial"/>
          <w:sz w:val="22"/>
          <w:szCs w:val="22"/>
          <w:lang w:val="es-CO"/>
        </w:rPr>
        <w:t>, correspondientes a a</w:t>
      </w:r>
      <w:bookmarkEnd w:id="3"/>
      <w:r>
        <w:rPr>
          <w:rFonts w:ascii="Arial" w:hAnsi="Arial" w:cs="Arial"/>
          <w:sz w:val="22"/>
          <w:szCs w:val="22"/>
          <w:lang w:val="es-CO"/>
        </w:rPr>
        <w:t>lmacenamiento de arroz producido en el segundo semestre de 2019</w:t>
      </w:r>
      <w:r w:rsidRPr="005C58CA">
        <w:rPr>
          <w:rFonts w:ascii="Arial" w:hAnsi="Arial" w:cs="Arial"/>
          <w:sz w:val="22"/>
          <w:szCs w:val="22"/>
          <w:lang w:val="es-CO"/>
        </w:rPr>
        <w:t xml:space="preserve">. </w:t>
      </w:r>
    </w:p>
    <w:p w14:paraId="4DDBEF00" w14:textId="77777777" w:rsidR="00F217A5" w:rsidRDefault="00F217A5" w:rsidP="00F217A5">
      <w:pPr>
        <w:pStyle w:val="p2"/>
        <w:spacing w:line="240" w:lineRule="auto"/>
        <w:ind w:left="720"/>
        <w:rPr>
          <w:rFonts w:ascii="Arial" w:hAnsi="Arial" w:cs="Arial"/>
          <w:bCs/>
          <w:sz w:val="22"/>
          <w:szCs w:val="22"/>
          <w:lang w:val="es-CO"/>
        </w:rPr>
      </w:pPr>
    </w:p>
    <w:p w14:paraId="6735917F" w14:textId="77777777" w:rsidR="00F217A5" w:rsidRPr="009519D3" w:rsidRDefault="00F217A5" w:rsidP="00F217A5">
      <w:pPr>
        <w:pStyle w:val="p2"/>
        <w:numPr>
          <w:ilvl w:val="0"/>
          <w:numId w:val="3"/>
        </w:numPr>
        <w:spacing w:line="240" w:lineRule="auto"/>
        <w:rPr>
          <w:rFonts w:ascii="Arial" w:hAnsi="Arial" w:cs="Arial"/>
          <w:bCs/>
          <w:sz w:val="22"/>
          <w:szCs w:val="22"/>
          <w:lang w:val="es-CO"/>
        </w:rPr>
      </w:pPr>
      <w:r w:rsidRPr="009519D3">
        <w:rPr>
          <w:rFonts w:ascii="Arial" w:hAnsi="Arial" w:cs="Arial"/>
          <w:b/>
          <w:bCs/>
          <w:spacing w:val="-3"/>
          <w:sz w:val="22"/>
          <w:szCs w:val="22"/>
          <w:lang w:val="es-CO"/>
        </w:rPr>
        <w:t>Plazo del Crédito:</w:t>
      </w:r>
      <w:r w:rsidRPr="009519D3">
        <w:rPr>
          <w:rFonts w:ascii="Arial" w:hAnsi="Arial" w:cs="Arial"/>
          <w:bCs/>
          <w:spacing w:val="-3"/>
          <w:sz w:val="22"/>
          <w:szCs w:val="22"/>
          <w:lang w:val="es-CO"/>
        </w:rPr>
        <w:t xml:space="preserve"> </w:t>
      </w:r>
      <w:r>
        <w:rPr>
          <w:rFonts w:ascii="Arial" w:hAnsi="Arial" w:cs="Arial"/>
          <w:bCs/>
          <w:spacing w:val="-3"/>
          <w:sz w:val="22"/>
          <w:szCs w:val="22"/>
          <w:lang w:val="es-CO"/>
        </w:rPr>
        <w:t>e</w:t>
      </w:r>
      <w:r w:rsidRPr="009519D3">
        <w:rPr>
          <w:rFonts w:ascii="Arial" w:hAnsi="Arial" w:cs="Arial"/>
          <w:bCs/>
          <w:spacing w:val="-3"/>
          <w:sz w:val="22"/>
          <w:szCs w:val="22"/>
          <w:lang w:val="es-CO"/>
        </w:rPr>
        <w:t xml:space="preserve">l plazo para el pago del crédito será hasta de seis (6) meses. </w:t>
      </w:r>
    </w:p>
    <w:p w14:paraId="3461D779" w14:textId="77777777" w:rsidR="00F217A5" w:rsidRDefault="00F217A5" w:rsidP="00F217A5">
      <w:pPr>
        <w:pStyle w:val="p2"/>
        <w:spacing w:line="240" w:lineRule="auto"/>
        <w:ind w:left="720"/>
        <w:rPr>
          <w:rFonts w:ascii="Arial" w:hAnsi="Arial" w:cs="Arial"/>
          <w:bCs/>
          <w:sz w:val="22"/>
          <w:szCs w:val="22"/>
          <w:lang w:val="es-CO"/>
        </w:rPr>
      </w:pPr>
    </w:p>
    <w:p w14:paraId="5003C69C" w14:textId="77777777" w:rsidR="00F217A5" w:rsidRPr="009519D3" w:rsidRDefault="00F217A5" w:rsidP="00F217A5">
      <w:pPr>
        <w:pStyle w:val="p2"/>
        <w:numPr>
          <w:ilvl w:val="0"/>
          <w:numId w:val="3"/>
        </w:numPr>
        <w:spacing w:line="240" w:lineRule="auto"/>
        <w:rPr>
          <w:rFonts w:ascii="Arial" w:hAnsi="Arial" w:cs="Arial"/>
          <w:b/>
          <w:bCs/>
          <w:sz w:val="22"/>
          <w:szCs w:val="22"/>
          <w:lang w:val="es-CO"/>
        </w:rPr>
      </w:pPr>
      <w:r w:rsidRPr="009519D3">
        <w:rPr>
          <w:rFonts w:ascii="Arial" w:hAnsi="Arial" w:cs="Arial"/>
          <w:b/>
          <w:bCs/>
          <w:spacing w:val="-3"/>
          <w:sz w:val="22"/>
          <w:szCs w:val="22"/>
          <w:lang w:val="es-CO"/>
        </w:rPr>
        <w:t>Tasa de Interés tasa de redescuento y subsidio a la tasa de interés:</w:t>
      </w:r>
    </w:p>
    <w:p w14:paraId="3CF2D8B6" w14:textId="77777777" w:rsidR="00F217A5" w:rsidRDefault="00F217A5" w:rsidP="00F217A5">
      <w:pPr>
        <w:pStyle w:val="Prrafodelista"/>
        <w:rPr>
          <w:rFonts w:cs="Arial"/>
          <w:b/>
          <w:bCs/>
        </w:rPr>
      </w:pP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720"/>
        <w:gridCol w:w="1200"/>
        <w:gridCol w:w="1200"/>
      </w:tblGrid>
      <w:tr w:rsidR="00F217A5" w:rsidRPr="00B96EC9" w14:paraId="2923F2AE" w14:textId="77777777" w:rsidTr="00E228C5">
        <w:trPr>
          <w:trHeight w:val="465"/>
          <w:jc w:val="center"/>
        </w:trPr>
        <w:tc>
          <w:tcPr>
            <w:tcW w:w="2140" w:type="dxa"/>
            <w:shd w:val="clear" w:color="000000" w:fill="333F4F"/>
            <w:vAlign w:val="center"/>
            <w:hideMark/>
          </w:tcPr>
          <w:p w14:paraId="40AF81CE" w14:textId="77777777" w:rsidR="00F217A5" w:rsidRPr="00B96EC9" w:rsidRDefault="00F217A5" w:rsidP="008E5210">
            <w:pPr>
              <w:jc w:val="center"/>
              <w:rPr>
                <w:rFonts w:ascii="Arial" w:hAnsi="Arial" w:cs="Arial"/>
                <w:b/>
                <w:bCs/>
                <w:color w:val="FFFFFF"/>
                <w:sz w:val="18"/>
                <w:szCs w:val="18"/>
                <w:lang w:val="es-ES" w:eastAsia="es-ES"/>
              </w:rPr>
            </w:pPr>
            <w:r w:rsidRPr="00B96EC9">
              <w:rPr>
                <w:rFonts w:ascii="Arial" w:hAnsi="Arial" w:cs="Arial"/>
                <w:b/>
                <w:bCs/>
                <w:color w:val="FFFFFF"/>
                <w:sz w:val="18"/>
                <w:szCs w:val="18"/>
                <w:lang w:eastAsia="es-ES"/>
              </w:rPr>
              <w:t>Tipo de Productor</w:t>
            </w:r>
          </w:p>
        </w:tc>
        <w:tc>
          <w:tcPr>
            <w:tcW w:w="1720" w:type="dxa"/>
            <w:shd w:val="clear" w:color="000000" w:fill="333F4F"/>
            <w:vAlign w:val="center"/>
            <w:hideMark/>
          </w:tcPr>
          <w:p w14:paraId="1209186F" w14:textId="77777777" w:rsidR="00F217A5" w:rsidRPr="00B96EC9" w:rsidRDefault="00F217A5" w:rsidP="008E5210">
            <w:pPr>
              <w:jc w:val="center"/>
              <w:rPr>
                <w:rFonts w:ascii="Arial" w:hAnsi="Arial" w:cs="Arial"/>
                <w:b/>
                <w:bCs/>
                <w:color w:val="FFFFFF"/>
                <w:sz w:val="18"/>
                <w:szCs w:val="18"/>
                <w:lang w:val="es-ES" w:eastAsia="es-ES"/>
              </w:rPr>
            </w:pPr>
            <w:r w:rsidRPr="00B96EC9">
              <w:rPr>
                <w:rFonts w:ascii="Arial" w:hAnsi="Arial" w:cs="Arial"/>
                <w:b/>
                <w:bCs/>
                <w:color w:val="FFFFFF"/>
                <w:sz w:val="18"/>
                <w:szCs w:val="18"/>
                <w:lang w:eastAsia="es-ES"/>
              </w:rPr>
              <w:t>Tasa de Redescuento</w:t>
            </w:r>
          </w:p>
        </w:tc>
        <w:tc>
          <w:tcPr>
            <w:tcW w:w="1200" w:type="dxa"/>
            <w:shd w:val="clear" w:color="000000" w:fill="333F4F"/>
            <w:vAlign w:val="center"/>
            <w:hideMark/>
          </w:tcPr>
          <w:p w14:paraId="528AA494" w14:textId="77777777" w:rsidR="00F217A5" w:rsidRPr="00B96EC9" w:rsidRDefault="00F217A5" w:rsidP="008E5210">
            <w:pPr>
              <w:jc w:val="center"/>
              <w:rPr>
                <w:rFonts w:ascii="Arial" w:hAnsi="Arial" w:cs="Arial"/>
                <w:b/>
                <w:bCs/>
                <w:color w:val="FFFFFF"/>
                <w:sz w:val="18"/>
                <w:szCs w:val="18"/>
                <w:lang w:val="es-ES" w:eastAsia="es-ES"/>
              </w:rPr>
            </w:pPr>
            <w:r w:rsidRPr="00B96EC9">
              <w:rPr>
                <w:rFonts w:ascii="Arial" w:hAnsi="Arial" w:cs="Arial"/>
                <w:b/>
                <w:bCs/>
                <w:color w:val="FFFFFF"/>
                <w:sz w:val="18"/>
                <w:szCs w:val="18"/>
                <w:lang w:eastAsia="es-ES"/>
              </w:rPr>
              <w:t>Tasa de Interés</w:t>
            </w:r>
          </w:p>
        </w:tc>
        <w:tc>
          <w:tcPr>
            <w:tcW w:w="1200" w:type="dxa"/>
            <w:shd w:val="clear" w:color="000000" w:fill="333F4F"/>
            <w:vAlign w:val="center"/>
            <w:hideMark/>
          </w:tcPr>
          <w:p w14:paraId="5E04890F" w14:textId="77777777" w:rsidR="00F217A5" w:rsidRPr="00B96EC9" w:rsidRDefault="00F217A5" w:rsidP="008E5210">
            <w:pPr>
              <w:jc w:val="center"/>
              <w:rPr>
                <w:rFonts w:ascii="Arial" w:hAnsi="Arial" w:cs="Arial"/>
                <w:b/>
                <w:bCs/>
                <w:color w:val="FFFFFF"/>
                <w:sz w:val="18"/>
                <w:szCs w:val="18"/>
                <w:lang w:val="es-ES" w:eastAsia="es-ES"/>
              </w:rPr>
            </w:pPr>
            <w:r w:rsidRPr="00B96EC9">
              <w:rPr>
                <w:rFonts w:ascii="Arial" w:hAnsi="Arial" w:cs="Arial"/>
                <w:b/>
                <w:bCs/>
                <w:color w:val="FFFFFF"/>
                <w:sz w:val="18"/>
                <w:szCs w:val="18"/>
                <w:lang w:eastAsia="es-ES"/>
              </w:rPr>
              <w:t>Subsidio</w:t>
            </w:r>
          </w:p>
        </w:tc>
      </w:tr>
      <w:tr w:rsidR="00F217A5" w:rsidRPr="00B96EC9" w14:paraId="57BED24B" w14:textId="77777777" w:rsidTr="00E228C5">
        <w:trPr>
          <w:trHeight w:val="293"/>
          <w:jc w:val="center"/>
        </w:trPr>
        <w:tc>
          <w:tcPr>
            <w:tcW w:w="2140" w:type="dxa"/>
            <w:shd w:val="clear" w:color="000000" w:fill="E2EFD9"/>
            <w:noWrap/>
            <w:vAlign w:val="center"/>
            <w:hideMark/>
          </w:tcPr>
          <w:p w14:paraId="358F9BAD" w14:textId="77777777" w:rsidR="00F217A5" w:rsidRPr="00B96EC9" w:rsidRDefault="00F217A5" w:rsidP="008E5210">
            <w:pPr>
              <w:rPr>
                <w:rFonts w:ascii="Arial" w:hAnsi="Arial" w:cs="Arial"/>
                <w:color w:val="000000"/>
                <w:sz w:val="18"/>
                <w:szCs w:val="18"/>
                <w:lang w:val="es-ES" w:eastAsia="es-ES"/>
              </w:rPr>
            </w:pPr>
            <w:r w:rsidRPr="00B96EC9">
              <w:rPr>
                <w:rFonts w:ascii="Arial" w:hAnsi="Arial" w:cs="Arial"/>
                <w:color w:val="000000"/>
                <w:sz w:val="18"/>
                <w:szCs w:val="18"/>
                <w:lang w:eastAsia="es-ES"/>
              </w:rPr>
              <w:t>Pequeño Productor</w:t>
            </w:r>
          </w:p>
        </w:tc>
        <w:tc>
          <w:tcPr>
            <w:tcW w:w="1720" w:type="dxa"/>
            <w:shd w:val="clear" w:color="000000" w:fill="E2EFD9"/>
            <w:noWrap/>
            <w:vAlign w:val="center"/>
            <w:hideMark/>
          </w:tcPr>
          <w:p w14:paraId="0BFCB9E8"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eastAsia="es-ES"/>
              </w:rPr>
              <w:t xml:space="preserve">DTF - 2,5 </w:t>
            </w:r>
            <w:proofErr w:type="spellStart"/>
            <w:r w:rsidRPr="00B96EC9">
              <w:rPr>
                <w:rFonts w:ascii="Arial" w:hAnsi="Arial" w:cs="Arial"/>
                <w:color w:val="000000"/>
                <w:sz w:val="18"/>
                <w:szCs w:val="18"/>
                <w:lang w:eastAsia="es-ES"/>
              </w:rPr>
              <w:t>e.a</w:t>
            </w:r>
            <w:proofErr w:type="spellEnd"/>
            <w:r w:rsidRPr="00B96EC9">
              <w:rPr>
                <w:rFonts w:ascii="Arial" w:hAnsi="Arial" w:cs="Arial"/>
                <w:color w:val="000000"/>
                <w:sz w:val="18"/>
                <w:szCs w:val="18"/>
                <w:lang w:eastAsia="es-ES"/>
              </w:rPr>
              <w:t>.</w:t>
            </w:r>
          </w:p>
        </w:tc>
        <w:tc>
          <w:tcPr>
            <w:tcW w:w="1200" w:type="dxa"/>
            <w:shd w:val="clear" w:color="000000" w:fill="E2EFD9"/>
            <w:noWrap/>
            <w:vAlign w:val="center"/>
            <w:hideMark/>
          </w:tcPr>
          <w:p w14:paraId="705E2A77"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eastAsia="es-ES"/>
              </w:rPr>
              <w:t xml:space="preserve">DTF + 2 </w:t>
            </w:r>
            <w:proofErr w:type="spellStart"/>
            <w:r w:rsidRPr="00B96EC9">
              <w:rPr>
                <w:rFonts w:ascii="Arial" w:hAnsi="Arial" w:cs="Arial"/>
                <w:color w:val="000000"/>
                <w:sz w:val="18"/>
                <w:szCs w:val="18"/>
                <w:lang w:eastAsia="es-ES"/>
              </w:rPr>
              <w:t>e.a</w:t>
            </w:r>
            <w:proofErr w:type="spellEnd"/>
            <w:r w:rsidRPr="00B96EC9">
              <w:rPr>
                <w:rFonts w:ascii="Arial" w:hAnsi="Arial" w:cs="Arial"/>
                <w:color w:val="000000"/>
                <w:sz w:val="18"/>
                <w:szCs w:val="18"/>
                <w:lang w:eastAsia="es-ES"/>
              </w:rPr>
              <w:t>.</w:t>
            </w:r>
          </w:p>
        </w:tc>
        <w:tc>
          <w:tcPr>
            <w:tcW w:w="1200" w:type="dxa"/>
            <w:shd w:val="clear" w:color="000000" w:fill="E2EFD9"/>
            <w:noWrap/>
            <w:vAlign w:val="center"/>
            <w:hideMark/>
          </w:tcPr>
          <w:p w14:paraId="56B07750"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val="es-ES" w:eastAsia="es-ES"/>
              </w:rPr>
              <w:t>4%</w:t>
            </w:r>
          </w:p>
        </w:tc>
      </w:tr>
      <w:tr w:rsidR="00F217A5" w:rsidRPr="00B96EC9" w14:paraId="5D13FAE5" w14:textId="77777777" w:rsidTr="00E228C5">
        <w:trPr>
          <w:trHeight w:val="293"/>
          <w:jc w:val="center"/>
        </w:trPr>
        <w:tc>
          <w:tcPr>
            <w:tcW w:w="2140" w:type="dxa"/>
            <w:shd w:val="clear" w:color="000000" w:fill="E2EFD9"/>
            <w:noWrap/>
            <w:vAlign w:val="center"/>
            <w:hideMark/>
          </w:tcPr>
          <w:p w14:paraId="1B9BF73B" w14:textId="77777777" w:rsidR="00F217A5" w:rsidRPr="00B96EC9" w:rsidRDefault="00F217A5" w:rsidP="008E5210">
            <w:pPr>
              <w:rPr>
                <w:rFonts w:ascii="Arial" w:hAnsi="Arial" w:cs="Arial"/>
                <w:color w:val="000000"/>
                <w:sz w:val="18"/>
                <w:szCs w:val="18"/>
                <w:lang w:val="es-ES" w:eastAsia="es-ES"/>
              </w:rPr>
            </w:pPr>
            <w:r w:rsidRPr="00B96EC9">
              <w:rPr>
                <w:rFonts w:ascii="Arial" w:hAnsi="Arial" w:cs="Arial"/>
                <w:color w:val="000000"/>
                <w:sz w:val="18"/>
                <w:szCs w:val="18"/>
                <w:lang w:eastAsia="es-ES"/>
              </w:rPr>
              <w:t>Mediano Productor</w:t>
            </w:r>
          </w:p>
        </w:tc>
        <w:tc>
          <w:tcPr>
            <w:tcW w:w="1720" w:type="dxa"/>
            <w:shd w:val="clear" w:color="000000" w:fill="E2EFD9"/>
            <w:noWrap/>
            <w:vAlign w:val="center"/>
            <w:hideMark/>
          </w:tcPr>
          <w:p w14:paraId="295A1AB8"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eastAsia="es-ES"/>
              </w:rPr>
              <w:t xml:space="preserve">DTF + 1  </w:t>
            </w:r>
            <w:proofErr w:type="spellStart"/>
            <w:r w:rsidRPr="00B96EC9">
              <w:rPr>
                <w:rFonts w:ascii="Arial" w:hAnsi="Arial" w:cs="Arial"/>
                <w:color w:val="000000"/>
                <w:sz w:val="18"/>
                <w:szCs w:val="18"/>
                <w:lang w:eastAsia="es-ES"/>
              </w:rPr>
              <w:t>e.a</w:t>
            </w:r>
            <w:proofErr w:type="spellEnd"/>
            <w:r w:rsidRPr="00B96EC9">
              <w:rPr>
                <w:rFonts w:ascii="Arial" w:hAnsi="Arial" w:cs="Arial"/>
                <w:color w:val="000000"/>
                <w:sz w:val="18"/>
                <w:szCs w:val="18"/>
                <w:lang w:eastAsia="es-ES"/>
              </w:rPr>
              <w:t>.</w:t>
            </w:r>
          </w:p>
        </w:tc>
        <w:tc>
          <w:tcPr>
            <w:tcW w:w="1200" w:type="dxa"/>
            <w:shd w:val="clear" w:color="000000" w:fill="E2EFD9"/>
            <w:noWrap/>
            <w:vAlign w:val="center"/>
            <w:hideMark/>
          </w:tcPr>
          <w:p w14:paraId="3A29CA9D"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eastAsia="es-ES"/>
              </w:rPr>
              <w:t xml:space="preserve">DTF + 4 </w:t>
            </w:r>
            <w:proofErr w:type="spellStart"/>
            <w:r w:rsidRPr="00B96EC9">
              <w:rPr>
                <w:rFonts w:ascii="Arial" w:hAnsi="Arial" w:cs="Arial"/>
                <w:color w:val="000000"/>
                <w:sz w:val="18"/>
                <w:szCs w:val="18"/>
                <w:lang w:eastAsia="es-ES"/>
              </w:rPr>
              <w:t>e.a</w:t>
            </w:r>
            <w:proofErr w:type="spellEnd"/>
            <w:r w:rsidRPr="00B96EC9">
              <w:rPr>
                <w:rFonts w:ascii="Arial" w:hAnsi="Arial" w:cs="Arial"/>
                <w:color w:val="000000"/>
                <w:sz w:val="18"/>
                <w:szCs w:val="18"/>
                <w:lang w:eastAsia="es-ES"/>
              </w:rPr>
              <w:t>.</w:t>
            </w:r>
          </w:p>
        </w:tc>
        <w:tc>
          <w:tcPr>
            <w:tcW w:w="1200" w:type="dxa"/>
            <w:shd w:val="clear" w:color="000000" w:fill="E2EFD9"/>
            <w:noWrap/>
            <w:vAlign w:val="center"/>
            <w:hideMark/>
          </w:tcPr>
          <w:p w14:paraId="5D231CA4"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val="es-ES" w:eastAsia="es-ES"/>
              </w:rPr>
              <w:t>3%</w:t>
            </w:r>
          </w:p>
        </w:tc>
      </w:tr>
      <w:tr w:rsidR="00F217A5" w:rsidRPr="00B96EC9" w14:paraId="1F4C5373" w14:textId="77777777" w:rsidTr="00E228C5">
        <w:trPr>
          <w:trHeight w:val="293"/>
          <w:jc w:val="center"/>
        </w:trPr>
        <w:tc>
          <w:tcPr>
            <w:tcW w:w="2140" w:type="dxa"/>
            <w:shd w:val="clear" w:color="000000" w:fill="E2EFD9"/>
            <w:noWrap/>
            <w:vAlign w:val="center"/>
            <w:hideMark/>
          </w:tcPr>
          <w:p w14:paraId="162365B4" w14:textId="77777777" w:rsidR="00F217A5" w:rsidRPr="00B96EC9" w:rsidRDefault="00F217A5" w:rsidP="008E5210">
            <w:pPr>
              <w:rPr>
                <w:rFonts w:ascii="Arial" w:hAnsi="Arial" w:cs="Arial"/>
                <w:color w:val="000000"/>
                <w:sz w:val="18"/>
                <w:szCs w:val="18"/>
                <w:lang w:val="es-ES" w:eastAsia="es-ES"/>
              </w:rPr>
            </w:pPr>
            <w:r w:rsidRPr="00B96EC9">
              <w:rPr>
                <w:rFonts w:ascii="Arial" w:hAnsi="Arial" w:cs="Arial"/>
                <w:color w:val="000000"/>
                <w:sz w:val="18"/>
                <w:szCs w:val="18"/>
                <w:lang w:eastAsia="es-ES"/>
              </w:rPr>
              <w:t>Gran Productor</w:t>
            </w:r>
          </w:p>
        </w:tc>
        <w:tc>
          <w:tcPr>
            <w:tcW w:w="1720" w:type="dxa"/>
            <w:shd w:val="clear" w:color="000000" w:fill="E2EFD9"/>
            <w:noWrap/>
            <w:vAlign w:val="center"/>
            <w:hideMark/>
          </w:tcPr>
          <w:p w14:paraId="7EF05265"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eastAsia="es-ES"/>
              </w:rPr>
              <w:t xml:space="preserve">DTF + 2  </w:t>
            </w:r>
            <w:proofErr w:type="spellStart"/>
            <w:r w:rsidRPr="00B96EC9">
              <w:rPr>
                <w:rFonts w:ascii="Arial" w:hAnsi="Arial" w:cs="Arial"/>
                <w:color w:val="000000"/>
                <w:sz w:val="18"/>
                <w:szCs w:val="18"/>
                <w:lang w:eastAsia="es-ES"/>
              </w:rPr>
              <w:t>e.a</w:t>
            </w:r>
            <w:proofErr w:type="spellEnd"/>
            <w:r w:rsidRPr="00B96EC9">
              <w:rPr>
                <w:rFonts w:ascii="Arial" w:hAnsi="Arial" w:cs="Arial"/>
                <w:color w:val="000000"/>
                <w:sz w:val="18"/>
                <w:szCs w:val="18"/>
                <w:lang w:eastAsia="es-ES"/>
              </w:rPr>
              <w:t>.</w:t>
            </w:r>
          </w:p>
        </w:tc>
        <w:tc>
          <w:tcPr>
            <w:tcW w:w="1200" w:type="dxa"/>
            <w:shd w:val="clear" w:color="000000" w:fill="E2EFD9"/>
            <w:noWrap/>
            <w:vAlign w:val="center"/>
            <w:hideMark/>
          </w:tcPr>
          <w:p w14:paraId="39C2CF5A"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eastAsia="es-ES"/>
              </w:rPr>
              <w:t xml:space="preserve">DTF + 5 </w:t>
            </w:r>
            <w:proofErr w:type="spellStart"/>
            <w:r w:rsidRPr="00B96EC9">
              <w:rPr>
                <w:rFonts w:ascii="Arial" w:hAnsi="Arial" w:cs="Arial"/>
                <w:color w:val="000000"/>
                <w:sz w:val="18"/>
                <w:szCs w:val="18"/>
                <w:lang w:eastAsia="es-ES"/>
              </w:rPr>
              <w:t>e.a</w:t>
            </w:r>
            <w:proofErr w:type="spellEnd"/>
            <w:r w:rsidRPr="00B96EC9">
              <w:rPr>
                <w:rFonts w:ascii="Arial" w:hAnsi="Arial" w:cs="Arial"/>
                <w:color w:val="000000"/>
                <w:sz w:val="18"/>
                <w:szCs w:val="18"/>
                <w:lang w:eastAsia="es-ES"/>
              </w:rPr>
              <w:t>.</w:t>
            </w:r>
          </w:p>
        </w:tc>
        <w:tc>
          <w:tcPr>
            <w:tcW w:w="1200" w:type="dxa"/>
            <w:shd w:val="clear" w:color="000000" w:fill="E2EFD9"/>
            <w:noWrap/>
            <w:vAlign w:val="center"/>
            <w:hideMark/>
          </w:tcPr>
          <w:p w14:paraId="02D1A0E8" w14:textId="77777777" w:rsidR="00F217A5" w:rsidRPr="00B96EC9" w:rsidRDefault="00F217A5" w:rsidP="008E5210">
            <w:pPr>
              <w:jc w:val="center"/>
              <w:rPr>
                <w:rFonts w:ascii="Arial" w:hAnsi="Arial" w:cs="Arial"/>
                <w:color w:val="000000"/>
                <w:sz w:val="18"/>
                <w:szCs w:val="18"/>
                <w:lang w:val="es-ES" w:eastAsia="es-ES"/>
              </w:rPr>
            </w:pPr>
            <w:r w:rsidRPr="00B96EC9">
              <w:rPr>
                <w:rFonts w:ascii="Arial" w:hAnsi="Arial" w:cs="Arial"/>
                <w:color w:val="000000"/>
                <w:sz w:val="18"/>
                <w:szCs w:val="18"/>
                <w:lang w:val="es-ES" w:eastAsia="es-ES"/>
              </w:rPr>
              <w:t>2%</w:t>
            </w:r>
          </w:p>
        </w:tc>
      </w:tr>
      <w:tr w:rsidR="00F217A5" w:rsidRPr="00B96EC9" w14:paraId="6AC97787" w14:textId="77777777" w:rsidTr="00E228C5">
        <w:trPr>
          <w:trHeight w:val="293"/>
          <w:jc w:val="center"/>
        </w:trPr>
        <w:tc>
          <w:tcPr>
            <w:tcW w:w="2140" w:type="dxa"/>
            <w:shd w:val="clear" w:color="000000" w:fill="E2EFD9"/>
            <w:noWrap/>
            <w:vAlign w:val="center"/>
          </w:tcPr>
          <w:p w14:paraId="0F3DB5FF" w14:textId="77777777" w:rsidR="00F217A5" w:rsidRPr="00F217A5" w:rsidRDefault="00F217A5" w:rsidP="008E5210">
            <w:pPr>
              <w:rPr>
                <w:rFonts w:ascii="Arial" w:hAnsi="Arial" w:cs="Arial"/>
                <w:color w:val="000000"/>
                <w:sz w:val="18"/>
                <w:szCs w:val="18"/>
                <w:lang w:eastAsia="es-ES"/>
              </w:rPr>
            </w:pPr>
            <w:r w:rsidRPr="00F217A5">
              <w:rPr>
                <w:rFonts w:ascii="Arial" w:hAnsi="Arial" w:cs="Arial"/>
                <w:color w:val="000000"/>
                <w:sz w:val="18"/>
                <w:szCs w:val="18"/>
                <w:lang w:eastAsia="es-ES"/>
              </w:rPr>
              <w:t>Esquema Asociativo</w:t>
            </w:r>
          </w:p>
        </w:tc>
        <w:tc>
          <w:tcPr>
            <w:tcW w:w="1720" w:type="dxa"/>
            <w:shd w:val="clear" w:color="000000" w:fill="E2EFD9"/>
            <w:noWrap/>
            <w:vAlign w:val="center"/>
          </w:tcPr>
          <w:p w14:paraId="1F66DD71" w14:textId="77777777" w:rsidR="00F217A5" w:rsidRPr="00F217A5" w:rsidRDefault="00F217A5" w:rsidP="008E5210">
            <w:pPr>
              <w:jc w:val="center"/>
              <w:rPr>
                <w:rFonts w:ascii="Arial" w:hAnsi="Arial" w:cs="Arial"/>
                <w:color w:val="000000"/>
                <w:sz w:val="18"/>
                <w:szCs w:val="18"/>
                <w:lang w:eastAsia="es-ES"/>
              </w:rPr>
            </w:pPr>
            <w:r w:rsidRPr="00F217A5">
              <w:rPr>
                <w:rFonts w:ascii="Arial" w:hAnsi="Arial" w:cs="Arial"/>
                <w:color w:val="000000"/>
                <w:sz w:val="18"/>
                <w:szCs w:val="18"/>
                <w:lang w:eastAsia="es-ES"/>
              </w:rPr>
              <w:t xml:space="preserve">DTF – 3.5 </w:t>
            </w:r>
            <w:proofErr w:type="spellStart"/>
            <w:r w:rsidRPr="00F217A5">
              <w:rPr>
                <w:rFonts w:ascii="Arial" w:hAnsi="Arial" w:cs="Arial"/>
                <w:color w:val="000000"/>
                <w:sz w:val="18"/>
                <w:szCs w:val="18"/>
                <w:lang w:eastAsia="es-ES"/>
              </w:rPr>
              <w:t>e.a</w:t>
            </w:r>
            <w:proofErr w:type="spellEnd"/>
          </w:p>
        </w:tc>
        <w:tc>
          <w:tcPr>
            <w:tcW w:w="1200" w:type="dxa"/>
            <w:shd w:val="clear" w:color="000000" w:fill="E2EFD9"/>
            <w:noWrap/>
            <w:vAlign w:val="center"/>
          </w:tcPr>
          <w:p w14:paraId="08EF97B3" w14:textId="77777777" w:rsidR="00F217A5" w:rsidRPr="00F217A5" w:rsidRDefault="00C6005C" w:rsidP="008E5210">
            <w:pPr>
              <w:jc w:val="center"/>
              <w:rPr>
                <w:rFonts w:ascii="Arial" w:hAnsi="Arial" w:cs="Arial"/>
                <w:color w:val="000000"/>
                <w:sz w:val="18"/>
                <w:szCs w:val="18"/>
                <w:lang w:eastAsia="es-ES"/>
              </w:rPr>
            </w:pPr>
            <w:r>
              <w:rPr>
                <w:rFonts w:ascii="Arial" w:hAnsi="Arial" w:cs="Arial"/>
                <w:color w:val="000000"/>
                <w:sz w:val="18"/>
                <w:szCs w:val="18"/>
                <w:lang w:eastAsia="es-ES"/>
              </w:rPr>
              <w:t>DTF +</w:t>
            </w:r>
            <w:r w:rsidR="00F217A5" w:rsidRPr="00F217A5">
              <w:rPr>
                <w:rFonts w:ascii="Arial" w:hAnsi="Arial" w:cs="Arial"/>
                <w:color w:val="000000"/>
                <w:sz w:val="18"/>
                <w:szCs w:val="18"/>
                <w:lang w:eastAsia="es-ES"/>
              </w:rPr>
              <w:t xml:space="preserve">2 </w:t>
            </w:r>
            <w:proofErr w:type="spellStart"/>
            <w:r w:rsidR="00F217A5" w:rsidRPr="00F217A5">
              <w:rPr>
                <w:rFonts w:ascii="Arial" w:hAnsi="Arial" w:cs="Arial"/>
                <w:color w:val="000000"/>
                <w:sz w:val="18"/>
                <w:szCs w:val="18"/>
                <w:lang w:eastAsia="es-ES"/>
              </w:rPr>
              <w:t>e.a</w:t>
            </w:r>
            <w:proofErr w:type="spellEnd"/>
            <w:r w:rsidR="00F217A5" w:rsidRPr="00F217A5">
              <w:rPr>
                <w:rFonts w:ascii="Arial" w:hAnsi="Arial" w:cs="Arial"/>
                <w:color w:val="000000"/>
                <w:sz w:val="18"/>
                <w:szCs w:val="18"/>
                <w:lang w:eastAsia="es-ES"/>
              </w:rPr>
              <w:t>.</w:t>
            </w:r>
          </w:p>
        </w:tc>
        <w:tc>
          <w:tcPr>
            <w:tcW w:w="1200" w:type="dxa"/>
            <w:shd w:val="clear" w:color="000000" w:fill="E2EFD9"/>
            <w:noWrap/>
            <w:vAlign w:val="center"/>
          </w:tcPr>
          <w:p w14:paraId="5366C85B" w14:textId="77777777" w:rsidR="00F217A5" w:rsidRPr="00B96EC9" w:rsidRDefault="00F217A5" w:rsidP="008E5210">
            <w:pPr>
              <w:jc w:val="center"/>
              <w:rPr>
                <w:rFonts w:ascii="Arial" w:hAnsi="Arial" w:cs="Arial"/>
                <w:color w:val="000000"/>
                <w:sz w:val="18"/>
                <w:szCs w:val="18"/>
                <w:lang w:val="es-ES" w:eastAsia="es-ES"/>
              </w:rPr>
            </w:pPr>
            <w:r w:rsidRPr="00F217A5">
              <w:rPr>
                <w:rFonts w:ascii="Arial" w:hAnsi="Arial" w:cs="Arial"/>
                <w:color w:val="000000"/>
                <w:sz w:val="18"/>
                <w:szCs w:val="18"/>
                <w:lang w:val="es-ES" w:eastAsia="es-ES"/>
              </w:rPr>
              <w:t>3%</w:t>
            </w:r>
          </w:p>
        </w:tc>
      </w:tr>
    </w:tbl>
    <w:p w14:paraId="0FB78278" w14:textId="77777777" w:rsidR="00F217A5" w:rsidRDefault="00F217A5" w:rsidP="00F217A5">
      <w:pPr>
        <w:pStyle w:val="Prrafodelista"/>
        <w:rPr>
          <w:rFonts w:cs="Arial"/>
          <w:b/>
          <w:bCs/>
        </w:rPr>
      </w:pPr>
    </w:p>
    <w:p w14:paraId="66BC3DF2" w14:textId="77777777" w:rsidR="00F217A5" w:rsidRDefault="00F217A5" w:rsidP="00F217A5">
      <w:pPr>
        <w:suppressAutoHyphens/>
        <w:ind w:left="284" w:right="51"/>
        <w:jc w:val="both"/>
        <w:rPr>
          <w:rFonts w:ascii="Arial" w:hAnsi="Arial" w:cs="Arial"/>
          <w:bCs/>
          <w:spacing w:val="-3"/>
          <w:sz w:val="22"/>
          <w:szCs w:val="22"/>
        </w:rPr>
      </w:pPr>
      <w:r>
        <w:rPr>
          <w:rFonts w:ascii="Arial" w:hAnsi="Arial" w:cs="Arial"/>
          <w:bCs/>
          <w:spacing w:val="-3"/>
          <w:sz w:val="22"/>
          <w:szCs w:val="22"/>
        </w:rPr>
        <w:t xml:space="preserve">De conformidad con el artículo 2o. de la Resolución No. 8 de 2018, </w:t>
      </w:r>
      <w:r w:rsidRPr="00146A0C">
        <w:rPr>
          <w:rFonts w:ascii="Arial" w:hAnsi="Arial" w:cs="Arial"/>
          <w:bCs/>
          <w:spacing w:val="-3"/>
          <w:sz w:val="22"/>
          <w:szCs w:val="22"/>
        </w:rPr>
        <w:t xml:space="preserve">FINAGRO señalará la equivalencia de tasas a IBR aplicable </w:t>
      </w:r>
      <w:r>
        <w:rPr>
          <w:rFonts w:ascii="Arial" w:hAnsi="Arial" w:cs="Arial"/>
          <w:bCs/>
          <w:spacing w:val="-3"/>
          <w:sz w:val="22"/>
          <w:szCs w:val="22"/>
        </w:rPr>
        <w:t>para esta línea</w:t>
      </w:r>
      <w:r w:rsidRPr="00146A0C">
        <w:rPr>
          <w:rFonts w:ascii="Arial" w:hAnsi="Arial" w:cs="Arial"/>
          <w:bCs/>
          <w:spacing w:val="-3"/>
          <w:sz w:val="22"/>
          <w:szCs w:val="22"/>
        </w:rPr>
        <w:t>.</w:t>
      </w:r>
    </w:p>
    <w:p w14:paraId="1FC39945" w14:textId="77777777" w:rsidR="00F217A5" w:rsidRPr="0039191B" w:rsidRDefault="00F217A5" w:rsidP="00F217A5">
      <w:pPr>
        <w:suppressAutoHyphens/>
        <w:ind w:right="51"/>
        <w:jc w:val="both"/>
        <w:rPr>
          <w:rFonts w:ascii="Arial" w:hAnsi="Arial" w:cs="Arial"/>
          <w:bCs/>
          <w:spacing w:val="-3"/>
          <w:sz w:val="22"/>
          <w:szCs w:val="22"/>
        </w:rPr>
      </w:pPr>
    </w:p>
    <w:p w14:paraId="7184D24C" w14:textId="77777777" w:rsidR="00F217A5" w:rsidRDefault="00F217A5" w:rsidP="00F217A5">
      <w:pPr>
        <w:pStyle w:val="p2"/>
        <w:numPr>
          <w:ilvl w:val="0"/>
          <w:numId w:val="3"/>
        </w:numPr>
        <w:spacing w:line="240" w:lineRule="auto"/>
        <w:ind w:left="284" w:hanging="284"/>
        <w:rPr>
          <w:rFonts w:ascii="Arial" w:hAnsi="Arial" w:cs="Arial"/>
          <w:bCs/>
          <w:spacing w:val="-3"/>
          <w:sz w:val="22"/>
          <w:szCs w:val="22"/>
          <w:lang w:val="es-CO"/>
        </w:rPr>
      </w:pPr>
      <w:r w:rsidRPr="009B4E50">
        <w:rPr>
          <w:rFonts w:ascii="Arial" w:hAnsi="Arial" w:cs="Arial"/>
          <w:b/>
          <w:bCs/>
          <w:spacing w:val="-3"/>
          <w:sz w:val="22"/>
          <w:szCs w:val="22"/>
          <w:lang w:val="es-CO"/>
        </w:rPr>
        <w:t>Valor del Crédito:</w:t>
      </w:r>
      <w:r>
        <w:rPr>
          <w:rFonts w:ascii="Arial" w:hAnsi="Arial" w:cs="Arial"/>
          <w:bCs/>
          <w:spacing w:val="-3"/>
          <w:sz w:val="22"/>
          <w:szCs w:val="22"/>
          <w:lang w:val="es-CO"/>
        </w:rPr>
        <w:t xml:space="preserve"> hasta el 100% de los costos asociados al almacenamiento del arroz.</w:t>
      </w:r>
    </w:p>
    <w:p w14:paraId="0562CB0E" w14:textId="77777777" w:rsidR="00F217A5" w:rsidRDefault="00F217A5" w:rsidP="00F217A5">
      <w:pPr>
        <w:pStyle w:val="p2"/>
        <w:spacing w:line="240" w:lineRule="auto"/>
        <w:ind w:left="284"/>
        <w:rPr>
          <w:rFonts w:ascii="Arial" w:hAnsi="Arial" w:cs="Arial"/>
          <w:bCs/>
          <w:spacing w:val="-3"/>
          <w:sz w:val="22"/>
          <w:szCs w:val="22"/>
          <w:lang w:val="es-CO"/>
        </w:rPr>
      </w:pPr>
    </w:p>
    <w:p w14:paraId="1A15BCE8" w14:textId="77777777" w:rsidR="00F217A5" w:rsidRPr="00635711" w:rsidRDefault="00F217A5" w:rsidP="00F217A5">
      <w:pPr>
        <w:pStyle w:val="p2"/>
        <w:numPr>
          <w:ilvl w:val="0"/>
          <w:numId w:val="3"/>
        </w:numPr>
        <w:spacing w:line="240" w:lineRule="auto"/>
        <w:ind w:left="284" w:hanging="284"/>
        <w:rPr>
          <w:rFonts w:ascii="Arial" w:hAnsi="Arial" w:cs="Arial"/>
          <w:bCs/>
          <w:spacing w:val="-3"/>
          <w:sz w:val="22"/>
          <w:szCs w:val="22"/>
          <w:lang w:val="es-CO"/>
        </w:rPr>
      </w:pPr>
      <w:r w:rsidRPr="009B4E50">
        <w:rPr>
          <w:rFonts w:ascii="Arial" w:hAnsi="Arial" w:cs="Arial"/>
          <w:b/>
          <w:bCs/>
          <w:spacing w:val="-3"/>
          <w:sz w:val="22"/>
          <w:szCs w:val="22"/>
          <w:lang w:val="es-CO"/>
        </w:rPr>
        <w:t xml:space="preserve"> Garantía FAG:</w:t>
      </w:r>
      <w:r>
        <w:rPr>
          <w:rFonts w:ascii="Arial" w:hAnsi="Arial" w:cs="Arial"/>
          <w:bCs/>
          <w:spacing w:val="-3"/>
          <w:sz w:val="22"/>
          <w:szCs w:val="22"/>
          <w:lang w:val="es-CO"/>
        </w:rPr>
        <w:t xml:space="preserve"> l</w:t>
      </w:r>
      <w:r w:rsidRPr="00635711">
        <w:rPr>
          <w:rFonts w:ascii="Arial" w:hAnsi="Arial" w:cs="Arial"/>
          <w:bCs/>
          <w:spacing w:val="-3"/>
          <w:sz w:val="22"/>
          <w:szCs w:val="22"/>
          <w:lang w:val="es-CO"/>
        </w:rPr>
        <w:t>os créditos otorgados por esta línea, tendrán acceso a la garantía otorgada por el Fondo Agropecuario de Garantías – FAG</w:t>
      </w:r>
      <w:r>
        <w:rPr>
          <w:rFonts w:ascii="Arial" w:hAnsi="Arial" w:cs="Arial"/>
          <w:bCs/>
          <w:spacing w:val="-3"/>
          <w:sz w:val="22"/>
          <w:szCs w:val="22"/>
          <w:lang w:val="es-CO"/>
        </w:rPr>
        <w:t xml:space="preserve">, de acuerdo con la reglamentación </w:t>
      </w:r>
      <w:r w:rsidRPr="00635711">
        <w:rPr>
          <w:rFonts w:ascii="Arial" w:hAnsi="Arial" w:cs="Arial"/>
          <w:bCs/>
          <w:spacing w:val="-3"/>
          <w:sz w:val="22"/>
          <w:szCs w:val="22"/>
          <w:lang w:val="es-CO"/>
        </w:rPr>
        <w:t>del FAG aprobado por esta Comisión.</w:t>
      </w:r>
      <w:r>
        <w:rPr>
          <w:rFonts w:ascii="Arial" w:hAnsi="Arial" w:cs="Arial"/>
          <w:bCs/>
          <w:spacing w:val="-3"/>
          <w:sz w:val="22"/>
          <w:szCs w:val="22"/>
          <w:lang w:val="es-CO"/>
        </w:rPr>
        <w:t xml:space="preserve">  </w:t>
      </w:r>
    </w:p>
    <w:p w14:paraId="34CE0A41" w14:textId="77777777" w:rsidR="00F217A5" w:rsidRPr="0039191B" w:rsidRDefault="00F217A5" w:rsidP="00F217A5">
      <w:pPr>
        <w:pStyle w:val="p2"/>
        <w:spacing w:line="240" w:lineRule="auto"/>
        <w:ind w:left="0"/>
        <w:rPr>
          <w:rFonts w:ascii="Arial" w:hAnsi="Arial" w:cs="Arial"/>
          <w:bCs/>
          <w:spacing w:val="-3"/>
          <w:sz w:val="22"/>
          <w:szCs w:val="22"/>
          <w:lang w:val="es-CO"/>
        </w:rPr>
      </w:pPr>
    </w:p>
    <w:p w14:paraId="7B271745" w14:textId="77777777" w:rsidR="00F217A5" w:rsidRPr="00B22592" w:rsidRDefault="00F217A5" w:rsidP="00F217A5">
      <w:pPr>
        <w:pStyle w:val="p2"/>
        <w:numPr>
          <w:ilvl w:val="0"/>
          <w:numId w:val="3"/>
        </w:numPr>
        <w:suppressAutoHyphens/>
        <w:spacing w:line="240" w:lineRule="auto"/>
        <w:ind w:left="284" w:right="51" w:hanging="284"/>
        <w:rPr>
          <w:rFonts w:ascii="Arial" w:eastAsiaTheme="minorHAnsi" w:hAnsi="Arial" w:cs="Arial"/>
          <w:sz w:val="22"/>
          <w:szCs w:val="22"/>
          <w:lang w:val="es-CO" w:eastAsia="en-US"/>
        </w:rPr>
      </w:pPr>
      <w:r w:rsidRPr="00B22592">
        <w:rPr>
          <w:rFonts w:ascii="Arial" w:hAnsi="Arial" w:cs="Arial"/>
          <w:b/>
          <w:bCs/>
          <w:spacing w:val="-3"/>
          <w:sz w:val="22"/>
          <w:szCs w:val="22"/>
          <w:lang w:val="es-CO"/>
        </w:rPr>
        <w:t>Margen de redescuento:</w:t>
      </w:r>
      <w:r w:rsidRPr="00B22592">
        <w:rPr>
          <w:rFonts w:ascii="Arial" w:hAnsi="Arial" w:cs="Arial"/>
          <w:bCs/>
          <w:spacing w:val="-3"/>
          <w:sz w:val="22"/>
          <w:szCs w:val="22"/>
          <w:lang w:val="es-CO"/>
        </w:rPr>
        <w:t xml:space="preserve"> hasta del 100%</w:t>
      </w:r>
      <w:r>
        <w:rPr>
          <w:rFonts w:ascii="Arial" w:hAnsi="Arial" w:cs="Arial"/>
          <w:bCs/>
          <w:spacing w:val="-3"/>
          <w:sz w:val="22"/>
          <w:szCs w:val="22"/>
          <w:lang w:val="es-CO"/>
        </w:rPr>
        <w:t>.</w:t>
      </w:r>
    </w:p>
    <w:p w14:paraId="62EBF3C5" w14:textId="77777777" w:rsidR="00F217A5" w:rsidRPr="00B22592" w:rsidRDefault="00F217A5" w:rsidP="00F217A5">
      <w:pPr>
        <w:pStyle w:val="p2"/>
        <w:suppressAutoHyphens/>
        <w:spacing w:line="240" w:lineRule="auto"/>
        <w:ind w:left="284" w:right="51"/>
        <w:rPr>
          <w:rFonts w:ascii="Arial" w:eastAsiaTheme="minorHAnsi" w:hAnsi="Arial" w:cs="Arial"/>
          <w:sz w:val="22"/>
          <w:szCs w:val="22"/>
          <w:lang w:val="es-CO" w:eastAsia="en-US"/>
        </w:rPr>
      </w:pPr>
    </w:p>
    <w:p w14:paraId="5E12023E" w14:textId="77777777" w:rsidR="00F217A5" w:rsidRDefault="00F217A5" w:rsidP="00F217A5">
      <w:pPr>
        <w:pStyle w:val="p2"/>
        <w:numPr>
          <w:ilvl w:val="0"/>
          <w:numId w:val="3"/>
        </w:numPr>
        <w:suppressAutoHyphens/>
        <w:spacing w:line="240" w:lineRule="auto"/>
        <w:ind w:left="284" w:right="51" w:hanging="284"/>
        <w:rPr>
          <w:rFonts w:ascii="Arial" w:eastAsiaTheme="minorHAnsi" w:hAnsi="Arial" w:cs="Arial"/>
          <w:sz w:val="22"/>
          <w:szCs w:val="22"/>
          <w:lang w:val="es-CO" w:eastAsia="en-US"/>
        </w:rPr>
      </w:pPr>
      <w:r>
        <w:rPr>
          <w:rFonts w:ascii="Arial" w:eastAsiaTheme="minorHAnsi" w:hAnsi="Arial" w:cs="Arial"/>
          <w:b/>
          <w:sz w:val="22"/>
          <w:szCs w:val="22"/>
          <w:lang w:val="es-CO" w:eastAsia="en-US"/>
        </w:rPr>
        <w:t xml:space="preserve">Monto máximo de subsidio: </w:t>
      </w:r>
      <w:r>
        <w:rPr>
          <w:rFonts w:ascii="Arial" w:eastAsiaTheme="minorHAnsi" w:hAnsi="Arial" w:cs="Arial"/>
          <w:sz w:val="22"/>
          <w:szCs w:val="22"/>
          <w:lang w:val="es-CO" w:eastAsia="en-US"/>
        </w:rPr>
        <w:t>e</w:t>
      </w:r>
      <w:r w:rsidRPr="00B22592">
        <w:rPr>
          <w:rFonts w:ascii="Arial" w:eastAsiaTheme="minorHAnsi" w:hAnsi="Arial" w:cs="Arial"/>
          <w:sz w:val="22"/>
          <w:szCs w:val="22"/>
          <w:lang w:val="es-CO" w:eastAsia="en-US"/>
        </w:rPr>
        <w:t xml:space="preserve">l monto máximo de subsidio </w:t>
      </w:r>
      <w:r>
        <w:rPr>
          <w:rFonts w:ascii="Arial" w:eastAsiaTheme="minorHAnsi" w:hAnsi="Arial" w:cs="Arial"/>
          <w:sz w:val="22"/>
          <w:szCs w:val="22"/>
          <w:lang w:val="es-CO" w:eastAsia="en-US"/>
        </w:rPr>
        <w:t>por beneficiario será de hasta doscientos cincuenta millones de pesos ($250.000.000).</w:t>
      </w:r>
    </w:p>
    <w:p w14:paraId="6D98A12B" w14:textId="77777777" w:rsidR="00F217A5" w:rsidRPr="00B22592" w:rsidRDefault="00F217A5" w:rsidP="00F217A5">
      <w:pPr>
        <w:pStyle w:val="p2"/>
        <w:suppressAutoHyphens/>
        <w:spacing w:line="240" w:lineRule="auto"/>
        <w:ind w:left="284" w:right="51"/>
        <w:rPr>
          <w:rFonts w:ascii="Arial" w:eastAsiaTheme="minorHAnsi" w:hAnsi="Arial" w:cs="Arial"/>
          <w:sz w:val="22"/>
          <w:szCs w:val="22"/>
          <w:lang w:val="es-CO" w:eastAsia="en-US"/>
        </w:rPr>
      </w:pPr>
    </w:p>
    <w:p w14:paraId="7758A6FC" w14:textId="77777777" w:rsidR="00F217A5" w:rsidRPr="00B22592" w:rsidRDefault="00F217A5" w:rsidP="00F217A5">
      <w:pPr>
        <w:pStyle w:val="p2"/>
        <w:numPr>
          <w:ilvl w:val="0"/>
          <w:numId w:val="3"/>
        </w:numPr>
        <w:suppressAutoHyphens/>
        <w:spacing w:line="240" w:lineRule="auto"/>
        <w:ind w:left="284" w:right="51" w:hanging="284"/>
        <w:rPr>
          <w:rFonts w:ascii="Arial" w:eastAsiaTheme="minorHAnsi" w:hAnsi="Arial" w:cs="Arial"/>
          <w:b/>
          <w:sz w:val="22"/>
          <w:szCs w:val="22"/>
          <w:lang w:val="es-CO" w:eastAsia="en-US"/>
        </w:rPr>
      </w:pPr>
      <w:r w:rsidRPr="00B22592">
        <w:rPr>
          <w:rFonts w:ascii="Arial" w:eastAsiaTheme="minorHAnsi" w:hAnsi="Arial" w:cs="Arial"/>
          <w:b/>
          <w:sz w:val="22"/>
          <w:szCs w:val="22"/>
          <w:lang w:val="es-CO" w:eastAsia="en-US"/>
        </w:rPr>
        <w:t>Requisitos especiales de la línea:</w:t>
      </w:r>
    </w:p>
    <w:p w14:paraId="6938DDD5" w14:textId="77777777" w:rsidR="00F217A5" w:rsidRPr="009A4076" w:rsidRDefault="009A4076" w:rsidP="009A4076">
      <w:pPr>
        <w:pStyle w:val="p2"/>
        <w:numPr>
          <w:ilvl w:val="0"/>
          <w:numId w:val="6"/>
        </w:numPr>
        <w:suppressAutoHyphens/>
        <w:spacing w:line="240" w:lineRule="auto"/>
        <w:ind w:right="51"/>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Los beneficiarios </w:t>
      </w:r>
      <w:r w:rsidR="00F217A5">
        <w:rPr>
          <w:rFonts w:ascii="Arial" w:eastAsiaTheme="minorHAnsi" w:hAnsi="Arial" w:cs="Arial"/>
          <w:sz w:val="22"/>
          <w:szCs w:val="22"/>
          <w:lang w:val="es-CO" w:eastAsia="en-US"/>
        </w:rPr>
        <w:t>deberán presentar ante el Intermediario Financiero los Certificados de Depósito de Mercancía de la producción almacenada, correspondiente al segundo semestre de 2019.</w:t>
      </w:r>
    </w:p>
    <w:p w14:paraId="2B0A090A" w14:textId="77777777" w:rsidR="00F217A5" w:rsidRDefault="00F217A5" w:rsidP="00F217A5">
      <w:pPr>
        <w:pStyle w:val="p2"/>
        <w:numPr>
          <w:ilvl w:val="0"/>
          <w:numId w:val="6"/>
        </w:numPr>
        <w:suppressAutoHyphens/>
        <w:spacing w:line="240" w:lineRule="auto"/>
        <w:ind w:right="51"/>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Los Certificados de Depósito de Mercancías deberán ser emitidos por Almacenes Generales de Depósito o instalaciones de almacenamiento, debidamente aprobados por la Superintendencia Financiera de Colombia. </w:t>
      </w:r>
    </w:p>
    <w:p w14:paraId="2946DB82" w14:textId="77777777" w:rsidR="00F217A5" w:rsidRDefault="00F217A5" w:rsidP="00F217A5">
      <w:pPr>
        <w:widowControl w:val="0"/>
        <w:jc w:val="both"/>
        <w:rPr>
          <w:rFonts w:ascii="Arial" w:hAnsi="Arial" w:cs="Arial"/>
          <w:kern w:val="3"/>
          <w:sz w:val="22"/>
          <w:szCs w:val="22"/>
          <w:highlight w:val="yellow"/>
          <w:lang w:eastAsia="es-ES"/>
        </w:rPr>
      </w:pPr>
    </w:p>
    <w:p w14:paraId="2C475F49" w14:textId="270FDAD6" w:rsidR="00F217A5" w:rsidRPr="00EE269B" w:rsidRDefault="1E3942E2" w:rsidP="1E3942E2">
      <w:pPr>
        <w:pStyle w:val="p2"/>
        <w:numPr>
          <w:ilvl w:val="0"/>
          <w:numId w:val="3"/>
        </w:numPr>
        <w:suppressAutoHyphens/>
        <w:spacing w:line="240" w:lineRule="auto"/>
        <w:ind w:left="284" w:right="51" w:hanging="284"/>
        <w:rPr>
          <w:rFonts w:ascii="Arial" w:eastAsiaTheme="minorEastAsia" w:hAnsi="Arial" w:cs="Arial"/>
          <w:b/>
          <w:bCs/>
          <w:sz w:val="22"/>
          <w:szCs w:val="22"/>
          <w:lang w:val="es-CO" w:eastAsia="en-US"/>
        </w:rPr>
      </w:pPr>
      <w:r w:rsidRPr="1E3942E2">
        <w:rPr>
          <w:rFonts w:ascii="Arial" w:eastAsiaTheme="minorEastAsia" w:hAnsi="Arial" w:cs="Arial"/>
          <w:b/>
          <w:bCs/>
          <w:sz w:val="22"/>
          <w:szCs w:val="22"/>
          <w:lang w:val="es-CO" w:eastAsia="en-US"/>
        </w:rPr>
        <w:t xml:space="preserve">Entrada en vigencia de la línea: </w:t>
      </w:r>
      <w:r w:rsidRPr="1E3942E2">
        <w:rPr>
          <w:rFonts w:ascii="Arial" w:eastAsiaTheme="minorEastAsia" w:hAnsi="Arial" w:cs="Arial"/>
          <w:sz w:val="22"/>
          <w:szCs w:val="22"/>
          <w:lang w:val="es-CO" w:eastAsia="en-US"/>
        </w:rPr>
        <w:t xml:space="preserve">la presente línea especial de crédito empezará a operar una vez se asigne el presupuesto de subsidio a la tasa por parte del </w:t>
      </w:r>
      <w:proofErr w:type="spellStart"/>
      <w:r w:rsidRPr="1E3942E2">
        <w:rPr>
          <w:rFonts w:ascii="Arial" w:eastAsia="Arial" w:hAnsi="Arial" w:cs="Arial"/>
          <w:sz w:val="22"/>
          <w:szCs w:val="22"/>
          <w:lang w:eastAsia="es-CO" w:bidi="es-CO"/>
        </w:rPr>
        <w:t>Ministerio</w:t>
      </w:r>
      <w:proofErr w:type="spellEnd"/>
      <w:r w:rsidRPr="1E3942E2">
        <w:rPr>
          <w:rFonts w:ascii="Arial" w:eastAsia="Arial" w:hAnsi="Arial" w:cs="Arial"/>
          <w:sz w:val="22"/>
          <w:szCs w:val="22"/>
          <w:lang w:eastAsia="es-CO" w:bidi="es-CO"/>
        </w:rPr>
        <w:t xml:space="preserve"> de </w:t>
      </w:r>
      <w:proofErr w:type="spellStart"/>
      <w:r w:rsidRPr="1E3942E2">
        <w:rPr>
          <w:rFonts w:ascii="Arial" w:eastAsia="Arial" w:hAnsi="Arial" w:cs="Arial"/>
          <w:sz w:val="22"/>
          <w:szCs w:val="22"/>
          <w:lang w:eastAsia="es-CO" w:bidi="es-CO"/>
        </w:rPr>
        <w:t>Agricultura</w:t>
      </w:r>
      <w:proofErr w:type="spellEnd"/>
      <w:r w:rsidRPr="1E3942E2">
        <w:rPr>
          <w:rFonts w:ascii="Arial" w:eastAsia="Arial" w:hAnsi="Arial" w:cs="Arial"/>
          <w:sz w:val="22"/>
          <w:szCs w:val="22"/>
          <w:lang w:eastAsia="es-CO" w:bidi="es-CO"/>
        </w:rPr>
        <w:t xml:space="preserve"> y </w:t>
      </w:r>
      <w:proofErr w:type="spellStart"/>
      <w:r w:rsidRPr="1E3942E2">
        <w:rPr>
          <w:rFonts w:ascii="Arial" w:eastAsia="Arial" w:hAnsi="Arial" w:cs="Arial"/>
          <w:sz w:val="22"/>
          <w:szCs w:val="22"/>
          <w:lang w:eastAsia="es-CO" w:bidi="es-CO"/>
        </w:rPr>
        <w:t>Desarrollo</w:t>
      </w:r>
      <w:proofErr w:type="spellEnd"/>
      <w:r w:rsidRPr="1E3942E2">
        <w:rPr>
          <w:rFonts w:ascii="Arial" w:eastAsia="Arial" w:hAnsi="Arial" w:cs="Arial"/>
          <w:sz w:val="22"/>
          <w:szCs w:val="22"/>
          <w:lang w:eastAsia="es-CO" w:bidi="es-CO"/>
        </w:rPr>
        <w:t xml:space="preserve"> Rural - MADR</w:t>
      </w:r>
      <w:r w:rsidRPr="1E3942E2">
        <w:rPr>
          <w:rFonts w:ascii="Arial" w:eastAsiaTheme="minorEastAsia" w:hAnsi="Arial" w:cs="Arial"/>
          <w:sz w:val="22"/>
          <w:szCs w:val="22"/>
          <w:lang w:val="es-CO" w:eastAsia="en-US"/>
        </w:rPr>
        <w:t>.</w:t>
      </w:r>
    </w:p>
    <w:p w14:paraId="5997CC1D" w14:textId="77777777" w:rsidR="00EE269B" w:rsidRPr="00B22592" w:rsidRDefault="00EE269B" w:rsidP="008945CC">
      <w:pPr>
        <w:pStyle w:val="p2"/>
        <w:suppressAutoHyphens/>
        <w:spacing w:line="240" w:lineRule="auto"/>
        <w:ind w:left="284" w:right="51"/>
        <w:rPr>
          <w:rFonts w:ascii="Arial" w:eastAsiaTheme="minorHAnsi" w:hAnsi="Arial" w:cs="Arial"/>
          <w:b/>
          <w:sz w:val="22"/>
          <w:szCs w:val="22"/>
          <w:lang w:val="es-CO" w:eastAsia="en-US"/>
        </w:rPr>
      </w:pPr>
    </w:p>
    <w:p w14:paraId="668F8E79" w14:textId="77777777" w:rsidR="004C688C" w:rsidRDefault="002E79D8" w:rsidP="008945CC">
      <w:pPr>
        <w:rPr>
          <w:rFonts w:ascii="Arial" w:hAnsi="Arial"/>
          <w:sz w:val="22"/>
          <w:lang w:eastAsia="es-ES"/>
        </w:rPr>
      </w:pPr>
      <w:r w:rsidRPr="00777993">
        <w:rPr>
          <w:rFonts w:ascii="Arial" w:eastAsiaTheme="minorHAnsi" w:hAnsi="Arial" w:cs="Arial"/>
          <w:b/>
          <w:sz w:val="22"/>
          <w:szCs w:val="22"/>
          <w:lang w:eastAsia="en-US"/>
        </w:rPr>
        <w:t xml:space="preserve">Artículo </w:t>
      </w:r>
      <w:r w:rsidR="00CD601B" w:rsidRPr="00777993">
        <w:rPr>
          <w:rFonts w:ascii="Arial" w:eastAsiaTheme="minorHAnsi" w:hAnsi="Arial" w:cs="Arial"/>
          <w:b/>
          <w:sz w:val="22"/>
          <w:szCs w:val="22"/>
          <w:lang w:eastAsia="en-US"/>
        </w:rPr>
        <w:t>2</w:t>
      </w:r>
      <w:r w:rsidRPr="00777993">
        <w:rPr>
          <w:rFonts w:ascii="Arial" w:eastAsiaTheme="minorHAnsi" w:hAnsi="Arial" w:cs="Arial"/>
          <w:b/>
          <w:sz w:val="22"/>
          <w:szCs w:val="22"/>
          <w:lang w:eastAsia="en-US"/>
        </w:rPr>
        <w:t xml:space="preserve">o. </w:t>
      </w:r>
      <w:r w:rsidR="008945CC" w:rsidRPr="008945CC">
        <w:rPr>
          <w:rFonts w:ascii="Arial" w:hAnsi="Arial"/>
          <w:b/>
          <w:sz w:val="22"/>
          <w:lang w:eastAsia="es-ES"/>
        </w:rPr>
        <w:t xml:space="preserve">Registro. </w:t>
      </w:r>
      <w:r w:rsidR="008945CC" w:rsidRPr="008945CC">
        <w:rPr>
          <w:rFonts w:ascii="Arial" w:hAnsi="Arial"/>
          <w:sz w:val="22"/>
          <w:lang w:eastAsia="es-ES"/>
        </w:rPr>
        <w:t>Las operaciones de qué trata esta res</w:t>
      </w:r>
      <w:r w:rsidR="00237DC2">
        <w:rPr>
          <w:rFonts w:ascii="Arial" w:hAnsi="Arial"/>
          <w:sz w:val="22"/>
          <w:lang w:eastAsia="es-ES"/>
        </w:rPr>
        <w:t>olución deberán registrarse en</w:t>
      </w:r>
      <w:r w:rsidR="008945CC" w:rsidRPr="008945CC">
        <w:rPr>
          <w:rFonts w:ascii="Arial" w:hAnsi="Arial"/>
          <w:sz w:val="22"/>
          <w:lang w:eastAsia="es-ES"/>
        </w:rPr>
        <w:t xml:space="preserve"> FINAGRO </w:t>
      </w:r>
      <w:r w:rsidR="008945CC">
        <w:rPr>
          <w:rFonts w:ascii="Arial" w:hAnsi="Arial"/>
          <w:sz w:val="22"/>
          <w:lang w:eastAsia="es-ES"/>
        </w:rPr>
        <w:t>hasta</w:t>
      </w:r>
      <w:r w:rsidR="008945CC" w:rsidRPr="008945CC">
        <w:rPr>
          <w:rFonts w:ascii="Arial" w:hAnsi="Arial"/>
          <w:sz w:val="22"/>
          <w:lang w:eastAsia="es-ES"/>
        </w:rPr>
        <w:t xml:space="preserve"> el 3</w:t>
      </w:r>
      <w:r w:rsidR="008945CC">
        <w:rPr>
          <w:rFonts w:ascii="Arial" w:hAnsi="Arial"/>
          <w:sz w:val="22"/>
          <w:lang w:eastAsia="es-ES"/>
        </w:rPr>
        <w:t>1</w:t>
      </w:r>
      <w:r w:rsidR="008945CC" w:rsidRPr="008945CC">
        <w:rPr>
          <w:rFonts w:ascii="Arial" w:hAnsi="Arial"/>
          <w:sz w:val="22"/>
          <w:lang w:eastAsia="es-ES"/>
        </w:rPr>
        <w:t xml:space="preserve"> de </w:t>
      </w:r>
      <w:r w:rsidR="008945CC">
        <w:rPr>
          <w:rFonts w:ascii="Arial" w:hAnsi="Arial"/>
          <w:sz w:val="22"/>
          <w:lang w:eastAsia="es-ES"/>
        </w:rPr>
        <w:t>diciembre</w:t>
      </w:r>
      <w:r w:rsidR="008945CC" w:rsidRPr="008945CC">
        <w:rPr>
          <w:rFonts w:ascii="Arial" w:hAnsi="Arial"/>
          <w:sz w:val="22"/>
          <w:lang w:eastAsia="es-ES"/>
        </w:rPr>
        <w:t xml:space="preserve"> de dos mil diecinueve (2019).</w:t>
      </w:r>
    </w:p>
    <w:p w14:paraId="110FFD37" w14:textId="77777777" w:rsidR="008945CC" w:rsidRPr="008945CC" w:rsidRDefault="008945CC" w:rsidP="008945CC">
      <w:pPr>
        <w:rPr>
          <w:rFonts w:ascii="Arial" w:hAnsi="Arial"/>
          <w:sz w:val="22"/>
          <w:lang w:eastAsia="es-ES"/>
        </w:rPr>
      </w:pPr>
    </w:p>
    <w:p w14:paraId="6632FF58" w14:textId="77777777" w:rsidR="009D452B" w:rsidRPr="00777993" w:rsidRDefault="00B27618" w:rsidP="005B7030">
      <w:pPr>
        <w:widowControl w:val="0"/>
        <w:autoSpaceDE w:val="0"/>
        <w:autoSpaceDN w:val="0"/>
        <w:jc w:val="both"/>
        <w:rPr>
          <w:rFonts w:ascii="Arial" w:eastAsia="Arial" w:hAnsi="Arial" w:cs="Arial"/>
          <w:sz w:val="22"/>
          <w:szCs w:val="22"/>
          <w:lang w:eastAsia="es-CO" w:bidi="es-CO"/>
        </w:rPr>
      </w:pPr>
      <w:r w:rsidRPr="002768F9">
        <w:rPr>
          <w:rFonts w:ascii="Arial" w:eastAsia="Arial" w:hAnsi="Arial" w:cs="Arial"/>
          <w:b/>
          <w:color w:val="000000" w:themeColor="text1"/>
          <w:sz w:val="22"/>
          <w:szCs w:val="22"/>
          <w:lang w:eastAsia="es-CO" w:bidi="es-CO"/>
        </w:rPr>
        <w:t xml:space="preserve">Artículo </w:t>
      </w:r>
      <w:r w:rsidR="00A4488F">
        <w:rPr>
          <w:rFonts w:ascii="Arial" w:eastAsia="Arial" w:hAnsi="Arial" w:cs="Arial"/>
          <w:b/>
          <w:color w:val="000000" w:themeColor="text1"/>
          <w:sz w:val="22"/>
          <w:szCs w:val="22"/>
          <w:lang w:eastAsia="es-CO" w:bidi="es-CO"/>
        </w:rPr>
        <w:t>3</w:t>
      </w:r>
      <w:r w:rsidR="00ED7FC9" w:rsidRPr="002768F9">
        <w:rPr>
          <w:rFonts w:ascii="Arial" w:eastAsia="Arial" w:hAnsi="Arial" w:cs="Arial"/>
          <w:b/>
          <w:color w:val="000000" w:themeColor="text1"/>
          <w:sz w:val="22"/>
          <w:szCs w:val="22"/>
          <w:lang w:eastAsia="es-CO" w:bidi="es-CO"/>
        </w:rPr>
        <w:t>o.</w:t>
      </w:r>
      <w:r w:rsidR="00A4488F">
        <w:rPr>
          <w:rFonts w:ascii="Arial" w:eastAsia="Arial" w:hAnsi="Arial" w:cs="Arial"/>
          <w:b/>
          <w:color w:val="000000" w:themeColor="text1"/>
          <w:sz w:val="22"/>
          <w:szCs w:val="22"/>
          <w:lang w:eastAsia="es-CO" w:bidi="es-CO"/>
        </w:rPr>
        <w:t xml:space="preserve"> </w:t>
      </w:r>
      <w:r w:rsidR="009D452B" w:rsidRPr="002768F9">
        <w:rPr>
          <w:rFonts w:ascii="Arial" w:eastAsia="Arial" w:hAnsi="Arial" w:cs="Arial"/>
          <w:sz w:val="22"/>
          <w:szCs w:val="22"/>
          <w:lang w:eastAsia="es-CO" w:bidi="es-CO"/>
        </w:rPr>
        <w:t>FINAGRO adoptará los procedimientos y medidas necesarias para el desarrollo de la</w:t>
      </w:r>
      <w:r w:rsidR="009D452B" w:rsidRPr="00777993">
        <w:rPr>
          <w:rFonts w:ascii="Arial" w:eastAsia="Arial" w:hAnsi="Arial" w:cs="Arial"/>
          <w:sz w:val="22"/>
          <w:szCs w:val="22"/>
          <w:lang w:eastAsia="es-CO" w:bidi="es-CO"/>
        </w:rPr>
        <w:t xml:space="preserve"> presente resolución para lo cual expedirá la circular reglamentaria</w:t>
      </w:r>
      <w:r w:rsidR="009D452B" w:rsidRPr="00777993">
        <w:rPr>
          <w:rFonts w:ascii="Arial" w:eastAsia="Arial" w:hAnsi="Arial" w:cs="Arial"/>
          <w:spacing w:val="-5"/>
          <w:sz w:val="22"/>
          <w:szCs w:val="22"/>
          <w:lang w:eastAsia="es-CO" w:bidi="es-CO"/>
        </w:rPr>
        <w:t xml:space="preserve"> </w:t>
      </w:r>
      <w:r w:rsidR="009D452B" w:rsidRPr="00777993">
        <w:rPr>
          <w:rFonts w:ascii="Arial" w:eastAsia="Arial" w:hAnsi="Arial" w:cs="Arial"/>
          <w:sz w:val="22"/>
          <w:szCs w:val="22"/>
          <w:lang w:eastAsia="es-CO" w:bidi="es-CO"/>
        </w:rPr>
        <w:t>correspondiente.</w:t>
      </w:r>
    </w:p>
    <w:p w14:paraId="6B699379" w14:textId="77777777" w:rsidR="009D452B" w:rsidRPr="00777993" w:rsidRDefault="009D452B" w:rsidP="002A5F3D">
      <w:pPr>
        <w:widowControl w:val="0"/>
        <w:autoSpaceDE w:val="0"/>
        <w:autoSpaceDN w:val="0"/>
        <w:ind w:right="81"/>
        <w:jc w:val="both"/>
        <w:rPr>
          <w:rFonts w:ascii="Arial" w:eastAsia="Arial" w:hAnsi="Arial" w:cs="Arial"/>
          <w:b/>
          <w:sz w:val="22"/>
          <w:szCs w:val="22"/>
          <w:lang w:eastAsia="es-CO" w:bidi="es-CO"/>
        </w:rPr>
      </w:pPr>
    </w:p>
    <w:p w14:paraId="59BA8C90" w14:textId="77777777" w:rsidR="002A5F3D" w:rsidRDefault="009D452B" w:rsidP="002A5F3D">
      <w:pPr>
        <w:widowControl w:val="0"/>
        <w:autoSpaceDE w:val="0"/>
        <w:autoSpaceDN w:val="0"/>
        <w:ind w:right="81"/>
        <w:jc w:val="both"/>
        <w:rPr>
          <w:rFonts w:ascii="Arial" w:eastAsia="Arial" w:hAnsi="Arial" w:cs="Arial"/>
          <w:sz w:val="22"/>
          <w:szCs w:val="22"/>
          <w:lang w:eastAsia="es-CO" w:bidi="es-CO"/>
        </w:rPr>
      </w:pPr>
      <w:r w:rsidRPr="00777993">
        <w:rPr>
          <w:rFonts w:ascii="Arial" w:eastAsia="Arial" w:hAnsi="Arial" w:cs="Arial"/>
          <w:b/>
          <w:sz w:val="22"/>
          <w:szCs w:val="22"/>
          <w:lang w:eastAsia="es-CO" w:bidi="es-CO"/>
        </w:rPr>
        <w:lastRenderedPageBreak/>
        <w:t xml:space="preserve">Artículo </w:t>
      </w:r>
      <w:r w:rsidR="00A4488F">
        <w:rPr>
          <w:rFonts w:ascii="Arial" w:eastAsia="Arial" w:hAnsi="Arial" w:cs="Arial"/>
          <w:b/>
          <w:sz w:val="22"/>
          <w:szCs w:val="22"/>
          <w:lang w:eastAsia="es-CO" w:bidi="es-CO"/>
        </w:rPr>
        <w:t>4</w:t>
      </w:r>
      <w:r w:rsidRPr="00777993">
        <w:rPr>
          <w:rFonts w:ascii="Arial" w:eastAsia="Arial" w:hAnsi="Arial" w:cs="Arial"/>
          <w:b/>
          <w:sz w:val="22"/>
          <w:szCs w:val="22"/>
          <w:lang w:eastAsia="es-CO" w:bidi="es-CO"/>
        </w:rPr>
        <w:t xml:space="preserve">o. </w:t>
      </w:r>
      <w:r w:rsidR="002A5F3D" w:rsidRPr="00777993">
        <w:rPr>
          <w:rFonts w:ascii="Arial" w:eastAsia="Arial" w:hAnsi="Arial" w:cs="Arial"/>
          <w:sz w:val="22"/>
          <w:szCs w:val="22"/>
          <w:lang w:eastAsia="es-CO" w:bidi="es-CO"/>
        </w:rPr>
        <w:t xml:space="preserve">La presente resolución rige a partir de la fecha de su publicación en el Diario Oficial, y sus efectos aplicarán a partir de la fecha en que FINAGRO disponga de los recursos </w:t>
      </w:r>
      <w:r w:rsidR="002A5F3D" w:rsidRPr="00EE269B">
        <w:rPr>
          <w:rFonts w:ascii="Arial" w:eastAsia="Arial" w:hAnsi="Arial" w:cs="Arial"/>
          <w:sz w:val="22"/>
          <w:szCs w:val="22"/>
          <w:lang w:eastAsia="es-CO" w:bidi="es-CO"/>
        </w:rPr>
        <w:t>presupuestales</w:t>
      </w:r>
      <w:r w:rsidR="00B27618" w:rsidRPr="00EE269B">
        <w:rPr>
          <w:rFonts w:ascii="Arial" w:eastAsia="Arial" w:hAnsi="Arial" w:cs="Arial"/>
          <w:sz w:val="22"/>
          <w:szCs w:val="22"/>
          <w:lang w:eastAsia="es-CO" w:bidi="es-CO"/>
        </w:rPr>
        <w:t xml:space="preserve"> que se destinen </w:t>
      </w:r>
      <w:r w:rsidR="00BB6618" w:rsidRPr="00EE269B">
        <w:rPr>
          <w:rFonts w:ascii="Arial" w:eastAsia="Arial" w:hAnsi="Arial" w:cs="Arial"/>
          <w:sz w:val="22"/>
          <w:szCs w:val="22"/>
          <w:lang w:eastAsia="es-CO" w:bidi="es-CO"/>
        </w:rPr>
        <w:t xml:space="preserve">por parte del </w:t>
      </w:r>
      <w:r w:rsidR="0042646D">
        <w:rPr>
          <w:rFonts w:ascii="Arial" w:eastAsia="Arial" w:hAnsi="Arial" w:cs="Arial"/>
          <w:sz w:val="22"/>
          <w:szCs w:val="22"/>
          <w:lang w:eastAsia="es-CO" w:bidi="es-CO"/>
        </w:rPr>
        <w:t>MADR</w:t>
      </w:r>
      <w:r w:rsidR="00BB6618" w:rsidRPr="00EE269B">
        <w:rPr>
          <w:rFonts w:ascii="Arial" w:eastAsia="Arial" w:hAnsi="Arial" w:cs="Arial"/>
          <w:sz w:val="22"/>
          <w:szCs w:val="22"/>
          <w:lang w:eastAsia="es-CO" w:bidi="es-CO"/>
        </w:rPr>
        <w:t xml:space="preserve"> </w:t>
      </w:r>
      <w:r w:rsidR="00B27618" w:rsidRPr="00EE269B">
        <w:rPr>
          <w:rFonts w:ascii="Arial" w:eastAsia="Arial" w:hAnsi="Arial" w:cs="Arial"/>
          <w:sz w:val="22"/>
          <w:szCs w:val="22"/>
          <w:lang w:eastAsia="es-CO" w:bidi="es-CO"/>
        </w:rPr>
        <w:t>para el desarrollo de esta línea</w:t>
      </w:r>
      <w:r w:rsidR="00ED7FC9" w:rsidRPr="00EE269B">
        <w:rPr>
          <w:rFonts w:ascii="Arial" w:eastAsia="Arial" w:hAnsi="Arial" w:cs="Arial"/>
          <w:sz w:val="22"/>
          <w:szCs w:val="22"/>
          <w:lang w:eastAsia="es-CO" w:bidi="es-CO"/>
        </w:rPr>
        <w:t>.</w:t>
      </w:r>
    </w:p>
    <w:p w14:paraId="3FE9F23F" w14:textId="77777777" w:rsidR="00A4488F" w:rsidRDefault="00A4488F" w:rsidP="002A5F3D">
      <w:pPr>
        <w:widowControl w:val="0"/>
        <w:autoSpaceDE w:val="0"/>
        <w:autoSpaceDN w:val="0"/>
        <w:ind w:right="81"/>
        <w:jc w:val="both"/>
        <w:rPr>
          <w:rFonts w:ascii="Arial" w:eastAsia="Arial" w:hAnsi="Arial" w:cs="Arial"/>
          <w:sz w:val="22"/>
          <w:szCs w:val="22"/>
          <w:lang w:eastAsia="es-CO" w:bidi="es-CO"/>
        </w:rPr>
      </w:pPr>
    </w:p>
    <w:p w14:paraId="638034A5" w14:textId="77777777" w:rsidR="00A4488F" w:rsidRPr="00353C6B" w:rsidRDefault="00A4488F" w:rsidP="00A4488F">
      <w:pPr>
        <w:pStyle w:val="p2"/>
        <w:spacing w:line="240" w:lineRule="auto"/>
        <w:ind w:left="0"/>
        <w:rPr>
          <w:rFonts w:ascii="Arial" w:hAnsi="Arial" w:cs="Arial"/>
          <w:sz w:val="22"/>
          <w:szCs w:val="22"/>
          <w:lang w:val="es-CO"/>
        </w:rPr>
      </w:pPr>
      <w:r w:rsidRPr="00353C6B">
        <w:rPr>
          <w:rFonts w:ascii="Arial" w:hAnsi="Arial" w:cs="Arial"/>
          <w:b/>
          <w:sz w:val="22"/>
          <w:szCs w:val="22"/>
          <w:lang w:val="es-CO"/>
        </w:rPr>
        <w:t xml:space="preserve">Artículo </w:t>
      </w:r>
      <w:r w:rsidR="00410D94">
        <w:rPr>
          <w:rFonts w:ascii="Arial" w:hAnsi="Arial" w:cs="Arial"/>
          <w:b/>
          <w:sz w:val="22"/>
          <w:szCs w:val="22"/>
          <w:lang w:val="es-CO"/>
        </w:rPr>
        <w:t>5</w:t>
      </w:r>
      <w:r>
        <w:rPr>
          <w:rFonts w:ascii="Arial" w:hAnsi="Arial" w:cs="Arial"/>
          <w:b/>
          <w:sz w:val="22"/>
          <w:szCs w:val="22"/>
          <w:lang w:val="es-CO"/>
        </w:rPr>
        <w:t>o</w:t>
      </w:r>
      <w:r w:rsidRPr="00353C6B">
        <w:rPr>
          <w:rFonts w:ascii="Arial" w:hAnsi="Arial" w:cs="Arial"/>
          <w:b/>
          <w:sz w:val="22"/>
          <w:szCs w:val="22"/>
          <w:lang w:val="es-CO"/>
        </w:rPr>
        <w:t>.</w:t>
      </w:r>
      <w:r w:rsidRPr="00353C6B">
        <w:rPr>
          <w:rFonts w:ascii="Arial" w:hAnsi="Arial" w:cs="Arial"/>
          <w:sz w:val="22"/>
          <w:szCs w:val="22"/>
          <w:lang w:val="es-CO"/>
        </w:rPr>
        <w:t xml:space="preserve"> Los términos y condiciones establecidos en las demás resoluciones de la Comisión Nacional de Crédito Agropecuario permanecerán inalterados y conservarán todo su vigencia y efecto, en cuanto no se opongan a lo establecido en la presente resolución.</w:t>
      </w:r>
    </w:p>
    <w:p w14:paraId="1F72F646" w14:textId="77777777" w:rsidR="00A4488F" w:rsidRPr="00777993" w:rsidRDefault="00A4488F" w:rsidP="002A5F3D">
      <w:pPr>
        <w:widowControl w:val="0"/>
        <w:autoSpaceDE w:val="0"/>
        <w:autoSpaceDN w:val="0"/>
        <w:ind w:right="81"/>
        <w:jc w:val="both"/>
        <w:rPr>
          <w:rFonts w:ascii="Arial" w:eastAsia="Arial" w:hAnsi="Arial" w:cs="Arial"/>
          <w:sz w:val="22"/>
          <w:szCs w:val="22"/>
          <w:lang w:eastAsia="es-CO" w:bidi="es-CO"/>
        </w:rPr>
      </w:pPr>
    </w:p>
    <w:p w14:paraId="08CE6F91" w14:textId="77777777" w:rsidR="002A5F3D" w:rsidRPr="00777993"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14:paraId="4EFB6F29" w14:textId="77777777" w:rsidR="002A5F3D" w:rsidRPr="00777993"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Dada en Bogotá D.C., a los </w:t>
      </w:r>
      <w:r w:rsidR="002265E8" w:rsidRPr="00777993">
        <w:rPr>
          <w:rFonts w:ascii="Arial" w:eastAsia="Arial" w:hAnsi="Arial" w:cs="Arial"/>
          <w:color w:val="000000" w:themeColor="text1"/>
          <w:sz w:val="22"/>
          <w:szCs w:val="22"/>
          <w:lang w:eastAsia="es-CO" w:bidi="es-CO"/>
        </w:rPr>
        <w:t>_________</w:t>
      </w:r>
    </w:p>
    <w:p w14:paraId="61CDCEAD" w14:textId="77777777"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14:paraId="6BB9E253" w14:textId="77777777"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14:paraId="23DE523C" w14:textId="77777777"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14:paraId="52E56223" w14:textId="77777777"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14:paraId="5BEE5A90" w14:textId="77777777"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r w:rsidRPr="00777993">
        <w:rPr>
          <w:rFonts w:ascii="Arial" w:eastAsiaTheme="minorHAnsi" w:hAnsi="Arial" w:cs="Arial"/>
          <w:b/>
          <w:color w:val="000000" w:themeColor="text1"/>
          <w:sz w:val="22"/>
          <w:szCs w:val="22"/>
          <w:lang w:eastAsia="en-US" w:bidi="es-CO"/>
        </w:rPr>
        <w:t>ANDRÉS VALENCIA</w:t>
      </w:r>
      <w:r w:rsidRPr="00777993">
        <w:rPr>
          <w:rFonts w:ascii="Arial" w:eastAsiaTheme="minorHAnsi" w:hAnsi="Arial" w:cs="Arial"/>
          <w:b/>
          <w:color w:val="000000" w:themeColor="text1"/>
          <w:sz w:val="22"/>
          <w:szCs w:val="22"/>
          <w:lang w:eastAsia="en-US" w:bidi="es-CO"/>
        </w:rPr>
        <w:tab/>
        <w:t xml:space="preserve"> PINZÓN</w:t>
      </w:r>
      <w:r w:rsidRPr="00777993">
        <w:rPr>
          <w:rFonts w:ascii="Arial" w:eastAsiaTheme="minorHAnsi" w:hAnsi="Arial" w:cs="Arial"/>
          <w:b/>
          <w:color w:val="000000" w:themeColor="text1"/>
          <w:sz w:val="22"/>
          <w:szCs w:val="22"/>
          <w:lang w:eastAsia="en-US" w:bidi="es-CO"/>
        </w:rPr>
        <w:tab/>
      </w:r>
      <w:r w:rsidRPr="00777993">
        <w:rPr>
          <w:rFonts w:ascii="Arial" w:eastAsiaTheme="minorHAnsi" w:hAnsi="Arial" w:cs="Arial"/>
          <w:b/>
          <w:color w:val="000000" w:themeColor="text1"/>
          <w:sz w:val="22"/>
          <w:szCs w:val="22"/>
          <w:lang w:eastAsia="en-US" w:bidi="es-CO"/>
        </w:rPr>
        <w:tab/>
      </w:r>
      <w:r w:rsidRPr="00777993">
        <w:rPr>
          <w:rFonts w:ascii="Arial" w:eastAsiaTheme="minorHAnsi" w:hAnsi="Arial" w:cs="Arial"/>
          <w:b/>
          <w:color w:val="000000" w:themeColor="text1"/>
          <w:sz w:val="22"/>
          <w:szCs w:val="22"/>
          <w:lang w:eastAsia="en-US" w:bidi="es-CO"/>
        </w:rPr>
        <w:tab/>
        <w:t>CLAUDIA ACOSTA ECHEVERRÍA</w:t>
      </w:r>
    </w:p>
    <w:p w14:paraId="7A02EA7E" w14:textId="77777777" w:rsidR="002A5F3D" w:rsidRPr="004A1C44" w:rsidRDefault="00440D3A" w:rsidP="00440D3A">
      <w:pPr>
        <w:widowControl w:val="0"/>
        <w:autoSpaceDE w:val="0"/>
        <w:autoSpaceDN w:val="0"/>
        <w:rPr>
          <w:rFonts w:ascii="Arial" w:eastAsiaTheme="minorHAnsi" w:hAnsi="Arial" w:cs="Arial"/>
          <w:color w:val="000000" w:themeColor="text1"/>
          <w:sz w:val="22"/>
          <w:szCs w:val="22"/>
          <w:lang w:eastAsia="en-US" w:bidi="es-CO"/>
        </w:rPr>
      </w:pPr>
      <w:r w:rsidRPr="00777993">
        <w:rPr>
          <w:rFonts w:ascii="Arial" w:eastAsiaTheme="minorHAnsi" w:hAnsi="Arial" w:cs="Arial"/>
          <w:color w:val="000000" w:themeColor="text1"/>
          <w:sz w:val="22"/>
          <w:szCs w:val="22"/>
          <w:lang w:eastAsia="en-US" w:bidi="es-CO"/>
        </w:rPr>
        <w:t xml:space="preserve">           Presidente</w:t>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t xml:space="preserve">          </w:t>
      </w:r>
      <w:r w:rsidR="002A5F3D" w:rsidRPr="00777993">
        <w:rPr>
          <w:rFonts w:ascii="Arial" w:eastAsiaTheme="minorHAnsi" w:hAnsi="Arial" w:cs="Arial"/>
          <w:color w:val="000000" w:themeColor="text1"/>
          <w:sz w:val="22"/>
          <w:szCs w:val="22"/>
          <w:lang w:eastAsia="en-US" w:bidi="es-CO"/>
        </w:rPr>
        <w:t>Secretaria Técnica (E)</w:t>
      </w:r>
    </w:p>
    <w:sectPr w:rsidR="002A5F3D" w:rsidRPr="004A1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EDA"/>
    <w:multiLevelType w:val="hybridMultilevel"/>
    <w:tmpl w:val="98824886"/>
    <w:lvl w:ilvl="0" w:tplc="D7A2E418">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2A02800"/>
    <w:multiLevelType w:val="hybridMultilevel"/>
    <w:tmpl w:val="76BEFBD8"/>
    <w:lvl w:ilvl="0" w:tplc="0C0A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26D36A7"/>
    <w:multiLevelType w:val="hybridMultilevel"/>
    <w:tmpl w:val="DFB244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7A042F50"/>
    <w:multiLevelType w:val="hybridMultilevel"/>
    <w:tmpl w:val="990ABC9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811E02"/>
    <w:multiLevelType w:val="hybridMultilevel"/>
    <w:tmpl w:val="C93EC36A"/>
    <w:lvl w:ilvl="0" w:tplc="D8302258">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7D58B6"/>
    <w:multiLevelType w:val="hybridMultilevel"/>
    <w:tmpl w:val="FB64DBBA"/>
    <w:lvl w:ilvl="0" w:tplc="240A0019">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112E"/>
    <w:rsid w:val="00001ED9"/>
    <w:rsid w:val="000031D4"/>
    <w:rsid w:val="0001002B"/>
    <w:rsid w:val="000105B7"/>
    <w:rsid w:val="000155F1"/>
    <w:rsid w:val="000225DC"/>
    <w:rsid w:val="00022E39"/>
    <w:rsid w:val="00027CC4"/>
    <w:rsid w:val="00053BCF"/>
    <w:rsid w:val="00056199"/>
    <w:rsid w:val="0005684F"/>
    <w:rsid w:val="0006035D"/>
    <w:rsid w:val="00061363"/>
    <w:rsid w:val="00061AD8"/>
    <w:rsid w:val="000631F2"/>
    <w:rsid w:val="00067EC9"/>
    <w:rsid w:val="00070101"/>
    <w:rsid w:val="00070B6A"/>
    <w:rsid w:val="00076C54"/>
    <w:rsid w:val="00083E4E"/>
    <w:rsid w:val="00085D76"/>
    <w:rsid w:val="00094B5E"/>
    <w:rsid w:val="000A085A"/>
    <w:rsid w:val="000A0E19"/>
    <w:rsid w:val="000A5D54"/>
    <w:rsid w:val="000B2CB5"/>
    <w:rsid w:val="000C1206"/>
    <w:rsid w:val="000C21E3"/>
    <w:rsid w:val="000C2AC1"/>
    <w:rsid w:val="000C4C2C"/>
    <w:rsid w:val="000C7B59"/>
    <w:rsid w:val="000D4C83"/>
    <w:rsid w:val="000E11A0"/>
    <w:rsid w:val="000E2DDB"/>
    <w:rsid w:val="000E4CC6"/>
    <w:rsid w:val="000E507D"/>
    <w:rsid w:val="000E515F"/>
    <w:rsid w:val="000F4225"/>
    <w:rsid w:val="000F7935"/>
    <w:rsid w:val="00100C5E"/>
    <w:rsid w:val="00103F9F"/>
    <w:rsid w:val="00107A3F"/>
    <w:rsid w:val="001100D2"/>
    <w:rsid w:val="00110419"/>
    <w:rsid w:val="001141EE"/>
    <w:rsid w:val="00114B97"/>
    <w:rsid w:val="00116101"/>
    <w:rsid w:val="00127474"/>
    <w:rsid w:val="00130B04"/>
    <w:rsid w:val="00140BB7"/>
    <w:rsid w:val="00143851"/>
    <w:rsid w:val="001441FA"/>
    <w:rsid w:val="00144DEC"/>
    <w:rsid w:val="00147E03"/>
    <w:rsid w:val="00156A76"/>
    <w:rsid w:val="0016140B"/>
    <w:rsid w:val="001614C2"/>
    <w:rsid w:val="00162A71"/>
    <w:rsid w:val="00162FEE"/>
    <w:rsid w:val="0018024C"/>
    <w:rsid w:val="001822FF"/>
    <w:rsid w:val="001863C0"/>
    <w:rsid w:val="001914E7"/>
    <w:rsid w:val="00193B36"/>
    <w:rsid w:val="001A712F"/>
    <w:rsid w:val="001B48C1"/>
    <w:rsid w:val="001B5C64"/>
    <w:rsid w:val="001B66E7"/>
    <w:rsid w:val="001C1B9C"/>
    <w:rsid w:val="001C4796"/>
    <w:rsid w:val="001C65B0"/>
    <w:rsid w:val="001D4098"/>
    <w:rsid w:val="001E3EC5"/>
    <w:rsid w:val="001E491B"/>
    <w:rsid w:val="001E70FC"/>
    <w:rsid w:val="001E74B6"/>
    <w:rsid w:val="001F0CED"/>
    <w:rsid w:val="001F5514"/>
    <w:rsid w:val="001F63A5"/>
    <w:rsid w:val="0021278B"/>
    <w:rsid w:val="002265E8"/>
    <w:rsid w:val="00230255"/>
    <w:rsid w:val="002339EC"/>
    <w:rsid w:val="00236218"/>
    <w:rsid w:val="00236B80"/>
    <w:rsid w:val="00237DC2"/>
    <w:rsid w:val="0024064F"/>
    <w:rsid w:val="00240C89"/>
    <w:rsid w:val="00242885"/>
    <w:rsid w:val="00247534"/>
    <w:rsid w:val="00251051"/>
    <w:rsid w:val="00251434"/>
    <w:rsid w:val="00254D27"/>
    <w:rsid w:val="0025664A"/>
    <w:rsid w:val="0026451E"/>
    <w:rsid w:val="002650ED"/>
    <w:rsid w:val="0026578B"/>
    <w:rsid w:val="0027469E"/>
    <w:rsid w:val="002768F9"/>
    <w:rsid w:val="00276C49"/>
    <w:rsid w:val="00281239"/>
    <w:rsid w:val="002827E4"/>
    <w:rsid w:val="00282EFC"/>
    <w:rsid w:val="00283406"/>
    <w:rsid w:val="00283664"/>
    <w:rsid w:val="00283F67"/>
    <w:rsid w:val="00284CB3"/>
    <w:rsid w:val="00284F24"/>
    <w:rsid w:val="00290296"/>
    <w:rsid w:val="002914D9"/>
    <w:rsid w:val="00291572"/>
    <w:rsid w:val="002A5F3D"/>
    <w:rsid w:val="002A7EFB"/>
    <w:rsid w:val="002B07A1"/>
    <w:rsid w:val="002B16CE"/>
    <w:rsid w:val="002B351A"/>
    <w:rsid w:val="002B734C"/>
    <w:rsid w:val="002C2B98"/>
    <w:rsid w:val="002C5202"/>
    <w:rsid w:val="002C6D6C"/>
    <w:rsid w:val="002C774C"/>
    <w:rsid w:val="002D053A"/>
    <w:rsid w:val="002D3AE8"/>
    <w:rsid w:val="002E3878"/>
    <w:rsid w:val="002E3FAE"/>
    <w:rsid w:val="002E46C2"/>
    <w:rsid w:val="002E658A"/>
    <w:rsid w:val="002E79D8"/>
    <w:rsid w:val="002F10CD"/>
    <w:rsid w:val="002F3146"/>
    <w:rsid w:val="002F3FC5"/>
    <w:rsid w:val="002F416D"/>
    <w:rsid w:val="003072C4"/>
    <w:rsid w:val="003073FE"/>
    <w:rsid w:val="003129E0"/>
    <w:rsid w:val="00315907"/>
    <w:rsid w:val="003176CF"/>
    <w:rsid w:val="0032107C"/>
    <w:rsid w:val="003241CD"/>
    <w:rsid w:val="00332EA3"/>
    <w:rsid w:val="003344B6"/>
    <w:rsid w:val="00346B12"/>
    <w:rsid w:val="003504B1"/>
    <w:rsid w:val="00353CB0"/>
    <w:rsid w:val="00356B69"/>
    <w:rsid w:val="00362A19"/>
    <w:rsid w:val="00370F79"/>
    <w:rsid w:val="0037219B"/>
    <w:rsid w:val="00375EF3"/>
    <w:rsid w:val="00381583"/>
    <w:rsid w:val="0038216F"/>
    <w:rsid w:val="003839FE"/>
    <w:rsid w:val="003912E1"/>
    <w:rsid w:val="003940FE"/>
    <w:rsid w:val="003958AB"/>
    <w:rsid w:val="003A2DDC"/>
    <w:rsid w:val="003A3099"/>
    <w:rsid w:val="003A454F"/>
    <w:rsid w:val="003A4D0F"/>
    <w:rsid w:val="003A7AAA"/>
    <w:rsid w:val="003B1D7B"/>
    <w:rsid w:val="003B2902"/>
    <w:rsid w:val="003B6BB4"/>
    <w:rsid w:val="003C000D"/>
    <w:rsid w:val="003C0D04"/>
    <w:rsid w:val="003C27A4"/>
    <w:rsid w:val="003C4C95"/>
    <w:rsid w:val="003C5C47"/>
    <w:rsid w:val="003D1120"/>
    <w:rsid w:val="003D426B"/>
    <w:rsid w:val="003D694D"/>
    <w:rsid w:val="003F1C6D"/>
    <w:rsid w:val="003F34B9"/>
    <w:rsid w:val="003F761F"/>
    <w:rsid w:val="0040087C"/>
    <w:rsid w:val="0040111D"/>
    <w:rsid w:val="004033DE"/>
    <w:rsid w:val="00404B8E"/>
    <w:rsid w:val="00410D94"/>
    <w:rsid w:val="004145CE"/>
    <w:rsid w:val="004210D3"/>
    <w:rsid w:val="00422A39"/>
    <w:rsid w:val="004236DE"/>
    <w:rsid w:val="0042646D"/>
    <w:rsid w:val="00436951"/>
    <w:rsid w:val="00440D3A"/>
    <w:rsid w:val="004508FC"/>
    <w:rsid w:val="00451E55"/>
    <w:rsid w:val="0046149B"/>
    <w:rsid w:val="00464E9D"/>
    <w:rsid w:val="0046588C"/>
    <w:rsid w:val="00467557"/>
    <w:rsid w:val="00474626"/>
    <w:rsid w:val="00484337"/>
    <w:rsid w:val="0048659E"/>
    <w:rsid w:val="00492605"/>
    <w:rsid w:val="00492D9D"/>
    <w:rsid w:val="004960F7"/>
    <w:rsid w:val="004A1C44"/>
    <w:rsid w:val="004A4FA5"/>
    <w:rsid w:val="004A5ED8"/>
    <w:rsid w:val="004A5EEF"/>
    <w:rsid w:val="004B139F"/>
    <w:rsid w:val="004B3966"/>
    <w:rsid w:val="004B45C1"/>
    <w:rsid w:val="004B5467"/>
    <w:rsid w:val="004C688C"/>
    <w:rsid w:val="004D585D"/>
    <w:rsid w:val="004D6495"/>
    <w:rsid w:val="004E4202"/>
    <w:rsid w:val="004F33F8"/>
    <w:rsid w:val="004F45D8"/>
    <w:rsid w:val="004F6AA6"/>
    <w:rsid w:val="00512443"/>
    <w:rsid w:val="00512E2C"/>
    <w:rsid w:val="00521F55"/>
    <w:rsid w:val="005227C3"/>
    <w:rsid w:val="00524188"/>
    <w:rsid w:val="00530173"/>
    <w:rsid w:val="0053675F"/>
    <w:rsid w:val="00545F19"/>
    <w:rsid w:val="005536C5"/>
    <w:rsid w:val="00564619"/>
    <w:rsid w:val="005701FC"/>
    <w:rsid w:val="00581610"/>
    <w:rsid w:val="005827D4"/>
    <w:rsid w:val="00590763"/>
    <w:rsid w:val="00593FFD"/>
    <w:rsid w:val="005A0804"/>
    <w:rsid w:val="005A6647"/>
    <w:rsid w:val="005B09FC"/>
    <w:rsid w:val="005B0A9C"/>
    <w:rsid w:val="005B5183"/>
    <w:rsid w:val="005B7030"/>
    <w:rsid w:val="005C7FF4"/>
    <w:rsid w:val="005D25E1"/>
    <w:rsid w:val="005D3724"/>
    <w:rsid w:val="005D49C1"/>
    <w:rsid w:val="005E03C0"/>
    <w:rsid w:val="005E7267"/>
    <w:rsid w:val="005F4A97"/>
    <w:rsid w:val="005F54AA"/>
    <w:rsid w:val="00602BD1"/>
    <w:rsid w:val="00607364"/>
    <w:rsid w:val="00612F72"/>
    <w:rsid w:val="00615CAC"/>
    <w:rsid w:val="00620EE6"/>
    <w:rsid w:val="0062716A"/>
    <w:rsid w:val="0062747F"/>
    <w:rsid w:val="00631D43"/>
    <w:rsid w:val="00635711"/>
    <w:rsid w:val="006431FE"/>
    <w:rsid w:val="006513B2"/>
    <w:rsid w:val="006607C9"/>
    <w:rsid w:val="00673EBD"/>
    <w:rsid w:val="00681157"/>
    <w:rsid w:val="00685D67"/>
    <w:rsid w:val="00692C5A"/>
    <w:rsid w:val="006A3E85"/>
    <w:rsid w:val="006A5025"/>
    <w:rsid w:val="006A57BD"/>
    <w:rsid w:val="006B2E1A"/>
    <w:rsid w:val="006B2E2F"/>
    <w:rsid w:val="006B3F0D"/>
    <w:rsid w:val="006B4007"/>
    <w:rsid w:val="006B615B"/>
    <w:rsid w:val="006B6778"/>
    <w:rsid w:val="006C2DDF"/>
    <w:rsid w:val="006C5F64"/>
    <w:rsid w:val="006C7C81"/>
    <w:rsid w:val="006C7EBB"/>
    <w:rsid w:val="006D2941"/>
    <w:rsid w:val="006D2DEB"/>
    <w:rsid w:val="006D4606"/>
    <w:rsid w:val="006D5940"/>
    <w:rsid w:val="006E4663"/>
    <w:rsid w:val="006F4488"/>
    <w:rsid w:val="006F47DF"/>
    <w:rsid w:val="00701234"/>
    <w:rsid w:val="007072D6"/>
    <w:rsid w:val="00712736"/>
    <w:rsid w:val="0071381B"/>
    <w:rsid w:val="00714DC2"/>
    <w:rsid w:val="00716248"/>
    <w:rsid w:val="00721FBA"/>
    <w:rsid w:val="007221D5"/>
    <w:rsid w:val="0075053D"/>
    <w:rsid w:val="00750C3A"/>
    <w:rsid w:val="00753414"/>
    <w:rsid w:val="00760F0B"/>
    <w:rsid w:val="00761466"/>
    <w:rsid w:val="007623B0"/>
    <w:rsid w:val="007637B1"/>
    <w:rsid w:val="007667A4"/>
    <w:rsid w:val="00777993"/>
    <w:rsid w:val="00777F50"/>
    <w:rsid w:val="00790368"/>
    <w:rsid w:val="007915D6"/>
    <w:rsid w:val="00796250"/>
    <w:rsid w:val="007A77D5"/>
    <w:rsid w:val="007B2919"/>
    <w:rsid w:val="007C201E"/>
    <w:rsid w:val="007C23E0"/>
    <w:rsid w:val="007C3EF0"/>
    <w:rsid w:val="007C4791"/>
    <w:rsid w:val="007C76E1"/>
    <w:rsid w:val="007C7AAE"/>
    <w:rsid w:val="007D31EA"/>
    <w:rsid w:val="007D791B"/>
    <w:rsid w:val="007E1580"/>
    <w:rsid w:val="007E2719"/>
    <w:rsid w:val="007E3DE8"/>
    <w:rsid w:val="007E5AC7"/>
    <w:rsid w:val="007E5E89"/>
    <w:rsid w:val="007F21E0"/>
    <w:rsid w:val="007F27C4"/>
    <w:rsid w:val="008079B4"/>
    <w:rsid w:val="008156C4"/>
    <w:rsid w:val="0082454F"/>
    <w:rsid w:val="0083298C"/>
    <w:rsid w:val="00835CB8"/>
    <w:rsid w:val="00836C04"/>
    <w:rsid w:val="00841CC5"/>
    <w:rsid w:val="00846D29"/>
    <w:rsid w:val="00854304"/>
    <w:rsid w:val="008615C1"/>
    <w:rsid w:val="00866493"/>
    <w:rsid w:val="00871866"/>
    <w:rsid w:val="00873B3E"/>
    <w:rsid w:val="00874B61"/>
    <w:rsid w:val="0088573F"/>
    <w:rsid w:val="0088667A"/>
    <w:rsid w:val="00892EBB"/>
    <w:rsid w:val="008945CC"/>
    <w:rsid w:val="008A1409"/>
    <w:rsid w:val="008A4E27"/>
    <w:rsid w:val="008A4E51"/>
    <w:rsid w:val="008A6B7A"/>
    <w:rsid w:val="008B6553"/>
    <w:rsid w:val="008B79D8"/>
    <w:rsid w:val="008C0176"/>
    <w:rsid w:val="008C3F85"/>
    <w:rsid w:val="008D4E19"/>
    <w:rsid w:val="008E71F7"/>
    <w:rsid w:val="008F0ACC"/>
    <w:rsid w:val="008F4789"/>
    <w:rsid w:val="00901A40"/>
    <w:rsid w:val="00901FFC"/>
    <w:rsid w:val="009049E4"/>
    <w:rsid w:val="0091079B"/>
    <w:rsid w:val="00924570"/>
    <w:rsid w:val="0092466D"/>
    <w:rsid w:val="00925C6B"/>
    <w:rsid w:val="00925D35"/>
    <w:rsid w:val="0093556B"/>
    <w:rsid w:val="00943FAC"/>
    <w:rsid w:val="009506CD"/>
    <w:rsid w:val="00951233"/>
    <w:rsid w:val="009512BC"/>
    <w:rsid w:val="009540AC"/>
    <w:rsid w:val="00955DD3"/>
    <w:rsid w:val="00957D83"/>
    <w:rsid w:val="00966F97"/>
    <w:rsid w:val="00971B23"/>
    <w:rsid w:val="009764F5"/>
    <w:rsid w:val="009768F1"/>
    <w:rsid w:val="009A4076"/>
    <w:rsid w:val="009A4702"/>
    <w:rsid w:val="009A70F3"/>
    <w:rsid w:val="009B05BB"/>
    <w:rsid w:val="009B27B3"/>
    <w:rsid w:val="009B30EA"/>
    <w:rsid w:val="009B501D"/>
    <w:rsid w:val="009D00C7"/>
    <w:rsid w:val="009D3E7A"/>
    <w:rsid w:val="009D43AF"/>
    <w:rsid w:val="009D452B"/>
    <w:rsid w:val="009D7056"/>
    <w:rsid w:val="009E55C7"/>
    <w:rsid w:val="009E626E"/>
    <w:rsid w:val="009F7B78"/>
    <w:rsid w:val="00A03F9B"/>
    <w:rsid w:val="00A07EB2"/>
    <w:rsid w:val="00A1255E"/>
    <w:rsid w:val="00A165B5"/>
    <w:rsid w:val="00A23880"/>
    <w:rsid w:val="00A344B5"/>
    <w:rsid w:val="00A4488F"/>
    <w:rsid w:val="00A51709"/>
    <w:rsid w:val="00A548F2"/>
    <w:rsid w:val="00A739F4"/>
    <w:rsid w:val="00A76BDB"/>
    <w:rsid w:val="00A8174B"/>
    <w:rsid w:val="00A917C7"/>
    <w:rsid w:val="00A95DFE"/>
    <w:rsid w:val="00AA3E87"/>
    <w:rsid w:val="00AA4324"/>
    <w:rsid w:val="00AA782B"/>
    <w:rsid w:val="00AB64F9"/>
    <w:rsid w:val="00AD0409"/>
    <w:rsid w:val="00AD1421"/>
    <w:rsid w:val="00AD36DE"/>
    <w:rsid w:val="00AE3002"/>
    <w:rsid w:val="00AE5E30"/>
    <w:rsid w:val="00AF0820"/>
    <w:rsid w:val="00AF097E"/>
    <w:rsid w:val="00B1249B"/>
    <w:rsid w:val="00B175B5"/>
    <w:rsid w:val="00B17C41"/>
    <w:rsid w:val="00B240A4"/>
    <w:rsid w:val="00B249B9"/>
    <w:rsid w:val="00B24A79"/>
    <w:rsid w:val="00B25D7F"/>
    <w:rsid w:val="00B271D4"/>
    <w:rsid w:val="00B27618"/>
    <w:rsid w:val="00B318BA"/>
    <w:rsid w:val="00B319A8"/>
    <w:rsid w:val="00B31A6C"/>
    <w:rsid w:val="00B33764"/>
    <w:rsid w:val="00B33A06"/>
    <w:rsid w:val="00B3646D"/>
    <w:rsid w:val="00B36715"/>
    <w:rsid w:val="00B3795E"/>
    <w:rsid w:val="00B42D0F"/>
    <w:rsid w:val="00B4699A"/>
    <w:rsid w:val="00B509B5"/>
    <w:rsid w:val="00B511C8"/>
    <w:rsid w:val="00B54552"/>
    <w:rsid w:val="00B562B1"/>
    <w:rsid w:val="00B603C6"/>
    <w:rsid w:val="00B606A3"/>
    <w:rsid w:val="00B626CB"/>
    <w:rsid w:val="00B633BA"/>
    <w:rsid w:val="00B71036"/>
    <w:rsid w:val="00B87165"/>
    <w:rsid w:val="00B916FB"/>
    <w:rsid w:val="00B92E14"/>
    <w:rsid w:val="00B9309E"/>
    <w:rsid w:val="00B937BA"/>
    <w:rsid w:val="00B93FF5"/>
    <w:rsid w:val="00B94F56"/>
    <w:rsid w:val="00BA2950"/>
    <w:rsid w:val="00BA30EC"/>
    <w:rsid w:val="00BA770E"/>
    <w:rsid w:val="00BB4453"/>
    <w:rsid w:val="00BB55C4"/>
    <w:rsid w:val="00BB5DBA"/>
    <w:rsid w:val="00BB6618"/>
    <w:rsid w:val="00BB76CC"/>
    <w:rsid w:val="00BC66D2"/>
    <w:rsid w:val="00BC6AF6"/>
    <w:rsid w:val="00BD4B83"/>
    <w:rsid w:val="00BD4ECA"/>
    <w:rsid w:val="00BD6E11"/>
    <w:rsid w:val="00BE36A4"/>
    <w:rsid w:val="00BF04C4"/>
    <w:rsid w:val="00BF7359"/>
    <w:rsid w:val="00BF7E32"/>
    <w:rsid w:val="00C03F30"/>
    <w:rsid w:val="00C04379"/>
    <w:rsid w:val="00C05C64"/>
    <w:rsid w:val="00C107B3"/>
    <w:rsid w:val="00C112DA"/>
    <w:rsid w:val="00C11FB3"/>
    <w:rsid w:val="00C12467"/>
    <w:rsid w:val="00C22B74"/>
    <w:rsid w:val="00C237C2"/>
    <w:rsid w:val="00C255AD"/>
    <w:rsid w:val="00C26E7F"/>
    <w:rsid w:val="00C364C0"/>
    <w:rsid w:val="00C45D6E"/>
    <w:rsid w:val="00C6005C"/>
    <w:rsid w:val="00C81A78"/>
    <w:rsid w:val="00C81C15"/>
    <w:rsid w:val="00C8708B"/>
    <w:rsid w:val="00C90E56"/>
    <w:rsid w:val="00C956D9"/>
    <w:rsid w:val="00C96138"/>
    <w:rsid w:val="00CA1460"/>
    <w:rsid w:val="00CA784B"/>
    <w:rsid w:val="00CC056D"/>
    <w:rsid w:val="00CC25B0"/>
    <w:rsid w:val="00CC4173"/>
    <w:rsid w:val="00CC4E45"/>
    <w:rsid w:val="00CC6999"/>
    <w:rsid w:val="00CC7FC1"/>
    <w:rsid w:val="00CD0865"/>
    <w:rsid w:val="00CD1842"/>
    <w:rsid w:val="00CD601B"/>
    <w:rsid w:val="00CD76CA"/>
    <w:rsid w:val="00CE0EA7"/>
    <w:rsid w:val="00CE1AF3"/>
    <w:rsid w:val="00CE659A"/>
    <w:rsid w:val="00CF3328"/>
    <w:rsid w:val="00CF64B3"/>
    <w:rsid w:val="00D10493"/>
    <w:rsid w:val="00D1708D"/>
    <w:rsid w:val="00D25254"/>
    <w:rsid w:val="00D25804"/>
    <w:rsid w:val="00D26622"/>
    <w:rsid w:val="00D31F23"/>
    <w:rsid w:val="00D432F7"/>
    <w:rsid w:val="00D4535D"/>
    <w:rsid w:val="00D47464"/>
    <w:rsid w:val="00D47A39"/>
    <w:rsid w:val="00D55146"/>
    <w:rsid w:val="00D62039"/>
    <w:rsid w:val="00D63828"/>
    <w:rsid w:val="00D63CBA"/>
    <w:rsid w:val="00D641B1"/>
    <w:rsid w:val="00D70507"/>
    <w:rsid w:val="00D7062A"/>
    <w:rsid w:val="00D7436D"/>
    <w:rsid w:val="00D74777"/>
    <w:rsid w:val="00D75606"/>
    <w:rsid w:val="00D77D50"/>
    <w:rsid w:val="00D81768"/>
    <w:rsid w:val="00D82292"/>
    <w:rsid w:val="00D85F98"/>
    <w:rsid w:val="00D87A2A"/>
    <w:rsid w:val="00D936DE"/>
    <w:rsid w:val="00D94A44"/>
    <w:rsid w:val="00D95310"/>
    <w:rsid w:val="00DA6A94"/>
    <w:rsid w:val="00DB06A6"/>
    <w:rsid w:val="00DB5BDB"/>
    <w:rsid w:val="00DB60CE"/>
    <w:rsid w:val="00DC3062"/>
    <w:rsid w:val="00DC5BB3"/>
    <w:rsid w:val="00DD328D"/>
    <w:rsid w:val="00DD5079"/>
    <w:rsid w:val="00DE0B8D"/>
    <w:rsid w:val="00DF6319"/>
    <w:rsid w:val="00E00CA3"/>
    <w:rsid w:val="00E07556"/>
    <w:rsid w:val="00E10CCE"/>
    <w:rsid w:val="00E11A49"/>
    <w:rsid w:val="00E12E35"/>
    <w:rsid w:val="00E157C4"/>
    <w:rsid w:val="00E1611F"/>
    <w:rsid w:val="00E22870"/>
    <w:rsid w:val="00E228C5"/>
    <w:rsid w:val="00E300E2"/>
    <w:rsid w:val="00E352A1"/>
    <w:rsid w:val="00E4610C"/>
    <w:rsid w:val="00E5340C"/>
    <w:rsid w:val="00E57D66"/>
    <w:rsid w:val="00E62320"/>
    <w:rsid w:val="00E6429B"/>
    <w:rsid w:val="00E82209"/>
    <w:rsid w:val="00E83176"/>
    <w:rsid w:val="00E8742A"/>
    <w:rsid w:val="00E90161"/>
    <w:rsid w:val="00E90FB2"/>
    <w:rsid w:val="00EA1E7A"/>
    <w:rsid w:val="00EB2685"/>
    <w:rsid w:val="00EB2DF2"/>
    <w:rsid w:val="00EC3BF8"/>
    <w:rsid w:val="00EC50F1"/>
    <w:rsid w:val="00EC5DA0"/>
    <w:rsid w:val="00ED3703"/>
    <w:rsid w:val="00ED3F10"/>
    <w:rsid w:val="00ED7FC9"/>
    <w:rsid w:val="00EE027E"/>
    <w:rsid w:val="00EE269B"/>
    <w:rsid w:val="00EF04CB"/>
    <w:rsid w:val="00EF1942"/>
    <w:rsid w:val="00F06AEA"/>
    <w:rsid w:val="00F11BFA"/>
    <w:rsid w:val="00F165DE"/>
    <w:rsid w:val="00F217A5"/>
    <w:rsid w:val="00F21F27"/>
    <w:rsid w:val="00F308E1"/>
    <w:rsid w:val="00F33CEF"/>
    <w:rsid w:val="00F347B0"/>
    <w:rsid w:val="00F36968"/>
    <w:rsid w:val="00F37B94"/>
    <w:rsid w:val="00F416C9"/>
    <w:rsid w:val="00F51CF6"/>
    <w:rsid w:val="00F56B33"/>
    <w:rsid w:val="00F60C8E"/>
    <w:rsid w:val="00F619B0"/>
    <w:rsid w:val="00F66BD8"/>
    <w:rsid w:val="00F756DD"/>
    <w:rsid w:val="00F7775B"/>
    <w:rsid w:val="00F83F92"/>
    <w:rsid w:val="00F93EC7"/>
    <w:rsid w:val="00FA2E88"/>
    <w:rsid w:val="00FC2A65"/>
    <w:rsid w:val="00FC5F61"/>
    <w:rsid w:val="00FC706D"/>
    <w:rsid w:val="00FD02EC"/>
    <w:rsid w:val="00FD4295"/>
    <w:rsid w:val="00FE3EA9"/>
    <w:rsid w:val="00FE443E"/>
    <w:rsid w:val="00FE519A"/>
    <w:rsid w:val="00FE72FE"/>
    <w:rsid w:val="00FF14AF"/>
    <w:rsid w:val="00FF261F"/>
    <w:rsid w:val="00FF3DFC"/>
    <w:rsid w:val="1E3942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C90F"/>
  <w15:chartTrackingRefBased/>
  <w15:docId w15:val="{E44900A6-DB86-44DD-8CA2-2106F692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4C"/>
    <w:pPr>
      <w:spacing w:after="0" w:line="240" w:lineRule="auto"/>
    </w:pPr>
    <w:rPr>
      <w:rFonts w:ascii="Times New Roman" w:hAnsi="Times New Roman" w:cs="Times New Roman"/>
      <w:sz w:val="24"/>
      <w:szCs w:val="24"/>
      <w:lang w:eastAsia="es-ES_tradnl"/>
    </w:rPr>
  </w:style>
  <w:style w:type="paragraph" w:styleId="Ttulo3">
    <w:name w:val="heading 3"/>
    <w:basedOn w:val="Normal"/>
    <w:next w:val="Normal"/>
    <w:link w:val="Ttulo3Car"/>
    <w:qFormat/>
    <w:rsid w:val="00370F79"/>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rsid w:val="008A4E27"/>
    <w:pPr>
      <w:autoSpaceDE w:val="0"/>
      <w:autoSpaceDN w:val="0"/>
      <w:spacing w:line="240" w:lineRule="atLeast"/>
      <w:jc w:val="center"/>
    </w:pPr>
    <w:rPr>
      <w:lang w:val="es-ES" w:eastAsia="es-ES"/>
    </w:rPr>
  </w:style>
  <w:style w:type="paragraph" w:customStyle="1" w:styleId="c4">
    <w:name w:val="c4"/>
    <w:basedOn w:val="Normal"/>
    <w:rsid w:val="008A4E27"/>
    <w:pPr>
      <w:widowControl w:val="0"/>
      <w:autoSpaceDE w:val="0"/>
      <w:autoSpaceDN w:val="0"/>
      <w:adjustRightInd w:val="0"/>
      <w:spacing w:line="240" w:lineRule="atLeast"/>
      <w:jc w:val="center"/>
    </w:pPr>
    <w:rPr>
      <w:lang w:val="en-US" w:eastAsia="es-E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eastAsia="es-E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eastAsia="es-E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9049E4"/>
    <w:pPr>
      <w:ind w:left="720"/>
      <w:contextualSpacing/>
    </w:pPr>
    <w:rPr>
      <w:lang w:val="es-ES" w:eastAsia="es-ES"/>
    </w:r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lang w:val="es-ES" w:eastAsia="es-ES"/>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
    <w:name w:val="Table Grid"/>
    <w:basedOn w:val="Tablanormal"/>
    <w:uiPriority w:val="39"/>
    <w:rsid w:val="00512E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0F79"/>
    <w:rPr>
      <w:rFonts w:ascii="Arial" w:hAnsi="Arial" w:cs="Arial"/>
      <w:b/>
      <w:bCs/>
      <w:sz w:val="26"/>
      <w:szCs w:val="26"/>
      <w:lang w:val="es-ES" w:eastAsia="es-ES"/>
    </w:rPr>
  </w:style>
  <w:style w:type="paragraph" w:styleId="NormalWeb">
    <w:name w:val="Normal (Web)"/>
    <w:basedOn w:val="Normal"/>
    <w:uiPriority w:val="99"/>
    <w:semiHidden/>
    <w:unhideWhenUsed/>
    <w:rsid w:val="000631F2"/>
    <w:pPr>
      <w:spacing w:before="100" w:beforeAutospacing="1" w:after="100" w:afterAutospacing="1"/>
    </w:pPr>
    <w:rPr>
      <w:lang w:eastAsia="es-CO"/>
    </w:rPr>
  </w:style>
  <w:style w:type="paragraph" w:customStyle="1" w:styleId="Prrafodelista1">
    <w:name w:val="Párrafo de lista1"/>
    <w:basedOn w:val="Normal"/>
    <w:rsid w:val="00B93FF5"/>
    <w:pPr>
      <w:suppressAutoHyphens/>
      <w:ind w:left="708"/>
    </w:pPr>
    <w:rPr>
      <w:rFonts w:cs="Calibri"/>
      <w:lang w:val="es-ES" w:eastAsia="ar-SA"/>
    </w:rPr>
  </w:style>
  <w:style w:type="paragraph" w:styleId="Textoindependiente">
    <w:name w:val="Body Text"/>
    <w:basedOn w:val="Normal"/>
    <w:link w:val="TextoindependienteCar"/>
    <w:rsid w:val="00404B8E"/>
    <w:pPr>
      <w:jc w:val="both"/>
    </w:pPr>
    <w:rPr>
      <w:rFonts w:ascii="Arial" w:hAnsi="Arial" w:cs="Arial"/>
      <w:lang w:val="es-ES" w:eastAsia="es-ES"/>
    </w:rPr>
  </w:style>
  <w:style w:type="character" w:customStyle="1" w:styleId="TextoindependienteCar">
    <w:name w:val="Texto independiente Car"/>
    <w:basedOn w:val="Fuentedeprrafopredeter"/>
    <w:link w:val="Textoindependiente"/>
    <w:rsid w:val="00404B8E"/>
    <w:rPr>
      <w:rFonts w:ascii="Arial" w:hAnsi="Arial" w:cs="Arial"/>
      <w:sz w:val="24"/>
      <w:szCs w:val="24"/>
      <w:lang w:val="es-ES" w:eastAsia="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F217A5"/>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9047">
      <w:bodyDiv w:val="1"/>
      <w:marLeft w:val="0"/>
      <w:marRight w:val="0"/>
      <w:marTop w:val="0"/>
      <w:marBottom w:val="0"/>
      <w:divBdr>
        <w:top w:val="none" w:sz="0" w:space="0" w:color="auto"/>
        <w:left w:val="none" w:sz="0" w:space="0" w:color="auto"/>
        <w:bottom w:val="none" w:sz="0" w:space="0" w:color="auto"/>
        <w:right w:val="none" w:sz="0" w:space="0" w:color="auto"/>
      </w:divBdr>
    </w:div>
    <w:div w:id="1022508785">
      <w:bodyDiv w:val="1"/>
      <w:marLeft w:val="0"/>
      <w:marRight w:val="0"/>
      <w:marTop w:val="0"/>
      <w:marBottom w:val="0"/>
      <w:divBdr>
        <w:top w:val="none" w:sz="0" w:space="0" w:color="auto"/>
        <w:left w:val="none" w:sz="0" w:space="0" w:color="auto"/>
        <w:bottom w:val="none" w:sz="0" w:space="0" w:color="auto"/>
        <w:right w:val="none" w:sz="0" w:space="0" w:color="auto"/>
      </w:divBdr>
    </w:div>
    <w:div w:id="1195578307">
      <w:bodyDiv w:val="1"/>
      <w:marLeft w:val="0"/>
      <w:marRight w:val="0"/>
      <w:marTop w:val="0"/>
      <w:marBottom w:val="0"/>
      <w:divBdr>
        <w:top w:val="none" w:sz="0" w:space="0" w:color="auto"/>
        <w:left w:val="none" w:sz="0" w:space="0" w:color="auto"/>
        <w:bottom w:val="none" w:sz="0" w:space="0" w:color="auto"/>
        <w:right w:val="none" w:sz="0" w:space="0" w:color="auto"/>
      </w:divBdr>
    </w:div>
    <w:div w:id="19329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0EC9-D20F-4B96-9816-79D76411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Auditorio Pontificia Universidad Javeriana</cp:lastModifiedBy>
  <cp:revision>2</cp:revision>
  <cp:lastPrinted>2019-02-22T17:23:00Z</cp:lastPrinted>
  <dcterms:created xsi:type="dcterms:W3CDTF">2019-06-01T16:23:00Z</dcterms:created>
  <dcterms:modified xsi:type="dcterms:W3CDTF">2019-06-01T16:23:00Z</dcterms:modified>
</cp:coreProperties>
</file>