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D6" w:rsidRDefault="007D64D6" w:rsidP="00BB4585">
      <w:pPr>
        <w:jc w:val="center"/>
        <w:rPr>
          <w:b/>
        </w:rPr>
      </w:pPr>
      <w:bookmarkStart w:id="0" w:name="_GoBack"/>
      <w:bookmarkEnd w:id="0"/>
      <w:r w:rsidRPr="00BB4585">
        <w:rPr>
          <w:b/>
        </w:rPr>
        <w:t>REPÚBLICA DE COLOMBIA</w:t>
      </w:r>
    </w:p>
    <w:p w:rsidR="007D64D6" w:rsidRPr="00BB4585" w:rsidRDefault="007D64D6" w:rsidP="00BB4585">
      <w:pPr>
        <w:jc w:val="center"/>
        <w:rPr>
          <w:b/>
        </w:rPr>
      </w:pPr>
    </w:p>
    <w:p w:rsidR="00BB4585" w:rsidRPr="00BB4585" w:rsidRDefault="007D64D6" w:rsidP="00BB4585">
      <w:pPr>
        <w:jc w:val="center"/>
        <w:rPr>
          <w:b/>
        </w:rPr>
      </w:pPr>
      <w:r w:rsidRPr="00BB4585">
        <w:rPr>
          <w:b/>
        </w:rPr>
        <w:t xml:space="preserve">COMISIÓN NACIONAL DE CRÉDITO AGROPECUARIO </w:t>
      </w:r>
    </w:p>
    <w:p w:rsidR="002C1756" w:rsidRDefault="002C1756" w:rsidP="00BB4585">
      <w:pPr>
        <w:jc w:val="center"/>
        <w:rPr>
          <w:b/>
        </w:rPr>
      </w:pPr>
    </w:p>
    <w:p w:rsidR="007D64D6" w:rsidRPr="00BB4585" w:rsidRDefault="00076C4E" w:rsidP="007752B4">
      <w:pPr>
        <w:jc w:val="center"/>
        <w:rPr>
          <w:b/>
        </w:rPr>
      </w:pPr>
      <w:r>
        <w:rPr>
          <w:b/>
        </w:rPr>
        <w:t>RESOLUCIÓN N</w:t>
      </w:r>
      <w:r w:rsidR="00153F7E">
        <w:rPr>
          <w:b/>
        </w:rPr>
        <w:t xml:space="preserve">o. </w:t>
      </w:r>
      <w:r w:rsidR="00E5690E">
        <w:rPr>
          <w:b/>
        </w:rPr>
        <w:t>_</w:t>
      </w:r>
      <w:r w:rsidR="007752B4">
        <w:rPr>
          <w:b/>
        </w:rPr>
        <w:t>_</w:t>
      </w:r>
      <w:r w:rsidR="00374ECD">
        <w:rPr>
          <w:b/>
        </w:rPr>
        <w:t xml:space="preserve"> </w:t>
      </w:r>
      <w:r w:rsidR="007D64D6" w:rsidRPr="00BB4585">
        <w:rPr>
          <w:b/>
        </w:rPr>
        <w:t>DE 201</w:t>
      </w:r>
      <w:r w:rsidR="007752B4">
        <w:rPr>
          <w:b/>
        </w:rPr>
        <w:t>9</w:t>
      </w:r>
    </w:p>
    <w:p w:rsidR="00BB4585" w:rsidRPr="002C1756" w:rsidRDefault="002C1756" w:rsidP="00BB4585">
      <w:pPr>
        <w:jc w:val="center"/>
        <w:rPr>
          <w:b/>
        </w:rPr>
      </w:pPr>
      <w:r w:rsidRPr="002C1756">
        <w:rPr>
          <w:b/>
        </w:rPr>
        <w:t>(</w:t>
      </w:r>
      <w:r w:rsidR="007752B4">
        <w:rPr>
          <w:b/>
        </w:rPr>
        <w:t>____________</w:t>
      </w:r>
      <w:r w:rsidRPr="002C1756">
        <w:rPr>
          <w:b/>
        </w:rPr>
        <w:t>)</w:t>
      </w:r>
    </w:p>
    <w:p w:rsidR="00F90C04" w:rsidRDefault="00F90C04" w:rsidP="00BB4585">
      <w:pPr>
        <w:jc w:val="center"/>
      </w:pPr>
    </w:p>
    <w:p w:rsidR="007D64D6" w:rsidRDefault="007D64D6" w:rsidP="00BB4585">
      <w:pPr>
        <w:jc w:val="center"/>
      </w:pPr>
      <w:r>
        <w:t xml:space="preserve">Por la cual se </w:t>
      </w:r>
      <w:r w:rsidR="00664C0A">
        <w:t>modifica la Resolución No. 7 de 2012 “</w:t>
      </w:r>
      <w:r w:rsidR="00664C0A" w:rsidRPr="00664C0A">
        <w:rPr>
          <w:i/>
        </w:rPr>
        <w:t>Por la cual se autoriza a Finagro a establecer líneas de redescuento de microcréditos agropecuarios y rurales, y se dictan otras disposiciones”</w:t>
      </w:r>
      <w:r w:rsidR="00664C0A">
        <w:t>.</w:t>
      </w:r>
    </w:p>
    <w:p w:rsidR="007D64D6" w:rsidRDefault="007D64D6" w:rsidP="00BB4585">
      <w:pPr>
        <w:jc w:val="center"/>
      </w:pPr>
    </w:p>
    <w:p w:rsidR="007D64D6" w:rsidRDefault="007D64D6" w:rsidP="00BB4585">
      <w:pPr>
        <w:jc w:val="center"/>
        <w:rPr>
          <w:b/>
        </w:rPr>
      </w:pPr>
      <w:r w:rsidRPr="00AF06C1">
        <w:rPr>
          <w:b/>
        </w:rPr>
        <w:t>LA COMISIÓN NACIONAL DE CRÉDITO AGROPECUARIO</w:t>
      </w:r>
    </w:p>
    <w:p w:rsidR="007D64D6" w:rsidRDefault="007D64D6" w:rsidP="00BB4585">
      <w:pPr>
        <w:jc w:val="center"/>
      </w:pPr>
    </w:p>
    <w:p w:rsidR="007D64D6" w:rsidRDefault="007D64D6" w:rsidP="00AD4190">
      <w:r>
        <w:t xml:space="preserve">En ejercicio de las facultades conferidas en </w:t>
      </w:r>
      <w:r w:rsidR="00350898">
        <w:t>el artículo</w:t>
      </w:r>
      <w:r w:rsidR="00BD2F24">
        <w:t xml:space="preserve"> 218 d</w:t>
      </w:r>
      <w:r w:rsidR="00AF4302">
        <w:t xml:space="preserve">el Estatuto </w:t>
      </w:r>
      <w:r w:rsidR="0079079D">
        <w:t xml:space="preserve">Orgánico </w:t>
      </w:r>
      <w:r w:rsidR="00AF4302">
        <w:t>del Sistema Financiero</w:t>
      </w:r>
      <w:r w:rsidR="002D1002">
        <w:t>, el Decreto Ley 2371 de 2015</w:t>
      </w:r>
      <w:r w:rsidR="00AF4302">
        <w:t xml:space="preserve"> </w:t>
      </w:r>
      <w:r>
        <w:t>y</w:t>
      </w:r>
      <w:r w:rsidR="00AF4302" w:rsidRPr="00AF4302">
        <w:t xml:space="preserve"> </w:t>
      </w:r>
      <w:r w:rsidR="00AF4302">
        <w:t>el Decreto 1313 de 1990</w:t>
      </w:r>
      <w:r w:rsidR="00E93A4C">
        <w:t>,</w:t>
      </w:r>
      <w:r w:rsidR="001B221C">
        <w:t xml:space="preserve"> y</w:t>
      </w:r>
    </w:p>
    <w:p w:rsidR="007D64D6" w:rsidRDefault="007D64D6" w:rsidP="007D64D6"/>
    <w:p w:rsidR="007D64D6" w:rsidRPr="00BB4585" w:rsidRDefault="007D64D6" w:rsidP="00BB4585">
      <w:pPr>
        <w:jc w:val="center"/>
        <w:rPr>
          <w:b/>
        </w:rPr>
      </w:pPr>
      <w:r w:rsidRPr="00BB4585">
        <w:rPr>
          <w:b/>
        </w:rPr>
        <w:t>CONSIDERANDO</w:t>
      </w:r>
    </w:p>
    <w:p w:rsidR="007D64D6" w:rsidRDefault="007D64D6" w:rsidP="007D64D6"/>
    <w:p w:rsidR="007D64D6" w:rsidRDefault="00F90C04" w:rsidP="007D64D6">
      <w:r w:rsidRPr="00AD4190">
        <w:rPr>
          <w:b/>
        </w:rPr>
        <w:t xml:space="preserve">Primero. </w:t>
      </w:r>
      <w:r w:rsidR="007D64D6">
        <w:t>Que</w:t>
      </w:r>
      <w:r w:rsidR="006E5F37">
        <w:t>,</w:t>
      </w:r>
      <w:r w:rsidR="007D64D6">
        <w:t xml:space="preserve"> de acuerdo con lo dispuesto </w:t>
      </w:r>
      <w:r w:rsidR="008019F8">
        <w:t xml:space="preserve">en </w:t>
      </w:r>
      <w:r w:rsidR="00AF4302">
        <w:t>el</w:t>
      </w:r>
      <w:r w:rsidR="00E03A8A">
        <w:t xml:space="preserve"> numeral 2 del</w:t>
      </w:r>
      <w:r w:rsidR="00AF4302">
        <w:t xml:space="preserve"> </w:t>
      </w:r>
      <w:r w:rsidR="00AF4302" w:rsidRPr="007E63B3">
        <w:t xml:space="preserve">artículo 218 del Estatuto Orgánico del Sistema Financiero </w:t>
      </w:r>
      <w:r w:rsidR="00265640" w:rsidRPr="007E63B3">
        <w:t>modificado por el artículo 2</w:t>
      </w:r>
      <w:r w:rsidR="00FB575B">
        <w:t>o.</w:t>
      </w:r>
      <w:r w:rsidR="008019F8" w:rsidRPr="007E63B3">
        <w:t xml:space="preserve"> del Decreto Ley 2371 de 2015</w:t>
      </w:r>
      <w:r w:rsidR="00AF4302" w:rsidRPr="007E63B3">
        <w:t xml:space="preserve">, </w:t>
      </w:r>
      <w:r w:rsidR="007D64D6" w:rsidRPr="007E63B3">
        <w:t>corresponde a la Comisión Nacional de Crédito Agropecuario</w:t>
      </w:r>
      <w:r w:rsidR="00F816D6">
        <w:t xml:space="preserve"> -</w:t>
      </w:r>
      <w:r w:rsidR="00EB1E33" w:rsidRPr="007E63B3">
        <w:t xml:space="preserve"> CNCA</w:t>
      </w:r>
      <w:r w:rsidR="007D64D6" w:rsidRPr="007E63B3">
        <w:t>:</w:t>
      </w:r>
    </w:p>
    <w:p w:rsidR="00BB4585" w:rsidRDefault="00BB4585" w:rsidP="007D64D6"/>
    <w:p w:rsidR="007D64D6" w:rsidRPr="00C375C9" w:rsidRDefault="0079079D" w:rsidP="007D64D6">
      <w:pPr>
        <w:ind w:left="142"/>
        <w:rPr>
          <w:i/>
        </w:rPr>
      </w:pPr>
      <w:r>
        <w:rPr>
          <w:i/>
        </w:rPr>
        <w:t>“</w:t>
      </w:r>
      <w:r w:rsidR="00BB4585" w:rsidRPr="00C375C9">
        <w:rPr>
          <w:i/>
        </w:rPr>
        <w:t xml:space="preserve">(…) </w:t>
      </w:r>
    </w:p>
    <w:p w:rsidR="007D64D6" w:rsidRPr="00C375C9" w:rsidRDefault="007D64D6" w:rsidP="00C375C9">
      <w:pPr>
        <w:spacing w:line="120" w:lineRule="auto"/>
        <w:ind w:left="142"/>
        <w:rPr>
          <w:i/>
        </w:rPr>
      </w:pPr>
    </w:p>
    <w:p w:rsidR="00C375C9" w:rsidRDefault="00195C5D" w:rsidP="00195C5D">
      <w:pPr>
        <w:spacing w:line="240" w:lineRule="atLeast"/>
        <w:ind w:left="142"/>
        <w:rPr>
          <w:i/>
        </w:rPr>
      </w:pPr>
      <w:r>
        <w:rPr>
          <w:i/>
        </w:rPr>
        <w:t>b)</w:t>
      </w:r>
      <w:r w:rsidRPr="00195C5D">
        <w:rPr>
          <w:i/>
        </w:rPr>
        <w:t xml:space="preserve"> Establecer las actividades, los costos y los porcentajes de estos últimos que podrán ser objeto de financiación por parte de las entidades que integran el Sistema Nacional de Crédito Agropecuario.</w:t>
      </w:r>
    </w:p>
    <w:p w:rsidR="007D64D6" w:rsidRPr="00C375C9" w:rsidRDefault="007D64D6" w:rsidP="00C375C9">
      <w:pPr>
        <w:spacing w:line="120" w:lineRule="auto"/>
        <w:ind w:left="142"/>
        <w:rPr>
          <w:i/>
        </w:rPr>
      </w:pPr>
    </w:p>
    <w:p w:rsidR="007D64D6" w:rsidRPr="00C375C9" w:rsidRDefault="007D64D6" w:rsidP="007D64D6">
      <w:pPr>
        <w:ind w:left="142"/>
        <w:rPr>
          <w:i/>
        </w:rPr>
      </w:pPr>
      <w:r w:rsidRPr="00C375C9">
        <w:rPr>
          <w:i/>
        </w:rPr>
        <w:t>(…)</w:t>
      </w:r>
    </w:p>
    <w:p w:rsidR="007D64D6" w:rsidRPr="00C375C9" w:rsidRDefault="007D64D6" w:rsidP="00C375C9">
      <w:pPr>
        <w:spacing w:line="120" w:lineRule="auto"/>
        <w:ind w:left="142"/>
        <w:rPr>
          <w:i/>
        </w:rPr>
      </w:pPr>
    </w:p>
    <w:p w:rsidR="007D64D6" w:rsidRPr="00C375C9" w:rsidRDefault="007D64D6" w:rsidP="007D64D6">
      <w:pPr>
        <w:ind w:left="142"/>
        <w:rPr>
          <w:i/>
        </w:rPr>
      </w:pPr>
      <w:r w:rsidRPr="00C375C9">
        <w:rPr>
          <w:i/>
        </w:rPr>
        <w:t>f) Fijar periódicamente las tasas y márgenes de redescuento de las operaciones que apruebe Finagro.</w:t>
      </w:r>
    </w:p>
    <w:p w:rsidR="00195C5D" w:rsidRDefault="00195C5D" w:rsidP="00FA6140">
      <w:pPr>
        <w:spacing w:line="120" w:lineRule="auto"/>
        <w:ind w:left="142"/>
        <w:rPr>
          <w:i/>
        </w:rPr>
      </w:pPr>
    </w:p>
    <w:p w:rsidR="00195C5D" w:rsidRPr="00C375C9" w:rsidRDefault="00195C5D" w:rsidP="00195C5D">
      <w:pPr>
        <w:ind w:left="142"/>
        <w:rPr>
          <w:i/>
        </w:rPr>
      </w:pPr>
      <w:r w:rsidRPr="00C375C9">
        <w:rPr>
          <w:i/>
        </w:rPr>
        <w:t>(…)</w:t>
      </w:r>
    </w:p>
    <w:p w:rsidR="007D64D6" w:rsidRDefault="007D64D6" w:rsidP="00FA6140">
      <w:pPr>
        <w:spacing w:line="120" w:lineRule="auto"/>
        <w:ind w:left="142"/>
        <w:rPr>
          <w:i/>
        </w:rPr>
      </w:pPr>
    </w:p>
    <w:p w:rsidR="00CA0759" w:rsidRPr="00CA0759" w:rsidRDefault="00CA0759" w:rsidP="00CA0759">
      <w:pPr>
        <w:ind w:left="142"/>
        <w:rPr>
          <w:i/>
        </w:rPr>
      </w:pPr>
      <w:r>
        <w:rPr>
          <w:i/>
        </w:rPr>
        <w:t xml:space="preserve">i) </w:t>
      </w:r>
      <w:r w:rsidRPr="00CA0759">
        <w:rPr>
          <w:i/>
        </w:rPr>
        <w:t>Determinar los presupuestos de las colocaciones de Finagro, estableciendo los plazos y demás modalidades.</w:t>
      </w:r>
    </w:p>
    <w:p w:rsidR="00195C5D" w:rsidRDefault="00195C5D" w:rsidP="00FA6140">
      <w:pPr>
        <w:spacing w:line="120" w:lineRule="auto"/>
        <w:ind w:left="142"/>
        <w:rPr>
          <w:i/>
        </w:rPr>
      </w:pPr>
    </w:p>
    <w:p w:rsidR="007D64D6" w:rsidRPr="00C375C9" w:rsidRDefault="007D64D6" w:rsidP="00267944">
      <w:pPr>
        <w:ind w:left="142"/>
        <w:rPr>
          <w:i/>
        </w:rPr>
      </w:pPr>
      <w:r w:rsidRPr="00C375C9">
        <w:rPr>
          <w:i/>
        </w:rPr>
        <w:t>(…)</w:t>
      </w:r>
      <w:r w:rsidR="00267944">
        <w:rPr>
          <w:i/>
        </w:rPr>
        <w:t>”</w:t>
      </w:r>
      <w:r w:rsidR="00C375C9" w:rsidRPr="00C375C9">
        <w:rPr>
          <w:i/>
        </w:rPr>
        <w:t xml:space="preserve"> </w:t>
      </w:r>
    </w:p>
    <w:p w:rsidR="00C375C9" w:rsidRDefault="00C375C9" w:rsidP="007D64D6"/>
    <w:p w:rsidR="000A1E36" w:rsidRPr="006F7286" w:rsidRDefault="00F90C04" w:rsidP="007D64D6">
      <w:r w:rsidRPr="003119E0">
        <w:rPr>
          <w:b/>
        </w:rPr>
        <w:t xml:space="preserve">Segundo. </w:t>
      </w:r>
      <w:r w:rsidR="00DD6835" w:rsidRPr="00DD6835">
        <w:t>Que mediante</w:t>
      </w:r>
      <w:r w:rsidR="00DD6835">
        <w:rPr>
          <w:b/>
        </w:rPr>
        <w:t xml:space="preserve"> </w:t>
      </w:r>
      <w:r w:rsidR="00DD6835" w:rsidRPr="00DD6835">
        <w:t>Resolución No.</w:t>
      </w:r>
      <w:r w:rsidR="00DD6835">
        <w:t xml:space="preserve"> 7 de 2012</w:t>
      </w:r>
      <w:r w:rsidR="00F840E5">
        <w:t>,</w:t>
      </w:r>
      <w:r w:rsidR="00DD6835">
        <w:t xml:space="preserve"> la CNCA estableció la línea </w:t>
      </w:r>
      <w:r w:rsidR="006F7286">
        <w:t xml:space="preserve">de redescuento </w:t>
      </w:r>
      <w:r w:rsidR="00A27ADB">
        <w:t xml:space="preserve">para </w:t>
      </w:r>
      <w:r w:rsidR="00DD6835">
        <w:t xml:space="preserve">microcrédito </w:t>
      </w:r>
      <w:r w:rsidR="006F7286">
        <w:t xml:space="preserve">de fomento </w:t>
      </w:r>
      <w:r w:rsidR="006F7286" w:rsidRPr="006F7286">
        <w:t>agropecuario y rural</w:t>
      </w:r>
      <w:r w:rsidR="00A27ADB">
        <w:t>,</w:t>
      </w:r>
      <w:r w:rsidR="006F7286">
        <w:rPr>
          <w:b/>
        </w:rPr>
        <w:t xml:space="preserve"> </w:t>
      </w:r>
      <w:r w:rsidR="00A27ADB">
        <w:t xml:space="preserve">así como </w:t>
      </w:r>
      <w:r w:rsidR="00A27ADB" w:rsidRPr="00A27ADB">
        <w:t>sus condiciones de colocación</w:t>
      </w:r>
      <w:r w:rsidR="006E5F37">
        <w:t>. Conforme a esta resolución el plazo actual de la línea de microcrédito es de hasta veinticuatro (24) meses</w:t>
      </w:r>
      <w:r w:rsidR="00A27ADB">
        <w:t>.</w:t>
      </w:r>
      <w:r w:rsidR="00A27ADB">
        <w:rPr>
          <w:b/>
        </w:rPr>
        <w:t xml:space="preserve"> </w:t>
      </w:r>
    </w:p>
    <w:p w:rsidR="007D64D6" w:rsidRDefault="007D64D6" w:rsidP="007D64D6"/>
    <w:p w:rsidR="006E5F37" w:rsidRDefault="00F90C04" w:rsidP="006E5F37">
      <w:r w:rsidRPr="00AD4190">
        <w:rPr>
          <w:b/>
        </w:rPr>
        <w:t xml:space="preserve">Tercero. </w:t>
      </w:r>
      <w:r w:rsidR="006E5F37">
        <w:rPr>
          <w:b/>
        </w:rPr>
        <w:t xml:space="preserve"> </w:t>
      </w:r>
      <w:r w:rsidR="006E5F37">
        <w:t xml:space="preserve"> Que </w:t>
      </w:r>
      <w:r w:rsidR="006E5F37">
        <w:rPr>
          <w:rFonts w:cs="Arial"/>
          <w:color w:val="000000"/>
          <w:szCs w:val="22"/>
          <w:shd w:val="clear" w:color="auto" w:fill="FFFFFF"/>
        </w:rPr>
        <w:t xml:space="preserve">con el fin de </w:t>
      </w:r>
      <w:r w:rsidR="001C56A9">
        <w:rPr>
          <w:rFonts w:cs="Arial"/>
          <w:color w:val="000000"/>
          <w:szCs w:val="22"/>
          <w:shd w:val="clear" w:color="auto" w:fill="FFFFFF"/>
        </w:rPr>
        <w:t xml:space="preserve">ajustar </w:t>
      </w:r>
      <w:r w:rsidR="006E5F37">
        <w:rPr>
          <w:rFonts w:cs="Arial"/>
          <w:color w:val="000000"/>
          <w:szCs w:val="22"/>
          <w:shd w:val="clear" w:color="auto" w:fill="FFFFFF"/>
        </w:rPr>
        <w:t xml:space="preserve">las condiciones de los microcréditos </w:t>
      </w:r>
      <w:r w:rsidR="00166CDD">
        <w:rPr>
          <w:rFonts w:cs="Arial"/>
          <w:color w:val="000000"/>
          <w:szCs w:val="22"/>
          <w:shd w:val="clear" w:color="auto" w:fill="FFFFFF"/>
        </w:rPr>
        <w:t xml:space="preserve">que ofrecen los bancos en condiciones FINAGRO </w:t>
      </w:r>
      <w:r w:rsidR="006E5F37">
        <w:rPr>
          <w:rFonts w:cs="Arial"/>
          <w:color w:val="000000"/>
          <w:szCs w:val="22"/>
          <w:shd w:val="clear" w:color="auto" w:fill="FFFFFF"/>
        </w:rPr>
        <w:t xml:space="preserve">a </w:t>
      </w:r>
      <w:r w:rsidR="001C56A9">
        <w:rPr>
          <w:rFonts w:cs="Arial"/>
          <w:color w:val="000000"/>
          <w:szCs w:val="22"/>
          <w:shd w:val="clear" w:color="auto" w:fill="FFFFFF"/>
        </w:rPr>
        <w:t xml:space="preserve">las necesidades de </w:t>
      </w:r>
      <w:r w:rsidR="006E5F37">
        <w:rPr>
          <w:rFonts w:cs="Arial"/>
          <w:color w:val="000000"/>
          <w:szCs w:val="22"/>
          <w:shd w:val="clear" w:color="auto" w:fill="FFFFFF"/>
        </w:rPr>
        <w:t>la población rural,</w:t>
      </w:r>
      <w:r w:rsidR="001C56A9">
        <w:rPr>
          <w:rFonts w:cs="Arial"/>
          <w:color w:val="000000"/>
          <w:szCs w:val="22"/>
          <w:shd w:val="clear" w:color="auto" w:fill="FFFFFF"/>
        </w:rPr>
        <w:t xml:space="preserve"> se considera conveniente ampliar el plazo </w:t>
      </w:r>
      <w:r w:rsidR="00166CDD">
        <w:rPr>
          <w:rFonts w:cs="Arial"/>
          <w:color w:val="000000"/>
          <w:szCs w:val="22"/>
          <w:shd w:val="clear" w:color="auto" w:fill="FFFFFF"/>
        </w:rPr>
        <w:t xml:space="preserve">de la línea de redescuento de microcrédito, </w:t>
      </w:r>
      <w:r w:rsidR="001C56A9">
        <w:rPr>
          <w:rFonts w:cs="Arial"/>
          <w:color w:val="000000"/>
          <w:szCs w:val="22"/>
          <w:shd w:val="clear" w:color="auto" w:fill="FFFFFF"/>
        </w:rPr>
        <w:t xml:space="preserve">para </w:t>
      </w:r>
      <w:r w:rsidR="00166CDD">
        <w:rPr>
          <w:rFonts w:cs="Arial"/>
          <w:color w:val="000000"/>
          <w:szCs w:val="22"/>
          <w:shd w:val="clear" w:color="auto" w:fill="FFFFFF"/>
        </w:rPr>
        <w:t xml:space="preserve">permitir que el cubrimiento </w:t>
      </w:r>
      <w:r w:rsidR="006E5F37">
        <w:rPr>
          <w:rFonts w:cs="Arial"/>
          <w:color w:val="000000"/>
          <w:szCs w:val="22"/>
          <w:shd w:val="clear" w:color="auto" w:fill="FFFFFF"/>
        </w:rPr>
        <w:t xml:space="preserve">de </w:t>
      </w:r>
      <w:r w:rsidR="00166CDD">
        <w:rPr>
          <w:rFonts w:cs="Arial"/>
          <w:color w:val="000000"/>
          <w:szCs w:val="22"/>
          <w:shd w:val="clear" w:color="auto" w:fill="FFFFFF"/>
        </w:rPr>
        <w:t xml:space="preserve">las obligaciones esté </w:t>
      </w:r>
      <w:r w:rsidR="006E5F37">
        <w:rPr>
          <w:rFonts w:cs="Arial"/>
          <w:color w:val="000000"/>
          <w:szCs w:val="22"/>
          <w:shd w:val="clear" w:color="auto" w:fill="FFFFFF"/>
        </w:rPr>
        <w:t xml:space="preserve">acorde con los flujos de ingresos derivados de las actividades rurales y/o agropecuarias </w:t>
      </w:r>
      <w:r w:rsidR="00166CDD">
        <w:rPr>
          <w:rFonts w:cs="Arial"/>
          <w:color w:val="000000"/>
          <w:szCs w:val="22"/>
          <w:shd w:val="clear" w:color="auto" w:fill="FFFFFF"/>
        </w:rPr>
        <w:t xml:space="preserve">facilitando su </w:t>
      </w:r>
      <w:r w:rsidR="006E5F37">
        <w:rPr>
          <w:rFonts w:cs="Arial"/>
          <w:color w:val="000000"/>
          <w:szCs w:val="22"/>
          <w:shd w:val="clear" w:color="auto" w:fill="FFFFFF"/>
        </w:rPr>
        <w:t>cumplimiento.</w:t>
      </w:r>
    </w:p>
    <w:p w:rsidR="006E5F37" w:rsidRDefault="006E5F37" w:rsidP="006E5F37">
      <w:pPr>
        <w:rPr>
          <w:b/>
        </w:rPr>
      </w:pPr>
    </w:p>
    <w:p w:rsidR="006E5F37" w:rsidRDefault="006E5F37" w:rsidP="006E5F37"/>
    <w:p w:rsidR="00A27ADB" w:rsidRDefault="008E2600" w:rsidP="006E5F37">
      <w:r w:rsidRPr="008E2600">
        <w:rPr>
          <w:b/>
        </w:rPr>
        <w:lastRenderedPageBreak/>
        <w:t>Cuarto.</w:t>
      </w:r>
      <w:r>
        <w:t xml:space="preserve"> </w:t>
      </w:r>
      <w:r w:rsidR="006E5F37" w:rsidRPr="003119E0">
        <w:t xml:space="preserve">Que </w:t>
      </w:r>
      <w:r>
        <w:t xml:space="preserve">en consecuencia se propone </w:t>
      </w:r>
      <w:r w:rsidR="006E5F37">
        <w:t xml:space="preserve">la </w:t>
      </w:r>
      <w:r w:rsidR="006E5F37">
        <w:rPr>
          <w:rFonts w:cs="Arial"/>
          <w:color w:val="000000"/>
          <w:szCs w:val="22"/>
          <w:shd w:val="clear" w:color="auto" w:fill="FFFFFF"/>
        </w:rPr>
        <w:t xml:space="preserve">ampliación del plazo establecido para la línea de </w:t>
      </w:r>
      <w:r>
        <w:rPr>
          <w:rFonts w:cs="Arial"/>
          <w:color w:val="000000"/>
          <w:szCs w:val="22"/>
          <w:shd w:val="clear" w:color="auto" w:fill="FFFFFF"/>
        </w:rPr>
        <w:t xml:space="preserve">redescuento de </w:t>
      </w:r>
      <w:r w:rsidR="006E5F37">
        <w:rPr>
          <w:rFonts w:cs="Arial"/>
          <w:color w:val="000000"/>
          <w:szCs w:val="22"/>
          <w:shd w:val="clear" w:color="auto" w:fill="FFFFFF"/>
        </w:rPr>
        <w:t>microcrédito creada mediante Resolución No. 7 de 2014, de veinticuatro (24) meses a treinta y seis (36) meses</w:t>
      </w:r>
      <w:r>
        <w:rPr>
          <w:rFonts w:cs="Arial"/>
          <w:color w:val="000000"/>
          <w:szCs w:val="22"/>
          <w:shd w:val="clear" w:color="auto" w:fill="FFFFFF"/>
        </w:rPr>
        <w:t>.</w:t>
      </w:r>
      <w:r w:rsidR="006E5F37">
        <w:rPr>
          <w:rFonts w:cs="Arial"/>
          <w:color w:val="000000"/>
          <w:szCs w:val="22"/>
          <w:shd w:val="clear" w:color="auto" w:fill="FFFFFF"/>
        </w:rPr>
        <w:t xml:space="preserve"> </w:t>
      </w:r>
    </w:p>
    <w:p w:rsidR="00A27ADB" w:rsidRDefault="00A27ADB" w:rsidP="007D64D6">
      <w:pPr>
        <w:rPr>
          <w:b/>
        </w:rPr>
      </w:pPr>
    </w:p>
    <w:p w:rsidR="007D64D6" w:rsidRDefault="008E2600" w:rsidP="007D64D6">
      <w:r>
        <w:rPr>
          <w:b/>
        </w:rPr>
        <w:t>Quinto</w:t>
      </w:r>
      <w:r w:rsidR="00A27ADB" w:rsidRPr="003119E0">
        <w:rPr>
          <w:b/>
        </w:rPr>
        <w:t xml:space="preserve">. </w:t>
      </w:r>
      <w:r w:rsidR="007D64D6">
        <w:t xml:space="preserve">Que </w:t>
      </w:r>
      <w:r w:rsidR="0079079D">
        <w:t xml:space="preserve">el </w:t>
      </w:r>
      <w:r w:rsidR="007D64D6">
        <w:t xml:space="preserve">proyecto de </w:t>
      </w:r>
      <w:r w:rsidR="00317676">
        <w:t>r</w:t>
      </w:r>
      <w:r w:rsidR="007D64D6">
        <w:t xml:space="preserve">esolución </w:t>
      </w:r>
      <w:r>
        <w:t>p</w:t>
      </w:r>
      <w:r w:rsidR="00966C83" w:rsidRPr="00966C83">
        <w:t>or la cual se modifica la Resolución No. 7 de 2012</w:t>
      </w:r>
      <w:r w:rsidR="0079079D">
        <w:t xml:space="preserve">, </w:t>
      </w:r>
      <w:r w:rsidR="007D64D6">
        <w:t>estuvo publicado en la página web de FINAGRO para comentarios</w:t>
      </w:r>
      <w:r w:rsidR="0079079D">
        <w:t>.</w:t>
      </w:r>
    </w:p>
    <w:p w:rsidR="007D64D6" w:rsidRDefault="007D64D6" w:rsidP="007D64D6"/>
    <w:p w:rsidR="00BF0420" w:rsidRPr="00F03F61" w:rsidRDefault="008E2600" w:rsidP="00BF0420">
      <w:pPr>
        <w:spacing w:line="0" w:lineRule="atLeast"/>
        <w:rPr>
          <w:rFonts w:cs="Arial"/>
        </w:rPr>
      </w:pPr>
      <w:r>
        <w:rPr>
          <w:rFonts w:cs="Arial"/>
          <w:b/>
        </w:rPr>
        <w:t>Sexto</w:t>
      </w:r>
      <w:r w:rsidR="00256B27" w:rsidRPr="00256B27">
        <w:rPr>
          <w:rFonts w:cs="Arial"/>
          <w:b/>
        </w:rPr>
        <w:t>.</w:t>
      </w:r>
      <w:r w:rsidR="00256B27">
        <w:rPr>
          <w:rFonts w:cs="Arial"/>
        </w:rPr>
        <w:t xml:space="preserve"> </w:t>
      </w:r>
      <w:r w:rsidR="00BF0420" w:rsidRPr="003119E0">
        <w:rPr>
          <w:rFonts w:cs="Arial"/>
        </w:rPr>
        <w:t xml:space="preserve">Que el documento con la justificación jurídica y técnica de la presente resolución fue presentado para consideración de la CNCA y discutido en la reunión llevada a cabo </w:t>
      </w:r>
      <w:r w:rsidR="00C45DAE" w:rsidRPr="003119E0">
        <w:t xml:space="preserve">el </w:t>
      </w:r>
      <w:r w:rsidR="00E71FB9" w:rsidRPr="003119E0">
        <w:t xml:space="preserve">día </w:t>
      </w:r>
      <w:r w:rsidR="00256B27">
        <w:t>________</w:t>
      </w:r>
      <w:r w:rsidR="003119E0" w:rsidRPr="003119E0">
        <w:t>(</w:t>
      </w:r>
      <w:r w:rsidR="00256B27">
        <w:t>__</w:t>
      </w:r>
      <w:r w:rsidR="003119E0" w:rsidRPr="003119E0">
        <w:t>)</w:t>
      </w:r>
      <w:r w:rsidR="00E71FB9" w:rsidRPr="003119E0">
        <w:t xml:space="preserve"> de </w:t>
      </w:r>
      <w:r w:rsidR="00256B27">
        <w:t>________ dos mil diecinueve (2019)</w:t>
      </w:r>
      <w:r w:rsidR="008D221A">
        <w:t>.</w:t>
      </w:r>
    </w:p>
    <w:p w:rsidR="007D64D6" w:rsidRDefault="007D64D6" w:rsidP="007D64D6"/>
    <w:p w:rsidR="007D64D6" w:rsidRDefault="00F90C04" w:rsidP="007D64D6">
      <w:r>
        <w:t>E</w:t>
      </w:r>
      <w:r w:rsidR="007D64D6">
        <w:t>n mérito de lo anterior,</w:t>
      </w:r>
    </w:p>
    <w:p w:rsidR="007D64D6" w:rsidRDefault="007D64D6" w:rsidP="007D64D6"/>
    <w:p w:rsidR="007D64D6" w:rsidRPr="00AF06C1" w:rsidRDefault="007D64D6" w:rsidP="001F589E">
      <w:pPr>
        <w:jc w:val="center"/>
        <w:rPr>
          <w:b/>
        </w:rPr>
      </w:pPr>
      <w:r w:rsidRPr="00AF06C1">
        <w:rPr>
          <w:b/>
        </w:rPr>
        <w:t>RESUELVE</w:t>
      </w:r>
    </w:p>
    <w:p w:rsidR="007D64D6" w:rsidRDefault="007D64D6" w:rsidP="007D64D6"/>
    <w:p w:rsidR="00247298" w:rsidRPr="00505BD7" w:rsidRDefault="007D64D6" w:rsidP="00247298">
      <w:pPr>
        <w:ind w:right="-1"/>
        <w:rPr>
          <w:rFonts w:cs="Arial"/>
          <w:b/>
        </w:rPr>
      </w:pPr>
      <w:r w:rsidRPr="001F589E">
        <w:rPr>
          <w:b/>
        </w:rPr>
        <w:t>Artículo 1</w:t>
      </w:r>
      <w:r w:rsidR="00F90C04">
        <w:rPr>
          <w:b/>
        </w:rPr>
        <w:t>o</w:t>
      </w:r>
      <w:r w:rsidRPr="001F589E">
        <w:rPr>
          <w:b/>
        </w:rPr>
        <w:t>.</w:t>
      </w:r>
      <w:r>
        <w:t xml:space="preserve"> </w:t>
      </w:r>
      <w:r w:rsidR="00247298" w:rsidRPr="00505BD7">
        <w:rPr>
          <w:rFonts w:cs="Arial"/>
        </w:rPr>
        <w:t>Modificar el</w:t>
      </w:r>
      <w:r w:rsidR="004B0441">
        <w:rPr>
          <w:rFonts w:cs="Arial"/>
        </w:rPr>
        <w:t xml:space="preserve"> </w:t>
      </w:r>
      <w:r w:rsidR="00A6689A">
        <w:rPr>
          <w:rFonts w:cs="Arial"/>
        </w:rPr>
        <w:t>numeral 7.1.</w:t>
      </w:r>
      <w:r w:rsidR="004B0441">
        <w:rPr>
          <w:rFonts w:cs="Arial"/>
        </w:rPr>
        <w:t xml:space="preserve"> </w:t>
      </w:r>
      <w:r w:rsidR="00A6689A">
        <w:rPr>
          <w:rFonts w:cs="Arial"/>
        </w:rPr>
        <w:t>de</w:t>
      </w:r>
      <w:r w:rsidR="00247298" w:rsidRPr="00505BD7">
        <w:rPr>
          <w:rFonts w:cs="Arial"/>
        </w:rPr>
        <w:t xml:space="preserve"> artículo </w:t>
      </w:r>
      <w:r w:rsidR="00247298">
        <w:rPr>
          <w:rFonts w:cs="Arial"/>
        </w:rPr>
        <w:t>7o</w:t>
      </w:r>
      <w:r w:rsidR="00A6689A">
        <w:rPr>
          <w:rFonts w:cs="Arial"/>
        </w:rPr>
        <w:t>.</w:t>
      </w:r>
      <w:r w:rsidR="00247298" w:rsidRPr="00505BD7">
        <w:rPr>
          <w:rFonts w:cs="Arial"/>
        </w:rPr>
        <w:t xml:space="preserve"> de la Resolución </w:t>
      </w:r>
      <w:r w:rsidR="00247298">
        <w:rPr>
          <w:rFonts w:cs="Arial"/>
        </w:rPr>
        <w:t xml:space="preserve">No. </w:t>
      </w:r>
      <w:r w:rsidR="009F40B1">
        <w:rPr>
          <w:rFonts w:cs="Arial"/>
        </w:rPr>
        <w:t>7</w:t>
      </w:r>
      <w:r w:rsidR="00247298" w:rsidRPr="00505BD7">
        <w:rPr>
          <w:rFonts w:cs="Arial"/>
        </w:rPr>
        <w:t xml:space="preserve"> de 201</w:t>
      </w:r>
      <w:r w:rsidR="009F40B1">
        <w:rPr>
          <w:rFonts w:cs="Arial"/>
        </w:rPr>
        <w:t>2</w:t>
      </w:r>
      <w:r w:rsidR="00247298" w:rsidRPr="00505BD7">
        <w:rPr>
          <w:rFonts w:cs="Arial"/>
        </w:rPr>
        <w:t xml:space="preserve"> de la Comisión N</w:t>
      </w:r>
      <w:r w:rsidR="00247298">
        <w:rPr>
          <w:rFonts w:cs="Arial"/>
        </w:rPr>
        <w:t>acional de Crédito Agropecuario -</w:t>
      </w:r>
      <w:r w:rsidR="00247298" w:rsidRPr="00505BD7">
        <w:rPr>
          <w:rFonts w:cs="Arial"/>
        </w:rPr>
        <w:t xml:space="preserve"> CNCA, el cual quedará así:</w:t>
      </w:r>
    </w:p>
    <w:p w:rsidR="00256B27" w:rsidRDefault="00256B27" w:rsidP="001F589E"/>
    <w:p w:rsidR="009074D8" w:rsidRDefault="009F40B1" w:rsidP="008E71ED">
      <w:pPr>
        <w:rPr>
          <w:i/>
        </w:rPr>
      </w:pPr>
      <w:r w:rsidRPr="00745525">
        <w:rPr>
          <w:i/>
        </w:rPr>
        <w:t>“</w:t>
      </w:r>
      <w:r w:rsidR="008E71ED">
        <w:rPr>
          <w:i/>
        </w:rPr>
        <w:t xml:space="preserve"> 7.1. </w:t>
      </w:r>
      <w:r w:rsidR="009074D8" w:rsidRPr="007F5543">
        <w:rPr>
          <w:i/>
        </w:rPr>
        <w:t xml:space="preserve">El plazo de las operaciones no </w:t>
      </w:r>
      <w:r w:rsidR="008E71ED">
        <w:rPr>
          <w:i/>
        </w:rPr>
        <w:t xml:space="preserve">podrá ser </w:t>
      </w:r>
      <w:r w:rsidR="009074D8" w:rsidRPr="007F5543">
        <w:rPr>
          <w:i/>
        </w:rPr>
        <w:t>superior a treinta y seis (36) meses</w:t>
      </w:r>
      <w:r w:rsidR="008E71ED">
        <w:rPr>
          <w:i/>
        </w:rPr>
        <w:t>.”</w:t>
      </w:r>
    </w:p>
    <w:p w:rsidR="009F40B1" w:rsidRDefault="009F40B1" w:rsidP="001F589E"/>
    <w:p w:rsidR="007D64D6" w:rsidRDefault="007D64D6" w:rsidP="009A3ABF">
      <w:r w:rsidRPr="001F589E">
        <w:rPr>
          <w:b/>
        </w:rPr>
        <w:t>Artículo 2</w:t>
      </w:r>
      <w:r w:rsidR="00F90C04">
        <w:rPr>
          <w:b/>
        </w:rPr>
        <w:t>o</w:t>
      </w:r>
      <w:r w:rsidRPr="001F589E">
        <w:rPr>
          <w:b/>
        </w:rPr>
        <w:t>.</w:t>
      </w:r>
      <w:r w:rsidR="009A3ABF" w:rsidRPr="009A3ABF">
        <w:t xml:space="preserve"> </w:t>
      </w:r>
      <w:r w:rsidR="009A3ABF">
        <w:t xml:space="preserve">FINAGRO adoptará </w:t>
      </w:r>
      <w:r w:rsidR="009A3ABF" w:rsidRPr="00A60AC7">
        <w:t>los procedimientos</w:t>
      </w:r>
      <w:r w:rsidR="009A3ABF">
        <w:t xml:space="preserve"> y las medidas necesarias que procuren la debida operatividad de la presente resolución.</w:t>
      </w:r>
    </w:p>
    <w:p w:rsidR="007D64D6" w:rsidRDefault="007D64D6" w:rsidP="001F589E"/>
    <w:p w:rsidR="003A09B0" w:rsidRPr="00444F75" w:rsidRDefault="007D64D6" w:rsidP="003A09B0">
      <w:pPr>
        <w:rPr>
          <w:rFonts w:cs="Arial"/>
        </w:rPr>
      </w:pPr>
      <w:r w:rsidRPr="001F589E">
        <w:rPr>
          <w:b/>
        </w:rPr>
        <w:t>Artículo 3</w:t>
      </w:r>
      <w:r w:rsidR="00F90C04">
        <w:rPr>
          <w:b/>
        </w:rPr>
        <w:t>o</w:t>
      </w:r>
      <w:r w:rsidRPr="001F589E">
        <w:rPr>
          <w:b/>
        </w:rPr>
        <w:t>.</w:t>
      </w:r>
      <w:r w:rsidR="009A3ABF">
        <w:t xml:space="preserve"> La presente resolución rige a partir de la fecha de su publicación en el Diario Oficial</w:t>
      </w:r>
      <w:r w:rsidR="003A09B0" w:rsidRPr="00444F75">
        <w:rPr>
          <w:rFonts w:cs="Arial"/>
        </w:rPr>
        <w:t xml:space="preserve">, y sus efectos aplicarán a partir de la fecha en que FINAGRO expida la circular reglamentaria correspondiente. </w:t>
      </w:r>
    </w:p>
    <w:p w:rsidR="007D64D6" w:rsidRDefault="007D64D6" w:rsidP="001F589E"/>
    <w:p w:rsidR="007D64D6" w:rsidRDefault="007D64D6" w:rsidP="001F589E">
      <w:r w:rsidRPr="001F589E">
        <w:rPr>
          <w:b/>
        </w:rPr>
        <w:t>Artículo 4</w:t>
      </w:r>
      <w:r w:rsidR="00F90C04">
        <w:rPr>
          <w:b/>
        </w:rPr>
        <w:t>o</w:t>
      </w:r>
      <w:r w:rsidRPr="001F589E">
        <w:rPr>
          <w:b/>
        </w:rPr>
        <w:t xml:space="preserve">. </w:t>
      </w:r>
      <w:r w:rsidR="009A3ABF" w:rsidRPr="002172F5">
        <w:rPr>
          <w:rFonts w:cs="Arial"/>
          <w:color w:val="000000" w:themeColor="text1"/>
        </w:rPr>
        <w:t>Los términos y condiciones establecid</w:t>
      </w:r>
      <w:r w:rsidR="009A3ABF">
        <w:rPr>
          <w:rFonts w:cs="Arial"/>
          <w:color w:val="000000" w:themeColor="text1"/>
        </w:rPr>
        <w:t>o</w:t>
      </w:r>
      <w:r w:rsidR="009A3ABF" w:rsidRPr="002172F5">
        <w:rPr>
          <w:rFonts w:cs="Arial"/>
          <w:color w:val="000000" w:themeColor="text1"/>
        </w:rPr>
        <w:t xml:space="preserve">s en las demás resoluciones de </w:t>
      </w:r>
      <w:r w:rsidR="009A3ABF">
        <w:rPr>
          <w:rFonts w:cs="Arial"/>
          <w:color w:val="000000" w:themeColor="text1"/>
        </w:rPr>
        <w:t>la</w:t>
      </w:r>
      <w:r w:rsidR="009A3ABF" w:rsidRPr="005144E9">
        <w:t xml:space="preserve"> </w:t>
      </w:r>
      <w:r w:rsidR="009A3ABF" w:rsidRPr="007E63B3">
        <w:t>Comisión Nacional de Crédito Agropecuario</w:t>
      </w:r>
      <w:r w:rsidR="009A3ABF">
        <w:rPr>
          <w:rFonts w:cs="Arial"/>
          <w:color w:val="000000" w:themeColor="text1"/>
        </w:rPr>
        <w:t xml:space="preserve"> </w:t>
      </w:r>
      <w:r w:rsidR="009A3ABF" w:rsidRPr="002172F5">
        <w:rPr>
          <w:rFonts w:cs="Arial"/>
          <w:color w:val="000000" w:themeColor="text1"/>
        </w:rPr>
        <w:t xml:space="preserve">permanecerán inalterados y conservarán todo su </w:t>
      </w:r>
      <w:r w:rsidR="009A3ABF">
        <w:rPr>
          <w:rFonts w:cs="Arial"/>
          <w:color w:val="000000" w:themeColor="text1"/>
        </w:rPr>
        <w:t>vigencia</w:t>
      </w:r>
      <w:r w:rsidR="009A3ABF" w:rsidRPr="002172F5">
        <w:rPr>
          <w:rFonts w:cs="Arial"/>
          <w:color w:val="000000" w:themeColor="text1"/>
        </w:rPr>
        <w:t xml:space="preserve"> y efecto, en cuanto no se opongan a lo establecido en la presente resolución.</w:t>
      </w:r>
    </w:p>
    <w:p w:rsidR="007D64D6" w:rsidRDefault="007D64D6" w:rsidP="001F589E"/>
    <w:p w:rsidR="00644033" w:rsidRDefault="00644033" w:rsidP="001F589E"/>
    <w:p w:rsidR="00EC72E7" w:rsidRPr="004B0C9A" w:rsidRDefault="00EC72E7" w:rsidP="00EC72E7">
      <w:pPr>
        <w:autoSpaceDE w:val="0"/>
        <w:autoSpaceDN w:val="0"/>
        <w:adjustRightInd w:val="0"/>
        <w:spacing w:line="0" w:lineRule="atLeast"/>
        <w:rPr>
          <w:rFonts w:cs="Arial"/>
        </w:rPr>
      </w:pPr>
      <w:r w:rsidRPr="004B0C9A">
        <w:rPr>
          <w:rFonts w:cs="Arial"/>
        </w:rPr>
        <w:t xml:space="preserve">Dada en Bogotá D.C., </w:t>
      </w:r>
      <w:r>
        <w:rPr>
          <w:rFonts w:cs="Arial"/>
        </w:rPr>
        <w:t xml:space="preserve">a los </w:t>
      </w:r>
      <w:r w:rsidR="009A3ABF">
        <w:rPr>
          <w:rFonts w:cs="Arial"/>
        </w:rPr>
        <w:t xml:space="preserve">_______ </w:t>
      </w:r>
      <w:r>
        <w:rPr>
          <w:rFonts w:cs="Arial"/>
        </w:rPr>
        <w:t>(</w:t>
      </w:r>
      <w:r w:rsidR="009A3ABF">
        <w:rPr>
          <w:rFonts w:cs="Arial"/>
        </w:rPr>
        <w:t>__</w:t>
      </w:r>
      <w:r>
        <w:rPr>
          <w:rFonts w:cs="Arial"/>
        </w:rPr>
        <w:t xml:space="preserve">) días del mes de </w:t>
      </w:r>
      <w:r w:rsidR="009A3ABF">
        <w:rPr>
          <w:rFonts w:cs="Arial"/>
        </w:rPr>
        <w:t xml:space="preserve">_______ </w:t>
      </w:r>
      <w:r>
        <w:rPr>
          <w:rFonts w:cs="Arial"/>
        </w:rPr>
        <w:t xml:space="preserve">de dos mil </w:t>
      </w:r>
      <w:r w:rsidR="009A3ABF">
        <w:rPr>
          <w:rFonts w:cs="Arial"/>
        </w:rPr>
        <w:t>diecinueve (2019)</w:t>
      </w:r>
      <w:r>
        <w:rPr>
          <w:rFonts w:cs="Arial"/>
        </w:rPr>
        <w:t>.</w:t>
      </w:r>
    </w:p>
    <w:p w:rsidR="007D64D6" w:rsidRDefault="007D64D6" w:rsidP="001F589E"/>
    <w:p w:rsidR="007D64D6" w:rsidRDefault="007D64D6" w:rsidP="001F589E"/>
    <w:p w:rsidR="00F376EF" w:rsidRDefault="00F376EF" w:rsidP="001F589E"/>
    <w:p w:rsidR="00F376EF" w:rsidRDefault="00F376EF" w:rsidP="001F589E"/>
    <w:p w:rsidR="007D64D6" w:rsidRDefault="007D64D6" w:rsidP="001F589E"/>
    <w:p w:rsidR="00B04271" w:rsidRPr="000F2C8E" w:rsidRDefault="00B04271" w:rsidP="00B04271">
      <w:pPr>
        <w:spacing w:line="0" w:lineRule="atLeast"/>
        <w:rPr>
          <w:rFonts w:cs="Arial"/>
          <w:b/>
          <w:color w:val="000000" w:themeColor="text1"/>
        </w:rPr>
      </w:pPr>
      <w:r w:rsidRPr="000F2C8E">
        <w:rPr>
          <w:rFonts w:cs="Arial"/>
          <w:b/>
          <w:color w:val="000000" w:themeColor="text1"/>
        </w:rPr>
        <w:t>ANDRÉS VALENCIA</w:t>
      </w:r>
      <w:r w:rsidR="00CC14D2">
        <w:rPr>
          <w:rFonts w:cs="Arial"/>
          <w:b/>
          <w:color w:val="000000" w:themeColor="text1"/>
        </w:rPr>
        <w:t xml:space="preserve"> </w:t>
      </w:r>
      <w:r w:rsidRPr="000F2C8E">
        <w:rPr>
          <w:rFonts w:cs="Arial"/>
          <w:b/>
          <w:color w:val="000000" w:themeColor="text1"/>
        </w:rPr>
        <w:t>PINZÓN</w:t>
      </w:r>
      <w:r w:rsidRPr="005A29AB">
        <w:rPr>
          <w:rFonts w:cs="Arial"/>
          <w:color w:val="000000" w:themeColor="text1"/>
        </w:rPr>
        <w:tab/>
      </w:r>
      <w:r w:rsidRPr="005A29AB">
        <w:rPr>
          <w:rFonts w:cs="Arial"/>
          <w:color w:val="000000" w:themeColor="text1"/>
        </w:rPr>
        <w:tab/>
      </w:r>
      <w:r w:rsidRPr="005A29AB">
        <w:rPr>
          <w:rFonts w:cs="Arial"/>
          <w:color w:val="000000" w:themeColor="text1"/>
        </w:rPr>
        <w:tab/>
      </w:r>
      <w:r w:rsidRPr="000F2C8E">
        <w:rPr>
          <w:rFonts w:cs="Arial"/>
          <w:b/>
          <w:color w:val="000000" w:themeColor="text1"/>
        </w:rPr>
        <w:t>CLAUDIA ACOSTA ECHEVERRÍA</w:t>
      </w:r>
    </w:p>
    <w:p w:rsidR="00BA30EC" w:rsidRDefault="00B04271" w:rsidP="009F06A0">
      <w:pPr>
        <w:spacing w:line="0" w:lineRule="atLeast"/>
        <w:ind w:firstLine="708"/>
      </w:pPr>
      <w:r>
        <w:rPr>
          <w:rFonts w:cs="Arial"/>
          <w:color w:val="000000" w:themeColor="text1"/>
        </w:rPr>
        <w:t>Presidente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Secretaria Técnica</w:t>
      </w:r>
      <w:r w:rsidRPr="005A29AB">
        <w:rPr>
          <w:rFonts w:cs="Arial"/>
          <w:color w:val="000000" w:themeColor="text1"/>
        </w:rPr>
        <w:t xml:space="preserve"> (</w:t>
      </w:r>
      <w:r>
        <w:rPr>
          <w:rFonts w:cs="Arial"/>
          <w:color w:val="000000" w:themeColor="text1"/>
        </w:rPr>
        <w:t>E</w:t>
      </w:r>
      <w:r w:rsidRPr="005A29AB">
        <w:rPr>
          <w:rFonts w:cs="Arial"/>
          <w:color w:val="000000" w:themeColor="text1"/>
        </w:rPr>
        <w:t>)</w:t>
      </w:r>
      <w:r w:rsidRPr="00C81D08">
        <w:rPr>
          <w:rFonts w:cs="Arial"/>
          <w:color w:val="000000" w:themeColor="text1"/>
        </w:rPr>
        <w:t xml:space="preserve"> </w:t>
      </w:r>
    </w:p>
    <w:sectPr w:rsidR="00BA30E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15" w:rsidRDefault="004C7015" w:rsidP="009F06A0">
      <w:r>
        <w:separator/>
      </w:r>
    </w:p>
  </w:endnote>
  <w:endnote w:type="continuationSeparator" w:id="0">
    <w:p w:rsidR="004C7015" w:rsidRDefault="004C7015" w:rsidP="009F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95370011"/>
      <w:docPartObj>
        <w:docPartGallery w:val="Page Numbers (Bottom of Page)"/>
        <w:docPartUnique/>
      </w:docPartObj>
    </w:sdtPr>
    <w:sdtEndPr/>
    <w:sdtContent>
      <w:p w:rsidR="009F06A0" w:rsidRPr="009F06A0" w:rsidRDefault="009F06A0">
        <w:pPr>
          <w:pStyle w:val="Piedepgina"/>
          <w:jc w:val="right"/>
          <w:rPr>
            <w:sz w:val="18"/>
            <w:szCs w:val="18"/>
          </w:rPr>
        </w:pPr>
        <w:r w:rsidRPr="009F06A0">
          <w:rPr>
            <w:sz w:val="18"/>
            <w:szCs w:val="18"/>
          </w:rPr>
          <w:fldChar w:fldCharType="begin"/>
        </w:r>
        <w:r w:rsidRPr="009F06A0">
          <w:rPr>
            <w:sz w:val="18"/>
            <w:szCs w:val="18"/>
          </w:rPr>
          <w:instrText>PAGE   \* MERGEFORMAT</w:instrText>
        </w:r>
        <w:r w:rsidRPr="009F06A0">
          <w:rPr>
            <w:sz w:val="18"/>
            <w:szCs w:val="18"/>
          </w:rPr>
          <w:fldChar w:fldCharType="separate"/>
        </w:r>
        <w:r w:rsidR="002955C2" w:rsidRPr="002955C2">
          <w:rPr>
            <w:noProof/>
            <w:sz w:val="18"/>
            <w:szCs w:val="18"/>
            <w:lang w:val="es-ES"/>
          </w:rPr>
          <w:t>1</w:t>
        </w:r>
        <w:r w:rsidRPr="009F06A0">
          <w:rPr>
            <w:sz w:val="18"/>
            <w:szCs w:val="18"/>
          </w:rPr>
          <w:fldChar w:fldCharType="end"/>
        </w:r>
      </w:p>
    </w:sdtContent>
  </w:sdt>
  <w:p w:rsidR="009F06A0" w:rsidRDefault="009F0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15" w:rsidRDefault="004C7015" w:rsidP="009F06A0">
      <w:r>
        <w:separator/>
      </w:r>
    </w:p>
  </w:footnote>
  <w:footnote w:type="continuationSeparator" w:id="0">
    <w:p w:rsidR="004C7015" w:rsidRDefault="004C7015" w:rsidP="009F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811"/>
    <w:multiLevelType w:val="hybridMultilevel"/>
    <w:tmpl w:val="D31668D0"/>
    <w:lvl w:ilvl="0" w:tplc="F06883E8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FE44D2"/>
    <w:multiLevelType w:val="multilevel"/>
    <w:tmpl w:val="C91AA5B6"/>
    <w:lvl w:ilvl="0">
      <w:start w:val="7"/>
      <w:numFmt w:val="decimal"/>
      <w:lvlText w:val="%1."/>
      <w:lvlJc w:val="left"/>
      <w:pPr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5BD77EFE"/>
    <w:multiLevelType w:val="multilevel"/>
    <w:tmpl w:val="35DEE758"/>
    <w:lvl w:ilvl="0">
      <w:start w:val="7"/>
      <w:numFmt w:val="decimal"/>
      <w:lvlText w:val="%1"/>
      <w:lvlJc w:val="left"/>
      <w:pPr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5" w:hanging="4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1E30AC0"/>
    <w:multiLevelType w:val="hybridMultilevel"/>
    <w:tmpl w:val="26F6F574"/>
    <w:lvl w:ilvl="0" w:tplc="57189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6"/>
    <w:rsid w:val="000036F5"/>
    <w:rsid w:val="00010920"/>
    <w:rsid w:val="000176C3"/>
    <w:rsid w:val="00045B02"/>
    <w:rsid w:val="00047CD5"/>
    <w:rsid w:val="00076C4E"/>
    <w:rsid w:val="000A1E36"/>
    <w:rsid w:val="000C67ED"/>
    <w:rsid w:val="000E42DE"/>
    <w:rsid w:val="000F2C8E"/>
    <w:rsid w:val="0014404F"/>
    <w:rsid w:val="00153F7E"/>
    <w:rsid w:val="001663F5"/>
    <w:rsid w:val="00166CDD"/>
    <w:rsid w:val="0019080A"/>
    <w:rsid w:val="00195C5D"/>
    <w:rsid w:val="001B221C"/>
    <w:rsid w:val="001C56A9"/>
    <w:rsid w:val="001F0477"/>
    <w:rsid w:val="001F1835"/>
    <w:rsid w:val="001F589E"/>
    <w:rsid w:val="00247298"/>
    <w:rsid w:val="00253D2B"/>
    <w:rsid w:val="00256B27"/>
    <w:rsid w:val="00261FD5"/>
    <w:rsid w:val="002628E8"/>
    <w:rsid w:val="00262F15"/>
    <w:rsid w:val="00265640"/>
    <w:rsid w:val="00267944"/>
    <w:rsid w:val="00272948"/>
    <w:rsid w:val="002955C2"/>
    <w:rsid w:val="002B5045"/>
    <w:rsid w:val="002C1756"/>
    <w:rsid w:val="002D1002"/>
    <w:rsid w:val="003119E0"/>
    <w:rsid w:val="00317676"/>
    <w:rsid w:val="0032051E"/>
    <w:rsid w:val="00350898"/>
    <w:rsid w:val="00374ECD"/>
    <w:rsid w:val="00380141"/>
    <w:rsid w:val="003A09B0"/>
    <w:rsid w:val="003C5DB4"/>
    <w:rsid w:val="003E64B6"/>
    <w:rsid w:val="00415BE8"/>
    <w:rsid w:val="004210D3"/>
    <w:rsid w:val="00421429"/>
    <w:rsid w:val="0043159E"/>
    <w:rsid w:val="004840D8"/>
    <w:rsid w:val="004B0441"/>
    <w:rsid w:val="004B16AC"/>
    <w:rsid w:val="004C7015"/>
    <w:rsid w:val="004C7AB6"/>
    <w:rsid w:val="004C7B17"/>
    <w:rsid w:val="004D21EC"/>
    <w:rsid w:val="005144E9"/>
    <w:rsid w:val="005352D3"/>
    <w:rsid w:val="0053773D"/>
    <w:rsid w:val="00545A5F"/>
    <w:rsid w:val="005756ED"/>
    <w:rsid w:val="005823D4"/>
    <w:rsid w:val="005A72E4"/>
    <w:rsid w:val="005C7EA5"/>
    <w:rsid w:val="005E31C8"/>
    <w:rsid w:val="005F6583"/>
    <w:rsid w:val="00626743"/>
    <w:rsid w:val="00644033"/>
    <w:rsid w:val="00661451"/>
    <w:rsid w:val="00664C0A"/>
    <w:rsid w:val="006B35C3"/>
    <w:rsid w:val="006E5F37"/>
    <w:rsid w:val="006F7286"/>
    <w:rsid w:val="00745525"/>
    <w:rsid w:val="007752B4"/>
    <w:rsid w:val="0079079D"/>
    <w:rsid w:val="007B1096"/>
    <w:rsid w:val="007C3881"/>
    <w:rsid w:val="007D64D6"/>
    <w:rsid w:val="007E63B3"/>
    <w:rsid w:val="007F1CD9"/>
    <w:rsid w:val="007F5543"/>
    <w:rsid w:val="008019F8"/>
    <w:rsid w:val="00811A8A"/>
    <w:rsid w:val="00860F0D"/>
    <w:rsid w:val="008678DA"/>
    <w:rsid w:val="00876684"/>
    <w:rsid w:val="00887FB2"/>
    <w:rsid w:val="008901A9"/>
    <w:rsid w:val="008902A7"/>
    <w:rsid w:val="008A35B0"/>
    <w:rsid w:val="008B365C"/>
    <w:rsid w:val="008B6B2A"/>
    <w:rsid w:val="008D221A"/>
    <w:rsid w:val="008E2600"/>
    <w:rsid w:val="008E71ED"/>
    <w:rsid w:val="008F289E"/>
    <w:rsid w:val="008F6980"/>
    <w:rsid w:val="009074D8"/>
    <w:rsid w:val="00911687"/>
    <w:rsid w:val="00940B4A"/>
    <w:rsid w:val="00966C83"/>
    <w:rsid w:val="009A3ABF"/>
    <w:rsid w:val="009A4702"/>
    <w:rsid w:val="009F06A0"/>
    <w:rsid w:val="009F40B1"/>
    <w:rsid w:val="00A27ADB"/>
    <w:rsid w:val="00A6689A"/>
    <w:rsid w:val="00A870B0"/>
    <w:rsid w:val="00A92330"/>
    <w:rsid w:val="00A95DFE"/>
    <w:rsid w:val="00AA3610"/>
    <w:rsid w:val="00AC063C"/>
    <w:rsid w:val="00AC13D4"/>
    <w:rsid w:val="00AD25A1"/>
    <w:rsid w:val="00AD4190"/>
    <w:rsid w:val="00AD6B4B"/>
    <w:rsid w:val="00AE44C4"/>
    <w:rsid w:val="00AF06C1"/>
    <w:rsid w:val="00AF4302"/>
    <w:rsid w:val="00B04271"/>
    <w:rsid w:val="00B14D75"/>
    <w:rsid w:val="00B17F78"/>
    <w:rsid w:val="00B40B43"/>
    <w:rsid w:val="00BA30EC"/>
    <w:rsid w:val="00BB3E4A"/>
    <w:rsid w:val="00BB4585"/>
    <w:rsid w:val="00BC5D0B"/>
    <w:rsid w:val="00BD2F24"/>
    <w:rsid w:val="00BF0420"/>
    <w:rsid w:val="00C326AF"/>
    <w:rsid w:val="00C370D9"/>
    <w:rsid w:val="00C375C9"/>
    <w:rsid w:val="00C45DAE"/>
    <w:rsid w:val="00C551AE"/>
    <w:rsid w:val="00C57DB7"/>
    <w:rsid w:val="00C60626"/>
    <w:rsid w:val="00C855A7"/>
    <w:rsid w:val="00C90277"/>
    <w:rsid w:val="00CA042F"/>
    <w:rsid w:val="00CA0759"/>
    <w:rsid w:val="00CB4A9B"/>
    <w:rsid w:val="00CC14D2"/>
    <w:rsid w:val="00CD322A"/>
    <w:rsid w:val="00D055C3"/>
    <w:rsid w:val="00D21636"/>
    <w:rsid w:val="00D44A6D"/>
    <w:rsid w:val="00DB722D"/>
    <w:rsid w:val="00DD6835"/>
    <w:rsid w:val="00DF1AB3"/>
    <w:rsid w:val="00DF34FE"/>
    <w:rsid w:val="00E03A8A"/>
    <w:rsid w:val="00E04D58"/>
    <w:rsid w:val="00E23801"/>
    <w:rsid w:val="00E3693C"/>
    <w:rsid w:val="00E5690E"/>
    <w:rsid w:val="00E6147E"/>
    <w:rsid w:val="00E71FB9"/>
    <w:rsid w:val="00E93A4C"/>
    <w:rsid w:val="00E97D22"/>
    <w:rsid w:val="00EB1E33"/>
    <w:rsid w:val="00EB7E97"/>
    <w:rsid w:val="00EC2235"/>
    <w:rsid w:val="00EC72E7"/>
    <w:rsid w:val="00ED50C5"/>
    <w:rsid w:val="00F03CA6"/>
    <w:rsid w:val="00F04553"/>
    <w:rsid w:val="00F07C54"/>
    <w:rsid w:val="00F1795D"/>
    <w:rsid w:val="00F314DE"/>
    <w:rsid w:val="00F376EF"/>
    <w:rsid w:val="00F5402B"/>
    <w:rsid w:val="00F54B6E"/>
    <w:rsid w:val="00F609AF"/>
    <w:rsid w:val="00F61C22"/>
    <w:rsid w:val="00F816D6"/>
    <w:rsid w:val="00F840E5"/>
    <w:rsid w:val="00F845A0"/>
    <w:rsid w:val="00F90C04"/>
    <w:rsid w:val="00FA6140"/>
    <w:rsid w:val="00FB575B"/>
    <w:rsid w:val="00FC3122"/>
    <w:rsid w:val="00FC656D"/>
    <w:rsid w:val="00FC706D"/>
    <w:rsid w:val="00FD5D60"/>
    <w:rsid w:val="00FE4261"/>
    <w:rsid w:val="00FF2EF7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7CD9-67E5-4E27-8F23-381EA0ED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D3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4702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2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261"/>
    <w:rPr>
      <w:rFonts w:ascii="Segoe UI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3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31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31C8"/>
    <w:rPr>
      <w:rFonts w:ascii="Arial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3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31C8"/>
    <w:rPr>
      <w:rFonts w:ascii="Arial" w:hAnsi="Arial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06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6A0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0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A0"/>
    <w:rPr>
      <w:rFonts w:ascii="Arial" w:hAnsi="Arial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7795-26C0-437C-B4AE-C970328D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Benitez Lozano</dc:creator>
  <cp:keywords/>
  <dc:description/>
  <cp:lastModifiedBy>Gloria Patricia Suarez Aguirre</cp:lastModifiedBy>
  <cp:revision>2</cp:revision>
  <cp:lastPrinted>2019-04-26T16:03:00Z</cp:lastPrinted>
  <dcterms:created xsi:type="dcterms:W3CDTF">2019-04-29T15:49:00Z</dcterms:created>
  <dcterms:modified xsi:type="dcterms:W3CDTF">2019-04-29T15:49:00Z</dcterms:modified>
</cp:coreProperties>
</file>