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C1" w:rsidRPr="00363BAA" w:rsidRDefault="00E90D1E" w:rsidP="00363BAA">
      <w:pPr>
        <w:jc w:val="center"/>
        <w:rPr>
          <w:rFonts w:ascii="Arial" w:hAnsi="Arial" w:cs="Arial"/>
          <w:b/>
          <w:sz w:val="22"/>
          <w:szCs w:val="22"/>
        </w:rPr>
      </w:pPr>
      <w:r w:rsidRPr="003F6C7D">
        <w:rPr>
          <w:rFonts w:ascii="Arial" w:hAnsi="Arial" w:cs="Arial"/>
          <w:sz w:val="22"/>
          <w:szCs w:val="22"/>
        </w:rPr>
        <w:tab/>
      </w:r>
      <w:r w:rsidRPr="00363BAA">
        <w:rPr>
          <w:rFonts w:ascii="Arial" w:hAnsi="Arial" w:cs="Arial"/>
          <w:b/>
          <w:sz w:val="22"/>
          <w:szCs w:val="22"/>
        </w:rPr>
        <w:t>REPUBLICA DE COLOMBIA</w:t>
      </w:r>
    </w:p>
    <w:p w:rsidR="00E90D1E" w:rsidRPr="00363BAA" w:rsidRDefault="00E90D1E" w:rsidP="00363BAA">
      <w:pPr>
        <w:jc w:val="center"/>
        <w:rPr>
          <w:rFonts w:ascii="Arial" w:hAnsi="Arial" w:cs="Arial"/>
          <w:b/>
          <w:sz w:val="22"/>
          <w:szCs w:val="22"/>
        </w:rPr>
      </w:pPr>
    </w:p>
    <w:p w:rsidR="00E90D1E" w:rsidRPr="00363BAA" w:rsidRDefault="00E90D1E" w:rsidP="00363BAA">
      <w:pPr>
        <w:jc w:val="center"/>
        <w:rPr>
          <w:rFonts w:ascii="Arial" w:hAnsi="Arial" w:cs="Arial"/>
          <w:b/>
          <w:sz w:val="22"/>
          <w:szCs w:val="22"/>
        </w:rPr>
      </w:pPr>
      <w:r w:rsidRPr="00363BAA">
        <w:rPr>
          <w:rFonts w:ascii="Arial" w:hAnsi="Arial" w:cs="Arial"/>
          <w:b/>
          <w:sz w:val="22"/>
          <w:szCs w:val="22"/>
        </w:rPr>
        <w:t>COMISIÓN NACIONAL DE CRÉDITO AGROPECUARIO</w:t>
      </w:r>
    </w:p>
    <w:p w:rsidR="00E90D1E" w:rsidRPr="00363BAA" w:rsidRDefault="00E90D1E" w:rsidP="00363BAA">
      <w:pPr>
        <w:jc w:val="center"/>
        <w:rPr>
          <w:rFonts w:ascii="Arial" w:hAnsi="Arial" w:cs="Arial"/>
          <w:b/>
          <w:sz w:val="22"/>
          <w:szCs w:val="22"/>
        </w:rPr>
      </w:pPr>
    </w:p>
    <w:p w:rsidR="00E90D1E" w:rsidRPr="00363BAA" w:rsidRDefault="00E90D1E" w:rsidP="00363BAA">
      <w:pPr>
        <w:jc w:val="center"/>
        <w:rPr>
          <w:rFonts w:ascii="Arial" w:hAnsi="Arial" w:cs="Arial"/>
          <w:b/>
          <w:sz w:val="22"/>
          <w:szCs w:val="22"/>
        </w:rPr>
      </w:pPr>
      <w:r w:rsidRPr="00363BAA">
        <w:rPr>
          <w:rFonts w:ascii="Arial" w:hAnsi="Arial" w:cs="Arial"/>
          <w:b/>
          <w:sz w:val="22"/>
          <w:szCs w:val="22"/>
        </w:rPr>
        <w:t>RESOLUCIÓN No. ____ DE 2019</w:t>
      </w:r>
    </w:p>
    <w:p w:rsidR="00E90D1E" w:rsidRPr="00363BAA" w:rsidRDefault="00E90D1E" w:rsidP="00363BAA">
      <w:pPr>
        <w:jc w:val="center"/>
        <w:rPr>
          <w:rFonts w:ascii="Arial" w:hAnsi="Arial" w:cs="Arial"/>
          <w:b/>
          <w:sz w:val="22"/>
          <w:szCs w:val="22"/>
        </w:rPr>
      </w:pPr>
    </w:p>
    <w:p w:rsidR="00E90D1E" w:rsidRPr="00363BAA" w:rsidRDefault="00E90D1E" w:rsidP="00363BAA">
      <w:pPr>
        <w:jc w:val="center"/>
        <w:rPr>
          <w:rFonts w:ascii="Arial" w:hAnsi="Arial" w:cs="Arial"/>
          <w:b/>
          <w:sz w:val="22"/>
          <w:szCs w:val="22"/>
        </w:rPr>
      </w:pPr>
      <w:r w:rsidRPr="00363BAA">
        <w:rPr>
          <w:rFonts w:ascii="Arial" w:hAnsi="Arial" w:cs="Arial"/>
          <w:b/>
          <w:sz w:val="22"/>
          <w:szCs w:val="22"/>
        </w:rPr>
        <w:t>(</w:t>
      </w:r>
      <w:proofErr w:type="gramStart"/>
      <w:r w:rsidR="002322D8" w:rsidRPr="00363BAA">
        <w:rPr>
          <w:rFonts w:ascii="Arial" w:hAnsi="Arial" w:cs="Arial"/>
          <w:b/>
          <w:sz w:val="22"/>
          <w:szCs w:val="22"/>
        </w:rPr>
        <w:t>Junio</w:t>
      </w:r>
      <w:proofErr w:type="gramEnd"/>
      <w:r w:rsidRPr="00363BAA">
        <w:rPr>
          <w:rFonts w:ascii="Arial" w:hAnsi="Arial" w:cs="Arial"/>
          <w:b/>
          <w:sz w:val="22"/>
          <w:szCs w:val="22"/>
        </w:rPr>
        <w:t xml:space="preserve"> </w:t>
      </w:r>
      <w:r w:rsidR="00782E24">
        <w:rPr>
          <w:rFonts w:ascii="Arial" w:hAnsi="Arial" w:cs="Arial"/>
          <w:b/>
          <w:sz w:val="22"/>
          <w:szCs w:val="22"/>
        </w:rPr>
        <w:t>11</w:t>
      </w:r>
      <w:r w:rsidRPr="00363BAA">
        <w:rPr>
          <w:rFonts w:ascii="Arial" w:hAnsi="Arial" w:cs="Arial"/>
          <w:b/>
          <w:sz w:val="22"/>
          <w:szCs w:val="22"/>
        </w:rPr>
        <w:t>)</w:t>
      </w:r>
    </w:p>
    <w:p w:rsidR="00E90D1E" w:rsidRPr="00363BAA" w:rsidRDefault="00E90D1E" w:rsidP="00363BAA">
      <w:pPr>
        <w:jc w:val="center"/>
        <w:rPr>
          <w:rFonts w:ascii="Arial" w:hAnsi="Arial" w:cs="Arial"/>
          <w:b/>
          <w:sz w:val="22"/>
          <w:szCs w:val="22"/>
        </w:rPr>
      </w:pPr>
    </w:p>
    <w:p w:rsidR="00E90D1E" w:rsidRPr="00363BAA" w:rsidRDefault="00E90D1E" w:rsidP="00363BAA">
      <w:pPr>
        <w:jc w:val="center"/>
        <w:rPr>
          <w:rFonts w:ascii="Arial" w:hAnsi="Arial" w:cs="Arial"/>
          <w:sz w:val="22"/>
          <w:szCs w:val="22"/>
        </w:rPr>
      </w:pPr>
    </w:p>
    <w:p w:rsidR="00E90D1E" w:rsidRPr="00363BAA" w:rsidRDefault="006D7B0D" w:rsidP="00363BAA">
      <w:pPr>
        <w:jc w:val="center"/>
        <w:rPr>
          <w:rFonts w:ascii="Arial" w:hAnsi="Arial" w:cs="Arial"/>
          <w:b/>
          <w:sz w:val="22"/>
          <w:szCs w:val="22"/>
        </w:rPr>
      </w:pPr>
      <w:r>
        <w:rPr>
          <w:rFonts w:ascii="Arial" w:hAnsi="Arial" w:cs="Arial"/>
          <w:sz w:val="22"/>
          <w:szCs w:val="22"/>
        </w:rPr>
        <w:t>“</w:t>
      </w:r>
      <w:r w:rsidR="00E90D1E" w:rsidRPr="00363BAA">
        <w:rPr>
          <w:rFonts w:ascii="Arial" w:hAnsi="Arial" w:cs="Arial"/>
          <w:sz w:val="22"/>
          <w:szCs w:val="22"/>
        </w:rPr>
        <w:t xml:space="preserve">Por la cual se </w:t>
      </w:r>
      <w:r w:rsidR="00413A85" w:rsidRPr="00363BAA">
        <w:rPr>
          <w:rFonts w:ascii="Arial" w:hAnsi="Arial" w:cs="Arial"/>
          <w:sz w:val="22"/>
          <w:szCs w:val="22"/>
        </w:rPr>
        <w:t>modifican las Resoluciones No. 2 de 2016 y No. 10 de 2018</w:t>
      </w:r>
      <w:r>
        <w:rPr>
          <w:rFonts w:ascii="Arial" w:hAnsi="Arial" w:cs="Arial"/>
          <w:sz w:val="22"/>
          <w:szCs w:val="22"/>
        </w:rPr>
        <w:t>”</w:t>
      </w:r>
      <w:bookmarkStart w:id="0" w:name="_GoBack"/>
      <w:bookmarkEnd w:id="0"/>
    </w:p>
    <w:p w:rsidR="00E90D1E" w:rsidRPr="00363BAA" w:rsidRDefault="00E90D1E" w:rsidP="00363BAA">
      <w:pPr>
        <w:jc w:val="center"/>
        <w:rPr>
          <w:rFonts w:ascii="Arial" w:hAnsi="Arial" w:cs="Arial"/>
          <w:sz w:val="22"/>
          <w:szCs w:val="22"/>
        </w:rPr>
      </w:pPr>
    </w:p>
    <w:p w:rsidR="00D353C1" w:rsidRPr="00363BAA" w:rsidRDefault="00D353C1" w:rsidP="00363BAA">
      <w:pPr>
        <w:jc w:val="both"/>
        <w:rPr>
          <w:rFonts w:ascii="Arial" w:hAnsi="Arial" w:cs="Arial"/>
          <w:sz w:val="22"/>
          <w:szCs w:val="22"/>
        </w:rPr>
      </w:pPr>
    </w:p>
    <w:p w:rsidR="00D353C1" w:rsidRPr="00363BAA" w:rsidRDefault="00E90D1E" w:rsidP="00363BAA">
      <w:pPr>
        <w:jc w:val="center"/>
        <w:rPr>
          <w:rFonts w:ascii="Arial" w:hAnsi="Arial" w:cs="Arial"/>
          <w:b/>
          <w:sz w:val="22"/>
          <w:szCs w:val="22"/>
        </w:rPr>
      </w:pPr>
      <w:r w:rsidRPr="00363BAA">
        <w:rPr>
          <w:rFonts w:ascii="Arial" w:hAnsi="Arial" w:cs="Arial"/>
          <w:b/>
          <w:sz w:val="22"/>
          <w:szCs w:val="22"/>
        </w:rPr>
        <w:t>LA COMISIÓN NACIONAL DE CRÉDITO AGROPECUARIO</w:t>
      </w:r>
    </w:p>
    <w:p w:rsidR="00E90D1E" w:rsidRPr="00363BAA" w:rsidRDefault="00E90D1E" w:rsidP="00363BAA">
      <w:pPr>
        <w:jc w:val="center"/>
        <w:rPr>
          <w:rFonts w:ascii="Arial" w:hAnsi="Arial" w:cs="Arial"/>
          <w:b/>
          <w:sz w:val="22"/>
          <w:szCs w:val="22"/>
        </w:rPr>
      </w:pPr>
    </w:p>
    <w:p w:rsidR="00E90D1E" w:rsidRPr="00363BAA" w:rsidRDefault="00E90D1E" w:rsidP="00363BAA">
      <w:pPr>
        <w:jc w:val="both"/>
        <w:rPr>
          <w:rFonts w:ascii="Arial" w:hAnsi="Arial" w:cs="Arial"/>
          <w:sz w:val="22"/>
          <w:szCs w:val="22"/>
        </w:rPr>
      </w:pPr>
      <w:r w:rsidRPr="00363BAA">
        <w:rPr>
          <w:rFonts w:ascii="Arial" w:hAnsi="Arial" w:cs="Arial"/>
          <w:sz w:val="22"/>
          <w:szCs w:val="22"/>
        </w:rPr>
        <w:t>En ejercicio de las facultades conferidas por los artículos 218 y 2</w:t>
      </w:r>
      <w:r w:rsidR="009B31C7" w:rsidRPr="00363BAA">
        <w:rPr>
          <w:rFonts w:ascii="Arial" w:hAnsi="Arial" w:cs="Arial"/>
          <w:sz w:val="22"/>
          <w:szCs w:val="22"/>
        </w:rPr>
        <w:t>31</w:t>
      </w:r>
      <w:r w:rsidRPr="00363BAA">
        <w:rPr>
          <w:rFonts w:ascii="Arial" w:hAnsi="Arial" w:cs="Arial"/>
          <w:sz w:val="22"/>
          <w:szCs w:val="22"/>
        </w:rPr>
        <w:t xml:space="preserve"> del Estatuto Orgánico del Sistema Financiero, las</w:t>
      </w:r>
      <w:r w:rsidR="0013005B">
        <w:rPr>
          <w:rFonts w:ascii="Arial" w:hAnsi="Arial" w:cs="Arial"/>
          <w:sz w:val="22"/>
          <w:szCs w:val="22"/>
        </w:rPr>
        <w:t xml:space="preserve"> Leyes 16 de 1990, 69 y 101 de 1993,</w:t>
      </w:r>
      <w:r w:rsidRPr="00363BAA">
        <w:rPr>
          <w:rFonts w:ascii="Arial" w:hAnsi="Arial" w:cs="Arial"/>
          <w:sz w:val="22"/>
          <w:szCs w:val="22"/>
        </w:rPr>
        <w:t xml:space="preserve">1731 de 2014, el Decreto Ley 2371 de 2015 y los Decretos 1313 de 1990 </w:t>
      </w:r>
      <w:r w:rsidR="0013005B">
        <w:rPr>
          <w:rFonts w:ascii="Arial" w:hAnsi="Arial" w:cs="Arial"/>
          <w:sz w:val="22"/>
          <w:szCs w:val="22"/>
        </w:rPr>
        <w:t xml:space="preserve">y </w:t>
      </w:r>
      <w:r w:rsidRPr="00363BAA">
        <w:rPr>
          <w:rFonts w:ascii="Arial" w:hAnsi="Arial" w:cs="Arial"/>
          <w:sz w:val="22"/>
          <w:szCs w:val="22"/>
        </w:rPr>
        <w:t>1071 de 2015, y</w:t>
      </w:r>
    </w:p>
    <w:p w:rsidR="00E90D1E" w:rsidRPr="00363BAA" w:rsidRDefault="00E90D1E" w:rsidP="00363BAA">
      <w:pPr>
        <w:jc w:val="both"/>
        <w:rPr>
          <w:rFonts w:ascii="Arial" w:hAnsi="Arial" w:cs="Arial"/>
          <w:sz w:val="22"/>
          <w:szCs w:val="22"/>
        </w:rPr>
      </w:pPr>
    </w:p>
    <w:p w:rsidR="00E90D1E" w:rsidRPr="00363BAA" w:rsidRDefault="00E90D1E" w:rsidP="00363BAA">
      <w:pPr>
        <w:jc w:val="center"/>
        <w:rPr>
          <w:rFonts w:ascii="Arial" w:hAnsi="Arial" w:cs="Arial"/>
          <w:b/>
          <w:sz w:val="22"/>
          <w:szCs w:val="22"/>
        </w:rPr>
      </w:pPr>
      <w:r w:rsidRPr="00363BAA">
        <w:rPr>
          <w:rFonts w:ascii="Arial" w:hAnsi="Arial" w:cs="Arial"/>
          <w:b/>
          <w:sz w:val="22"/>
          <w:szCs w:val="22"/>
        </w:rPr>
        <w:t>CONSIDERANDO</w:t>
      </w:r>
    </w:p>
    <w:p w:rsidR="006E4B69" w:rsidRPr="00363BAA" w:rsidRDefault="006E4B69" w:rsidP="00363BAA">
      <w:pPr>
        <w:jc w:val="both"/>
        <w:rPr>
          <w:rFonts w:ascii="Arial" w:hAnsi="Arial" w:cs="Arial"/>
          <w:b/>
          <w:sz w:val="22"/>
          <w:szCs w:val="22"/>
        </w:rPr>
      </w:pPr>
    </w:p>
    <w:p w:rsidR="00E36919" w:rsidRPr="00363BAA" w:rsidRDefault="00E36919" w:rsidP="00363BAA">
      <w:pPr>
        <w:jc w:val="both"/>
        <w:rPr>
          <w:rFonts w:ascii="Arial" w:hAnsi="Arial" w:cs="Arial"/>
          <w:b/>
          <w:sz w:val="22"/>
          <w:szCs w:val="22"/>
        </w:rPr>
      </w:pPr>
    </w:p>
    <w:p w:rsidR="00E36919" w:rsidRPr="00363BAA" w:rsidRDefault="00E36919" w:rsidP="00363BAA">
      <w:pPr>
        <w:jc w:val="both"/>
        <w:rPr>
          <w:rFonts w:ascii="Arial" w:hAnsi="Arial" w:cs="Arial"/>
          <w:sz w:val="22"/>
          <w:szCs w:val="22"/>
        </w:rPr>
      </w:pPr>
      <w:r w:rsidRPr="00363BAA">
        <w:rPr>
          <w:rFonts w:ascii="Arial" w:hAnsi="Arial" w:cs="Arial"/>
          <w:b/>
          <w:sz w:val="22"/>
          <w:szCs w:val="22"/>
        </w:rPr>
        <w:t xml:space="preserve">Primero. </w:t>
      </w:r>
      <w:r w:rsidRPr="00363BAA">
        <w:rPr>
          <w:rFonts w:ascii="Arial" w:hAnsi="Arial" w:cs="Arial"/>
          <w:sz w:val="22"/>
          <w:szCs w:val="22"/>
        </w:rPr>
        <w:t>Que de acuerdo con lo dispuesto en los literales k</w:t>
      </w:r>
      <w:r w:rsidR="00323297">
        <w:rPr>
          <w:rFonts w:ascii="Arial" w:hAnsi="Arial" w:cs="Arial"/>
          <w:sz w:val="22"/>
          <w:szCs w:val="22"/>
        </w:rPr>
        <w:t>.</w:t>
      </w:r>
      <w:r w:rsidRPr="00363BAA">
        <w:rPr>
          <w:rFonts w:ascii="Arial" w:hAnsi="Arial" w:cs="Arial"/>
          <w:sz w:val="22"/>
          <w:szCs w:val="22"/>
        </w:rPr>
        <w:t xml:space="preserve"> y o</w:t>
      </w:r>
      <w:r w:rsidR="00323297">
        <w:rPr>
          <w:rFonts w:ascii="Arial" w:hAnsi="Arial" w:cs="Arial"/>
          <w:sz w:val="22"/>
          <w:szCs w:val="22"/>
        </w:rPr>
        <w:t>.</w:t>
      </w:r>
      <w:r w:rsidRPr="00363BAA">
        <w:rPr>
          <w:rFonts w:ascii="Arial" w:hAnsi="Arial" w:cs="Arial"/>
          <w:sz w:val="22"/>
          <w:szCs w:val="22"/>
        </w:rPr>
        <w:t xml:space="preserve">, numeral 2 del artículo 218 del Estatuto Orgánico del Sistema Financiero, que se refieren a las funciones que le corresponde ejercer a la Comisión Nacional de Crédito Agropecuario en su calidad de organismo rector del financiamiento y del manejo de riesgos del sector agropecuario, </w:t>
      </w:r>
      <w:r w:rsidR="00055E2F">
        <w:rPr>
          <w:rFonts w:ascii="Arial" w:hAnsi="Arial" w:cs="Arial"/>
          <w:sz w:val="22"/>
          <w:szCs w:val="22"/>
        </w:rPr>
        <w:t>ésta</w:t>
      </w:r>
      <w:r w:rsidR="005C7F56">
        <w:rPr>
          <w:rFonts w:ascii="Arial" w:hAnsi="Arial" w:cs="Arial"/>
          <w:sz w:val="22"/>
          <w:szCs w:val="22"/>
        </w:rPr>
        <w:t xml:space="preserve"> </w:t>
      </w:r>
      <w:r w:rsidRPr="00363BAA">
        <w:rPr>
          <w:rFonts w:ascii="Arial" w:hAnsi="Arial" w:cs="Arial"/>
          <w:sz w:val="22"/>
          <w:szCs w:val="22"/>
        </w:rPr>
        <w:t>podrá:</w:t>
      </w:r>
    </w:p>
    <w:p w:rsidR="00E36919" w:rsidRPr="00363BAA" w:rsidRDefault="00E36919" w:rsidP="00363BAA">
      <w:pPr>
        <w:jc w:val="both"/>
        <w:rPr>
          <w:rFonts w:ascii="Arial" w:hAnsi="Arial" w:cs="Arial"/>
          <w:sz w:val="22"/>
          <w:szCs w:val="22"/>
        </w:rPr>
      </w:pPr>
    </w:p>
    <w:p w:rsidR="00E36919" w:rsidRPr="00363BAA" w:rsidRDefault="00E36919" w:rsidP="00363BAA">
      <w:pPr>
        <w:jc w:val="both"/>
        <w:rPr>
          <w:rFonts w:ascii="Arial" w:hAnsi="Arial" w:cs="Arial"/>
          <w:i/>
          <w:sz w:val="22"/>
          <w:szCs w:val="22"/>
        </w:rPr>
      </w:pPr>
      <w:r w:rsidRPr="00363BAA">
        <w:rPr>
          <w:rFonts w:ascii="Arial" w:hAnsi="Arial" w:cs="Arial"/>
          <w:i/>
          <w:sz w:val="22"/>
          <w:szCs w:val="22"/>
        </w:rPr>
        <w:t>“(…)</w:t>
      </w:r>
    </w:p>
    <w:p w:rsidR="00E36919" w:rsidRPr="00363BAA" w:rsidRDefault="00E36919" w:rsidP="00363BAA">
      <w:pPr>
        <w:jc w:val="both"/>
        <w:rPr>
          <w:rFonts w:ascii="Arial" w:hAnsi="Arial" w:cs="Arial"/>
          <w:i/>
          <w:sz w:val="22"/>
          <w:szCs w:val="22"/>
        </w:rPr>
      </w:pPr>
    </w:p>
    <w:p w:rsidR="00E36919" w:rsidRPr="00363BAA" w:rsidRDefault="00E36919" w:rsidP="00363BAA">
      <w:pPr>
        <w:jc w:val="both"/>
        <w:rPr>
          <w:rFonts w:ascii="Arial" w:hAnsi="Arial" w:cs="Arial"/>
          <w:i/>
          <w:sz w:val="22"/>
          <w:szCs w:val="22"/>
        </w:rPr>
      </w:pPr>
      <w:r w:rsidRPr="00363BAA">
        <w:rPr>
          <w:rFonts w:ascii="Arial" w:hAnsi="Arial" w:cs="Arial"/>
          <w:i/>
          <w:sz w:val="22"/>
          <w:szCs w:val="22"/>
        </w:rPr>
        <w:t>k. Determinar el valor de las comisiones que se cobrarán a todos los usuarios de crédito, el monto máximo de las obligaciones a respaldar, las condiciones económicas de los beneficiarios y los demás aspectos que aseguren la operatividad del Fondo Agropecuario de Garantías.</w:t>
      </w:r>
    </w:p>
    <w:p w:rsidR="00E36919" w:rsidRPr="00363BAA" w:rsidRDefault="00E36919" w:rsidP="00363BAA">
      <w:pPr>
        <w:jc w:val="both"/>
        <w:rPr>
          <w:rFonts w:ascii="Arial" w:hAnsi="Arial" w:cs="Arial"/>
          <w:i/>
          <w:sz w:val="22"/>
          <w:szCs w:val="22"/>
        </w:rPr>
      </w:pPr>
    </w:p>
    <w:p w:rsidR="00E36919" w:rsidRPr="00363BAA" w:rsidRDefault="00E36919" w:rsidP="00363BAA">
      <w:pPr>
        <w:jc w:val="both"/>
        <w:rPr>
          <w:rFonts w:ascii="Arial" w:hAnsi="Arial" w:cs="Arial"/>
          <w:i/>
          <w:sz w:val="22"/>
          <w:szCs w:val="22"/>
        </w:rPr>
      </w:pPr>
      <w:r w:rsidRPr="00363BAA">
        <w:rPr>
          <w:rFonts w:ascii="Arial" w:hAnsi="Arial" w:cs="Arial"/>
          <w:i/>
          <w:sz w:val="22"/>
          <w:szCs w:val="22"/>
        </w:rPr>
        <w:t>(…)</w:t>
      </w:r>
    </w:p>
    <w:p w:rsidR="00E36919" w:rsidRPr="00363BAA" w:rsidRDefault="00E36919" w:rsidP="00363BAA">
      <w:pPr>
        <w:jc w:val="both"/>
        <w:rPr>
          <w:rFonts w:ascii="Arial" w:hAnsi="Arial" w:cs="Arial"/>
          <w:i/>
          <w:sz w:val="22"/>
          <w:szCs w:val="22"/>
        </w:rPr>
      </w:pPr>
    </w:p>
    <w:p w:rsidR="00971F2F" w:rsidRPr="00363BAA" w:rsidRDefault="00E36919" w:rsidP="00363BAA">
      <w:pPr>
        <w:jc w:val="both"/>
        <w:rPr>
          <w:rFonts w:ascii="Arial" w:hAnsi="Arial" w:cs="Arial"/>
          <w:i/>
          <w:sz w:val="22"/>
          <w:szCs w:val="22"/>
        </w:rPr>
      </w:pPr>
      <w:r w:rsidRPr="00363BAA">
        <w:rPr>
          <w:rFonts w:ascii="Arial" w:hAnsi="Arial" w:cs="Arial"/>
          <w:i/>
          <w:sz w:val="22"/>
          <w:szCs w:val="22"/>
        </w:rPr>
        <w:t>o. Establecer anualmente las condiciones generales de las garantías otorgadas a través del Fondo Agropecuario de Garantías, el monto máximo de las obligaciones a respaldar y cuando haya lugar, las condiciones en las cuales se aplica el subsidio otorgado por el Estado a las comisiones de las garantías. En todo caso, deberá asegurar la operatividad y sostenibilidad financiera del Fondo.</w:t>
      </w:r>
    </w:p>
    <w:p w:rsidR="00971F2F" w:rsidRPr="00363BAA" w:rsidRDefault="00971F2F" w:rsidP="00363BAA">
      <w:pPr>
        <w:jc w:val="both"/>
        <w:rPr>
          <w:rFonts w:ascii="Arial" w:hAnsi="Arial" w:cs="Arial"/>
          <w:i/>
          <w:sz w:val="22"/>
          <w:szCs w:val="22"/>
        </w:rPr>
      </w:pPr>
    </w:p>
    <w:p w:rsidR="00E36919" w:rsidRPr="00363BAA" w:rsidRDefault="00971F2F" w:rsidP="00363BAA">
      <w:pPr>
        <w:jc w:val="both"/>
        <w:rPr>
          <w:rFonts w:ascii="Arial" w:hAnsi="Arial" w:cs="Arial"/>
          <w:i/>
          <w:sz w:val="22"/>
          <w:szCs w:val="22"/>
        </w:rPr>
      </w:pPr>
      <w:r w:rsidRPr="00363BAA">
        <w:rPr>
          <w:rFonts w:ascii="Arial" w:hAnsi="Arial" w:cs="Arial"/>
          <w:i/>
          <w:sz w:val="22"/>
          <w:szCs w:val="22"/>
        </w:rPr>
        <w:t>(…)</w:t>
      </w:r>
      <w:r w:rsidR="00E36919" w:rsidRPr="00363BAA">
        <w:rPr>
          <w:rFonts w:ascii="Arial" w:hAnsi="Arial" w:cs="Arial"/>
          <w:i/>
          <w:sz w:val="22"/>
          <w:szCs w:val="22"/>
        </w:rPr>
        <w:t>”</w:t>
      </w:r>
    </w:p>
    <w:p w:rsidR="00E36919" w:rsidRPr="00363BAA" w:rsidRDefault="00E36919" w:rsidP="00363BAA">
      <w:pPr>
        <w:jc w:val="both"/>
        <w:rPr>
          <w:rFonts w:ascii="Arial" w:hAnsi="Arial" w:cs="Arial"/>
          <w:b/>
          <w:sz w:val="22"/>
          <w:szCs w:val="22"/>
        </w:rPr>
      </w:pPr>
    </w:p>
    <w:p w:rsidR="005B2B31" w:rsidRPr="00363BAA" w:rsidRDefault="00E36919" w:rsidP="00363BAA">
      <w:pPr>
        <w:jc w:val="both"/>
        <w:rPr>
          <w:rFonts w:ascii="Arial" w:hAnsi="Arial" w:cs="Arial"/>
          <w:i/>
          <w:sz w:val="22"/>
          <w:szCs w:val="22"/>
        </w:rPr>
      </w:pPr>
      <w:r w:rsidRPr="00363BAA">
        <w:rPr>
          <w:rFonts w:ascii="Arial" w:hAnsi="Arial" w:cs="Arial"/>
          <w:b/>
          <w:sz w:val="22"/>
          <w:szCs w:val="22"/>
        </w:rPr>
        <w:t>Segund</w:t>
      </w:r>
      <w:r w:rsidR="00767D2C" w:rsidRPr="00363BAA">
        <w:rPr>
          <w:rFonts w:ascii="Arial" w:hAnsi="Arial" w:cs="Arial"/>
          <w:b/>
          <w:sz w:val="22"/>
          <w:szCs w:val="22"/>
        </w:rPr>
        <w:t xml:space="preserve">o. </w:t>
      </w:r>
      <w:r w:rsidR="00767D2C" w:rsidRPr="00363BAA">
        <w:rPr>
          <w:rFonts w:ascii="Arial" w:hAnsi="Arial" w:cs="Arial"/>
          <w:sz w:val="22"/>
          <w:szCs w:val="22"/>
        </w:rPr>
        <w:t>Que de acuerdo con lo dispuesto en el</w:t>
      </w:r>
      <w:r w:rsidR="00FB5DF9" w:rsidRPr="00363BAA">
        <w:rPr>
          <w:rFonts w:ascii="Arial" w:hAnsi="Arial" w:cs="Arial"/>
          <w:sz w:val="22"/>
          <w:szCs w:val="22"/>
        </w:rPr>
        <w:t xml:space="preserve"> </w:t>
      </w:r>
      <w:r w:rsidR="005B2B31" w:rsidRPr="00363BAA">
        <w:rPr>
          <w:rFonts w:ascii="Arial" w:hAnsi="Arial" w:cs="Arial"/>
          <w:sz w:val="22"/>
          <w:szCs w:val="22"/>
        </w:rPr>
        <w:t xml:space="preserve">parágrafo </w:t>
      </w:r>
      <w:proofErr w:type="spellStart"/>
      <w:r w:rsidR="005B2B31" w:rsidRPr="00363BAA">
        <w:rPr>
          <w:rFonts w:ascii="Arial" w:hAnsi="Arial" w:cs="Arial"/>
          <w:sz w:val="22"/>
          <w:szCs w:val="22"/>
        </w:rPr>
        <w:t>1o</w:t>
      </w:r>
      <w:proofErr w:type="spellEnd"/>
      <w:r w:rsidR="005B2B31" w:rsidRPr="00363BAA">
        <w:rPr>
          <w:rFonts w:ascii="Arial" w:hAnsi="Arial" w:cs="Arial"/>
          <w:sz w:val="22"/>
          <w:szCs w:val="22"/>
        </w:rPr>
        <w:t xml:space="preserve">. del </w:t>
      </w:r>
      <w:r w:rsidR="006C25AD">
        <w:rPr>
          <w:rFonts w:ascii="Arial" w:hAnsi="Arial" w:cs="Arial"/>
          <w:sz w:val="22"/>
          <w:szCs w:val="22"/>
        </w:rPr>
        <w:t xml:space="preserve">numeral 2 del </w:t>
      </w:r>
      <w:r w:rsidR="005B2B31" w:rsidRPr="00363BAA">
        <w:rPr>
          <w:rFonts w:ascii="Arial" w:hAnsi="Arial" w:cs="Arial"/>
          <w:sz w:val="22"/>
          <w:szCs w:val="22"/>
        </w:rPr>
        <w:t xml:space="preserve">artículo 231 del Estatuto Orgánico del Sistema Financiero, </w:t>
      </w:r>
      <w:r w:rsidR="001A11E6" w:rsidRPr="00363BAA">
        <w:rPr>
          <w:rFonts w:ascii="Arial" w:hAnsi="Arial" w:cs="Arial"/>
          <w:sz w:val="22"/>
          <w:szCs w:val="22"/>
        </w:rPr>
        <w:t xml:space="preserve">en su actual redacción, la Comisión Nacional de Crédito Agropecuario </w:t>
      </w:r>
      <w:r w:rsidR="001A11E6" w:rsidRPr="00363BAA">
        <w:rPr>
          <w:rFonts w:ascii="Arial" w:hAnsi="Arial" w:cs="Arial"/>
          <w:i/>
          <w:sz w:val="22"/>
          <w:szCs w:val="22"/>
        </w:rPr>
        <w:t>“</w:t>
      </w:r>
      <w:r w:rsidR="001A11E6" w:rsidRPr="00363BAA">
        <w:rPr>
          <w:rFonts w:ascii="Arial" w:hAnsi="Arial" w:cs="Arial"/>
          <w:i/>
          <w:color w:val="000000"/>
          <w:sz w:val="22"/>
          <w:szCs w:val="22"/>
        </w:rPr>
        <w:t xml:space="preserve">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sin perjuicio del otorgamiento de garantías a los medianos y grandes, de acuerdo con los lineamientos de la política </w:t>
      </w:r>
      <w:r w:rsidR="001A11E6" w:rsidRPr="00363BAA">
        <w:rPr>
          <w:rFonts w:ascii="Arial" w:hAnsi="Arial" w:cs="Arial"/>
          <w:i/>
          <w:color w:val="000000"/>
          <w:sz w:val="22"/>
          <w:szCs w:val="22"/>
        </w:rPr>
        <w:lastRenderedPageBreak/>
        <w:t>agropecuaria y rural.”</w:t>
      </w:r>
    </w:p>
    <w:p w:rsidR="00294FCA" w:rsidRDefault="00294FCA" w:rsidP="00363BAA">
      <w:pPr>
        <w:jc w:val="both"/>
        <w:rPr>
          <w:rFonts w:ascii="Arial" w:hAnsi="Arial" w:cs="Arial"/>
          <w:b/>
          <w:sz w:val="22"/>
          <w:szCs w:val="22"/>
        </w:rPr>
      </w:pPr>
    </w:p>
    <w:p w:rsidR="005B2B31" w:rsidRDefault="00DA0E21" w:rsidP="00363BAA">
      <w:pPr>
        <w:jc w:val="both"/>
        <w:rPr>
          <w:rFonts w:ascii="Arial" w:hAnsi="Arial" w:cs="Arial"/>
          <w:sz w:val="22"/>
          <w:szCs w:val="22"/>
        </w:rPr>
      </w:pPr>
      <w:r>
        <w:rPr>
          <w:rFonts w:ascii="Arial" w:hAnsi="Arial" w:cs="Arial"/>
          <w:b/>
          <w:sz w:val="22"/>
          <w:szCs w:val="22"/>
        </w:rPr>
        <w:t xml:space="preserve">Tercero. </w:t>
      </w:r>
      <w:r>
        <w:rPr>
          <w:rFonts w:ascii="Arial" w:hAnsi="Arial" w:cs="Arial"/>
          <w:sz w:val="22"/>
          <w:szCs w:val="22"/>
        </w:rPr>
        <w:t xml:space="preserve">Que la </w:t>
      </w:r>
      <w:proofErr w:type="spellStart"/>
      <w:r>
        <w:rPr>
          <w:rFonts w:ascii="Arial" w:hAnsi="Arial" w:cs="Arial"/>
          <w:sz w:val="22"/>
          <w:szCs w:val="22"/>
        </w:rPr>
        <w:t>CNCA</w:t>
      </w:r>
      <w:proofErr w:type="spellEnd"/>
      <w:r>
        <w:rPr>
          <w:rFonts w:ascii="Arial" w:hAnsi="Arial" w:cs="Arial"/>
          <w:sz w:val="22"/>
          <w:szCs w:val="22"/>
        </w:rPr>
        <w:t xml:space="preserve"> media</w:t>
      </w:r>
      <w:r w:rsidR="007A116B">
        <w:rPr>
          <w:rFonts w:ascii="Arial" w:hAnsi="Arial" w:cs="Arial"/>
          <w:sz w:val="22"/>
          <w:szCs w:val="22"/>
        </w:rPr>
        <w:t>nte la Resolución No. 2 de 2016, modificada por la Resolución 4 de 2018</w:t>
      </w:r>
      <w:r w:rsidR="00B707D0">
        <w:rPr>
          <w:rFonts w:ascii="Arial" w:hAnsi="Arial" w:cs="Arial"/>
          <w:sz w:val="22"/>
          <w:szCs w:val="22"/>
        </w:rPr>
        <w:t>,</w:t>
      </w:r>
      <w:r w:rsidR="007A116B">
        <w:rPr>
          <w:rFonts w:ascii="Arial" w:hAnsi="Arial" w:cs="Arial"/>
          <w:sz w:val="22"/>
          <w:szCs w:val="22"/>
        </w:rPr>
        <w:t xml:space="preserve"> </w:t>
      </w:r>
      <w:r w:rsidR="00E445F3">
        <w:rPr>
          <w:rFonts w:ascii="Arial" w:hAnsi="Arial" w:cs="Arial"/>
          <w:sz w:val="22"/>
          <w:szCs w:val="22"/>
        </w:rPr>
        <w:t>estableció</w:t>
      </w:r>
      <w:r>
        <w:rPr>
          <w:rFonts w:ascii="Arial" w:hAnsi="Arial" w:cs="Arial"/>
          <w:sz w:val="22"/>
          <w:szCs w:val="22"/>
        </w:rPr>
        <w:t xml:space="preserve"> la reglamentación</w:t>
      </w:r>
      <w:r w:rsidR="007A116B">
        <w:rPr>
          <w:rFonts w:ascii="Arial" w:hAnsi="Arial" w:cs="Arial"/>
          <w:sz w:val="22"/>
          <w:szCs w:val="22"/>
        </w:rPr>
        <w:t xml:space="preserve"> y operatividad del Fondo Agropecuario de Garantías.</w:t>
      </w:r>
    </w:p>
    <w:p w:rsidR="00DA50F0" w:rsidRDefault="00DA50F0" w:rsidP="00363BAA">
      <w:pPr>
        <w:jc w:val="both"/>
        <w:rPr>
          <w:rFonts w:ascii="Arial" w:hAnsi="Arial" w:cs="Arial"/>
          <w:sz w:val="22"/>
          <w:szCs w:val="22"/>
        </w:rPr>
      </w:pPr>
    </w:p>
    <w:p w:rsidR="00510DC9" w:rsidRPr="00510DC9" w:rsidRDefault="00510DC9" w:rsidP="00363BAA">
      <w:pPr>
        <w:jc w:val="both"/>
        <w:rPr>
          <w:rFonts w:ascii="Arial" w:hAnsi="Arial" w:cs="Arial"/>
          <w:sz w:val="22"/>
          <w:szCs w:val="22"/>
        </w:rPr>
      </w:pPr>
      <w:r>
        <w:rPr>
          <w:rFonts w:ascii="Arial" w:hAnsi="Arial" w:cs="Arial"/>
          <w:b/>
          <w:sz w:val="22"/>
          <w:szCs w:val="22"/>
        </w:rPr>
        <w:t xml:space="preserve">Cuarto. </w:t>
      </w:r>
      <w:r w:rsidRPr="00510DC9">
        <w:rPr>
          <w:rFonts w:ascii="Arial" w:hAnsi="Arial" w:cs="Arial"/>
          <w:sz w:val="22"/>
          <w:szCs w:val="22"/>
        </w:rPr>
        <w:t xml:space="preserve">Que la </w:t>
      </w:r>
      <w:proofErr w:type="spellStart"/>
      <w:r w:rsidRPr="00510DC9">
        <w:rPr>
          <w:rFonts w:ascii="Arial" w:hAnsi="Arial" w:cs="Arial"/>
          <w:sz w:val="22"/>
          <w:szCs w:val="22"/>
        </w:rPr>
        <w:t>CNCA</w:t>
      </w:r>
      <w:proofErr w:type="spellEnd"/>
      <w:r w:rsidRPr="00510DC9">
        <w:rPr>
          <w:rFonts w:ascii="Arial" w:hAnsi="Arial" w:cs="Arial"/>
          <w:sz w:val="22"/>
          <w:szCs w:val="22"/>
        </w:rPr>
        <w:t xml:space="preserve"> mediante la Resolución No. 10 de 2018 aprobó el Plan Anual de Garantías para el año 2019.</w:t>
      </w:r>
    </w:p>
    <w:p w:rsidR="00DA50F0" w:rsidRPr="00363BAA" w:rsidRDefault="00DA50F0" w:rsidP="00363BAA">
      <w:pPr>
        <w:jc w:val="both"/>
        <w:rPr>
          <w:rFonts w:ascii="Arial" w:hAnsi="Arial" w:cs="Arial"/>
          <w:b/>
          <w:sz w:val="22"/>
          <w:szCs w:val="22"/>
        </w:rPr>
      </w:pPr>
    </w:p>
    <w:p w:rsidR="00E46F94" w:rsidRPr="00E46F94" w:rsidRDefault="00E46F94" w:rsidP="00E46F94">
      <w:pPr>
        <w:jc w:val="both"/>
        <w:rPr>
          <w:rFonts w:ascii="Arial" w:hAnsi="Arial" w:cs="Arial"/>
          <w:sz w:val="22"/>
          <w:szCs w:val="22"/>
        </w:rPr>
      </w:pPr>
      <w:r w:rsidRPr="00363BAA">
        <w:rPr>
          <w:rFonts w:ascii="Arial" w:hAnsi="Arial" w:cs="Arial"/>
          <w:b/>
          <w:sz w:val="22"/>
          <w:szCs w:val="22"/>
        </w:rPr>
        <w:t xml:space="preserve">Quinto. </w:t>
      </w:r>
      <w:r>
        <w:rPr>
          <w:rFonts w:ascii="Arial" w:hAnsi="Arial" w:cs="Arial"/>
          <w:sz w:val="22"/>
          <w:szCs w:val="22"/>
        </w:rPr>
        <w:t xml:space="preserve">Que con el fin de facilitar los trámites para la reclamación y pago de las garantías del </w:t>
      </w:r>
      <w:proofErr w:type="spellStart"/>
      <w:r>
        <w:rPr>
          <w:rFonts w:ascii="Arial" w:hAnsi="Arial" w:cs="Arial"/>
          <w:sz w:val="22"/>
          <w:szCs w:val="22"/>
        </w:rPr>
        <w:t>FAG</w:t>
      </w:r>
      <w:proofErr w:type="spellEnd"/>
      <w:r>
        <w:rPr>
          <w:rFonts w:ascii="Arial" w:hAnsi="Arial" w:cs="Arial"/>
          <w:sz w:val="22"/>
          <w:szCs w:val="22"/>
        </w:rPr>
        <w:t xml:space="preserve"> e </w:t>
      </w:r>
      <w:r w:rsidRPr="00E46F94">
        <w:rPr>
          <w:rFonts w:ascii="Arial" w:hAnsi="Arial" w:cs="Arial"/>
          <w:sz w:val="22"/>
          <w:szCs w:val="22"/>
        </w:rPr>
        <w:t>incentivar en los intermediarios financieros el uso de este mecanismo se considera necesario simplificar el procedimiento y requisitos para obtener el pago eliminando la exigencia de adjuntar el requisito del pagaré que instrumente la obligación garantizada en los casos que no se requiere adelantar cobro jurídico.</w:t>
      </w:r>
    </w:p>
    <w:p w:rsidR="00E46F94" w:rsidRPr="00E46F94" w:rsidRDefault="00E46F94" w:rsidP="00E46F94">
      <w:pPr>
        <w:jc w:val="both"/>
        <w:rPr>
          <w:rFonts w:ascii="Arial" w:hAnsi="Arial" w:cs="Arial"/>
          <w:sz w:val="22"/>
          <w:szCs w:val="22"/>
        </w:rPr>
      </w:pPr>
    </w:p>
    <w:p w:rsidR="00E46F94" w:rsidRPr="00E46F94" w:rsidRDefault="00E46F94" w:rsidP="00E46F94">
      <w:pPr>
        <w:jc w:val="both"/>
        <w:rPr>
          <w:rFonts w:ascii="Arial" w:hAnsi="Arial" w:cs="Arial"/>
          <w:sz w:val="16"/>
          <w:szCs w:val="20"/>
        </w:rPr>
      </w:pPr>
      <w:r w:rsidRPr="00E46F94">
        <w:rPr>
          <w:rFonts w:ascii="Arial" w:hAnsi="Arial" w:cs="Arial"/>
          <w:b/>
          <w:sz w:val="22"/>
          <w:szCs w:val="22"/>
        </w:rPr>
        <w:t xml:space="preserve">Sexto. </w:t>
      </w:r>
      <w:r w:rsidRPr="00E46F94">
        <w:rPr>
          <w:rFonts w:ascii="Arial" w:hAnsi="Arial" w:cs="Arial"/>
          <w:sz w:val="22"/>
          <w:szCs w:val="22"/>
        </w:rPr>
        <w:t xml:space="preserve">Que se considera conveniente modificar la base de cálculo de la liquidación de la comisión del </w:t>
      </w:r>
      <w:proofErr w:type="spellStart"/>
      <w:r w:rsidRPr="00E46F94">
        <w:rPr>
          <w:rFonts w:ascii="Arial" w:hAnsi="Arial" w:cs="Arial"/>
          <w:sz w:val="22"/>
          <w:szCs w:val="22"/>
        </w:rPr>
        <w:t>FAG</w:t>
      </w:r>
      <w:proofErr w:type="spellEnd"/>
      <w:r w:rsidRPr="00E46F94">
        <w:rPr>
          <w:rFonts w:ascii="Arial" w:hAnsi="Arial" w:cs="Arial"/>
          <w:sz w:val="22"/>
          <w:szCs w:val="22"/>
        </w:rPr>
        <w:t xml:space="preserve"> con el fin de homologarla con la metodología utilizada por otros fondos de garantía nacionales, estableciéndola en el saldo del crédito garantizado, lo cual permitirá potencializar la ventaja comparativa de sus operaciones.</w:t>
      </w:r>
    </w:p>
    <w:p w:rsidR="00E46F94" w:rsidRPr="00E46F94" w:rsidRDefault="00E46F94" w:rsidP="00E46F94">
      <w:pPr>
        <w:jc w:val="both"/>
        <w:rPr>
          <w:rFonts w:ascii="Arial" w:hAnsi="Arial" w:cs="Arial"/>
          <w:sz w:val="22"/>
          <w:szCs w:val="22"/>
        </w:rPr>
      </w:pPr>
    </w:p>
    <w:p w:rsidR="0011623A" w:rsidRDefault="00E46F94" w:rsidP="00E46F94">
      <w:pPr>
        <w:jc w:val="both"/>
        <w:rPr>
          <w:rFonts w:ascii="Arial" w:hAnsi="Arial" w:cs="Arial"/>
          <w:b/>
          <w:sz w:val="22"/>
          <w:szCs w:val="22"/>
        </w:rPr>
      </w:pPr>
      <w:r w:rsidRPr="00E46F94">
        <w:rPr>
          <w:rFonts w:ascii="Arial" w:hAnsi="Arial" w:cs="Arial"/>
          <w:b/>
          <w:sz w:val="22"/>
          <w:szCs w:val="22"/>
        </w:rPr>
        <w:t xml:space="preserve">Séptimo. </w:t>
      </w:r>
      <w:r w:rsidRPr="00E46F94">
        <w:rPr>
          <w:rFonts w:ascii="Arial" w:hAnsi="Arial" w:cs="Arial"/>
          <w:sz w:val="22"/>
          <w:szCs w:val="22"/>
        </w:rPr>
        <w:t xml:space="preserve">Que con el fin de minimizar el riesgo de </w:t>
      </w:r>
      <w:r w:rsidR="004F52DB">
        <w:rPr>
          <w:rFonts w:ascii="Arial" w:hAnsi="Arial" w:cs="Arial"/>
          <w:sz w:val="22"/>
          <w:szCs w:val="22"/>
        </w:rPr>
        <w:t>garantía</w:t>
      </w:r>
      <w:r w:rsidRPr="00E46F94">
        <w:rPr>
          <w:rFonts w:ascii="Arial" w:hAnsi="Arial" w:cs="Arial"/>
          <w:sz w:val="22"/>
          <w:szCs w:val="22"/>
        </w:rPr>
        <w:t xml:space="preserve">, en el caso de </w:t>
      </w:r>
      <w:r w:rsidRPr="00E46F94">
        <w:rPr>
          <w:rFonts w:ascii="Arial" w:eastAsiaTheme="minorHAnsi" w:hAnsi="Arial" w:cs="Arial"/>
          <w:sz w:val="22"/>
          <w:szCs w:val="22"/>
          <w:lang w:eastAsia="es-CO"/>
        </w:rPr>
        <w:t xml:space="preserve">operaciones de crédito que accedan a la garantía del </w:t>
      </w:r>
      <w:proofErr w:type="spellStart"/>
      <w:r w:rsidRPr="00E46F94">
        <w:rPr>
          <w:rFonts w:ascii="Arial" w:eastAsiaTheme="minorHAnsi" w:hAnsi="Arial" w:cs="Arial"/>
          <w:sz w:val="22"/>
          <w:szCs w:val="22"/>
          <w:lang w:eastAsia="es-CO"/>
        </w:rPr>
        <w:t>FAG</w:t>
      </w:r>
      <w:proofErr w:type="spellEnd"/>
      <w:r w:rsidRPr="00E46F94">
        <w:rPr>
          <w:rFonts w:ascii="Arial" w:eastAsiaTheme="minorHAnsi" w:hAnsi="Arial" w:cs="Arial"/>
          <w:sz w:val="22"/>
          <w:szCs w:val="22"/>
          <w:lang w:eastAsia="es-CO"/>
        </w:rPr>
        <w:t xml:space="preserve"> y que cuenten con garantías institucionales complementarias, se hace necesario señalar un tope para la suma total de ambas coberturas </w:t>
      </w:r>
      <w:proofErr w:type="gramStart"/>
      <w:r w:rsidRPr="00E46F94">
        <w:rPr>
          <w:rFonts w:ascii="Arial" w:eastAsiaTheme="minorHAnsi" w:hAnsi="Arial" w:cs="Arial"/>
          <w:sz w:val="22"/>
          <w:szCs w:val="22"/>
          <w:lang w:eastAsia="es-CO"/>
        </w:rPr>
        <w:t xml:space="preserve">que  </w:t>
      </w:r>
      <w:r w:rsidRPr="00E46F94">
        <w:rPr>
          <w:rFonts w:ascii="Arial" w:hAnsi="Arial" w:cs="Arial"/>
          <w:sz w:val="22"/>
          <w:szCs w:val="22"/>
        </w:rPr>
        <w:t>no</w:t>
      </w:r>
      <w:proofErr w:type="gramEnd"/>
      <w:r w:rsidRPr="00E46F94">
        <w:rPr>
          <w:rFonts w:ascii="Arial" w:hAnsi="Arial" w:cs="Arial"/>
          <w:sz w:val="22"/>
          <w:szCs w:val="22"/>
        </w:rPr>
        <w:t xml:space="preserve"> podrá exceder los límites establecidos para el </w:t>
      </w:r>
      <w:proofErr w:type="spellStart"/>
      <w:r w:rsidRPr="00E46F94">
        <w:rPr>
          <w:rFonts w:ascii="Arial" w:hAnsi="Arial" w:cs="Arial"/>
          <w:sz w:val="22"/>
          <w:szCs w:val="22"/>
        </w:rPr>
        <w:t>FAG</w:t>
      </w:r>
      <w:proofErr w:type="spellEnd"/>
      <w:r w:rsidRPr="00E46F94">
        <w:rPr>
          <w:rFonts w:ascii="Arial" w:hAnsi="Arial" w:cs="Arial"/>
          <w:sz w:val="22"/>
          <w:szCs w:val="22"/>
        </w:rPr>
        <w:t xml:space="preserve"> por tipo de productor y/o esquema reglamentados por la Comisión Nacional de Crédito</w:t>
      </w:r>
      <w:r>
        <w:rPr>
          <w:rFonts w:ascii="Arial" w:hAnsi="Arial" w:cs="Arial"/>
          <w:sz w:val="22"/>
          <w:szCs w:val="22"/>
        </w:rPr>
        <w:t xml:space="preserve"> Agropecuario.</w:t>
      </w:r>
    </w:p>
    <w:p w:rsidR="00E46F94" w:rsidRDefault="00E46F94" w:rsidP="00363BAA">
      <w:pPr>
        <w:jc w:val="both"/>
        <w:rPr>
          <w:rFonts w:ascii="Arial" w:hAnsi="Arial" w:cs="Arial"/>
          <w:b/>
          <w:sz w:val="22"/>
          <w:szCs w:val="22"/>
        </w:rPr>
      </w:pPr>
    </w:p>
    <w:p w:rsidR="00F34D5F" w:rsidRPr="002201EB" w:rsidRDefault="002201EB" w:rsidP="00363BAA">
      <w:pPr>
        <w:jc w:val="both"/>
        <w:rPr>
          <w:rFonts w:ascii="Arial" w:hAnsi="Arial" w:cs="Arial"/>
          <w:b/>
          <w:sz w:val="22"/>
          <w:szCs w:val="22"/>
        </w:rPr>
      </w:pPr>
      <w:r>
        <w:rPr>
          <w:rFonts w:ascii="Arial" w:hAnsi="Arial" w:cs="Arial"/>
          <w:b/>
          <w:sz w:val="22"/>
          <w:szCs w:val="22"/>
        </w:rPr>
        <w:t xml:space="preserve">Octavo. </w:t>
      </w:r>
      <w:r w:rsidR="00F34D5F" w:rsidRPr="00363BAA">
        <w:rPr>
          <w:rFonts w:ascii="Arial" w:hAnsi="Arial" w:cs="Arial"/>
          <w:sz w:val="22"/>
          <w:szCs w:val="22"/>
        </w:rPr>
        <w:t xml:space="preserve">Que el proyecto de Resolución </w:t>
      </w:r>
      <w:r w:rsidR="00F34D5F" w:rsidRPr="00363BAA">
        <w:rPr>
          <w:rFonts w:ascii="Arial" w:hAnsi="Arial" w:cs="Arial"/>
          <w:i/>
          <w:sz w:val="22"/>
          <w:szCs w:val="22"/>
        </w:rPr>
        <w:t xml:space="preserve">“Por la cual se </w:t>
      </w:r>
      <w:r w:rsidR="00DA50F0" w:rsidRPr="00363BAA">
        <w:rPr>
          <w:rFonts w:ascii="Arial" w:hAnsi="Arial" w:cs="Arial"/>
          <w:i/>
          <w:sz w:val="22"/>
          <w:szCs w:val="22"/>
        </w:rPr>
        <w:t>modifican las Resoluciones 2 de 2016 y 10 de 2018</w:t>
      </w:r>
      <w:r w:rsidR="00F34D5F" w:rsidRPr="00363BAA">
        <w:rPr>
          <w:rFonts w:ascii="Arial" w:hAnsi="Arial" w:cs="Arial"/>
          <w:i/>
          <w:sz w:val="22"/>
          <w:szCs w:val="22"/>
        </w:rPr>
        <w:t xml:space="preserve">”, </w:t>
      </w:r>
      <w:r w:rsidR="00F34D5F" w:rsidRPr="00363BAA">
        <w:rPr>
          <w:rFonts w:ascii="Arial" w:hAnsi="Arial" w:cs="Arial"/>
          <w:sz w:val="22"/>
          <w:szCs w:val="22"/>
        </w:rPr>
        <w:t>estuvo publicado en la página WEB de FINAGRO para comentarios.</w:t>
      </w:r>
    </w:p>
    <w:p w:rsidR="00F34D5F" w:rsidRPr="00363BAA" w:rsidRDefault="00F34D5F" w:rsidP="00363BAA">
      <w:pPr>
        <w:jc w:val="both"/>
        <w:rPr>
          <w:rFonts w:ascii="Arial" w:hAnsi="Arial" w:cs="Arial"/>
          <w:sz w:val="22"/>
          <w:szCs w:val="22"/>
        </w:rPr>
      </w:pPr>
    </w:p>
    <w:p w:rsidR="00F34D5F" w:rsidRPr="00363BAA" w:rsidRDefault="002201EB" w:rsidP="00363BAA">
      <w:pPr>
        <w:jc w:val="both"/>
        <w:rPr>
          <w:rFonts w:ascii="Arial" w:hAnsi="Arial" w:cs="Arial"/>
          <w:sz w:val="22"/>
          <w:szCs w:val="22"/>
        </w:rPr>
      </w:pPr>
      <w:r>
        <w:rPr>
          <w:rFonts w:ascii="Arial" w:hAnsi="Arial" w:cs="Arial"/>
          <w:b/>
          <w:sz w:val="22"/>
          <w:szCs w:val="22"/>
        </w:rPr>
        <w:t>Noven</w:t>
      </w:r>
      <w:r w:rsidR="00F34D5F" w:rsidRPr="00363BAA">
        <w:rPr>
          <w:rFonts w:ascii="Arial" w:hAnsi="Arial" w:cs="Arial"/>
          <w:b/>
          <w:sz w:val="22"/>
          <w:szCs w:val="22"/>
        </w:rPr>
        <w:t xml:space="preserve">o. </w:t>
      </w:r>
      <w:r w:rsidR="00F34D5F" w:rsidRPr="00363BAA">
        <w:rPr>
          <w:rFonts w:ascii="Arial" w:hAnsi="Arial" w:cs="Arial"/>
          <w:sz w:val="22"/>
          <w:szCs w:val="22"/>
        </w:rPr>
        <w:t>Que el documento con la justificación jurídica y técnica de la presente Resolución fue presentado para consideración de</w:t>
      </w:r>
      <w:r w:rsidR="00872A96" w:rsidRPr="00363BAA">
        <w:rPr>
          <w:rFonts w:ascii="Arial" w:hAnsi="Arial" w:cs="Arial"/>
          <w:sz w:val="22"/>
          <w:szCs w:val="22"/>
        </w:rPr>
        <w:t xml:space="preserve"> </w:t>
      </w:r>
      <w:r w:rsidR="00F34D5F" w:rsidRPr="00363BAA">
        <w:rPr>
          <w:rFonts w:ascii="Arial" w:hAnsi="Arial" w:cs="Arial"/>
          <w:sz w:val="22"/>
          <w:szCs w:val="22"/>
        </w:rPr>
        <w:t xml:space="preserve">la </w:t>
      </w:r>
      <w:proofErr w:type="spellStart"/>
      <w:r w:rsidR="00F34D5F" w:rsidRPr="00363BAA">
        <w:rPr>
          <w:rFonts w:ascii="Arial" w:hAnsi="Arial" w:cs="Arial"/>
          <w:sz w:val="22"/>
          <w:szCs w:val="22"/>
        </w:rPr>
        <w:t>CNCA</w:t>
      </w:r>
      <w:proofErr w:type="spellEnd"/>
      <w:r w:rsidR="00F34D5F" w:rsidRPr="00363BAA">
        <w:rPr>
          <w:rFonts w:ascii="Arial" w:hAnsi="Arial" w:cs="Arial"/>
          <w:sz w:val="22"/>
          <w:szCs w:val="22"/>
        </w:rPr>
        <w:t xml:space="preserve"> y discutido en la reunión llevada a cabo el día </w:t>
      </w:r>
      <w:r w:rsidR="00C763AE">
        <w:rPr>
          <w:rFonts w:ascii="Arial" w:hAnsi="Arial" w:cs="Arial"/>
          <w:sz w:val="22"/>
          <w:szCs w:val="22"/>
        </w:rPr>
        <w:t>once</w:t>
      </w:r>
      <w:r w:rsidR="00A2047F" w:rsidRPr="00363BAA">
        <w:rPr>
          <w:rFonts w:ascii="Arial" w:hAnsi="Arial" w:cs="Arial"/>
          <w:sz w:val="22"/>
          <w:szCs w:val="22"/>
        </w:rPr>
        <w:t xml:space="preserve"> </w:t>
      </w:r>
      <w:r w:rsidR="00F34D5F" w:rsidRPr="00363BAA">
        <w:rPr>
          <w:rFonts w:ascii="Arial" w:hAnsi="Arial" w:cs="Arial"/>
          <w:sz w:val="22"/>
          <w:szCs w:val="22"/>
        </w:rPr>
        <w:t>(</w:t>
      </w:r>
      <w:r w:rsidR="00C763AE">
        <w:rPr>
          <w:rFonts w:ascii="Arial" w:hAnsi="Arial" w:cs="Arial"/>
          <w:sz w:val="22"/>
          <w:szCs w:val="22"/>
        </w:rPr>
        <w:t>11</w:t>
      </w:r>
      <w:r w:rsidR="00F34D5F" w:rsidRPr="00363BAA">
        <w:rPr>
          <w:rFonts w:ascii="Arial" w:hAnsi="Arial" w:cs="Arial"/>
          <w:sz w:val="22"/>
          <w:szCs w:val="22"/>
        </w:rPr>
        <w:t xml:space="preserve">) de </w:t>
      </w:r>
      <w:r w:rsidR="00681574">
        <w:rPr>
          <w:rFonts w:ascii="Arial" w:hAnsi="Arial" w:cs="Arial"/>
          <w:sz w:val="22"/>
          <w:szCs w:val="22"/>
        </w:rPr>
        <w:t>junio</w:t>
      </w:r>
      <w:r w:rsidR="00F34D5F" w:rsidRPr="00363BAA">
        <w:rPr>
          <w:rFonts w:ascii="Arial" w:hAnsi="Arial" w:cs="Arial"/>
          <w:sz w:val="22"/>
          <w:szCs w:val="22"/>
        </w:rPr>
        <w:t xml:space="preserve"> de 2019.</w:t>
      </w:r>
    </w:p>
    <w:p w:rsidR="00F34D5F" w:rsidRPr="00363BAA" w:rsidRDefault="00F34D5F" w:rsidP="00363BAA">
      <w:pPr>
        <w:jc w:val="both"/>
        <w:rPr>
          <w:rFonts w:ascii="Arial" w:hAnsi="Arial" w:cs="Arial"/>
          <w:sz w:val="22"/>
          <w:szCs w:val="22"/>
        </w:rPr>
      </w:pPr>
    </w:p>
    <w:p w:rsidR="00F34D5F" w:rsidRPr="00363BAA" w:rsidRDefault="00F34D5F" w:rsidP="00363BAA">
      <w:pPr>
        <w:jc w:val="both"/>
        <w:rPr>
          <w:rFonts w:ascii="Arial" w:hAnsi="Arial" w:cs="Arial"/>
          <w:sz w:val="22"/>
          <w:szCs w:val="22"/>
        </w:rPr>
      </w:pPr>
      <w:r w:rsidRPr="00363BAA">
        <w:rPr>
          <w:rFonts w:ascii="Arial" w:hAnsi="Arial" w:cs="Arial"/>
          <w:sz w:val="22"/>
          <w:szCs w:val="22"/>
        </w:rPr>
        <w:t>En mérito de lo anterio</w:t>
      </w:r>
      <w:r w:rsidR="0017196A" w:rsidRPr="00363BAA">
        <w:rPr>
          <w:rFonts w:ascii="Arial" w:hAnsi="Arial" w:cs="Arial"/>
          <w:sz w:val="22"/>
          <w:szCs w:val="22"/>
        </w:rPr>
        <w:t>r</w:t>
      </w:r>
      <w:r w:rsidRPr="00363BAA">
        <w:rPr>
          <w:rFonts w:ascii="Arial" w:hAnsi="Arial" w:cs="Arial"/>
          <w:sz w:val="22"/>
          <w:szCs w:val="22"/>
        </w:rPr>
        <w:t xml:space="preserve">, </w:t>
      </w:r>
    </w:p>
    <w:p w:rsidR="006E4B69" w:rsidRPr="00363BAA" w:rsidRDefault="006E4B69" w:rsidP="00363BAA">
      <w:pPr>
        <w:spacing w:line="0" w:lineRule="atLeast"/>
        <w:ind w:left="142" w:right="49"/>
        <w:jc w:val="both"/>
        <w:rPr>
          <w:rFonts w:ascii="Arial" w:hAnsi="Arial" w:cs="Arial"/>
          <w:sz w:val="22"/>
          <w:szCs w:val="22"/>
          <w:lang w:val="es-CO"/>
        </w:rPr>
      </w:pPr>
    </w:p>
    <w:p w:rsidR="006E4B69" w:rsidRPr="00363BAA" w:rsidRDefault="006E4B69" w:rsidP="00363BAA">
      <w:pPr>
        <w:spacing w:line="0" w:lineRule="atLeast"/>
        <w:ind w:left="142" w:right="49"/>
        <w:jc w:val="center"/>
        <w:rPr>
          <w:rFonts w:ascii="Arial" w:hAnsi="Arial" w:cs="Arial"/>
          <w:b/>
          <w:sz w:val="22"/>
          <w:szCs w:val="22"/>
          <w:lang w:val="es-CO"/>
        </w:rPr>
      </w:pPr>
      <w:r w:rsidRPr="00363BAA">
        <w:rPr>
          <w:rFonts w:ascii="Arial" w:hAnsi="Arial" w:cs="Arial"/>
          <w:b/>
          <w:sz w:val="22"/>
          <w:szCs w:val="22"/>
          <w:lang w:val="es-CO"/>
        </w:rPr>
        <w:t>RESUELVE:</w:t>
      </w:r>
    </w:p>
    <w:p w:rsidR="006E4B69" w:rsidRPr="00363BAA" w:rsidRDefault="006E4B69" w:rsidP="00363BAA">
      <w:pPr>
        <w:pStyle w:val="Prrafodelista"/>
        <w:spacing w:line="0" w:lineRule="atLeast"/>
        <w:ind w:right="49"/>
        <w:rPr>
          <w:rFonts w:ascii="Arial" w:hAnsi="Arial" w:cs="Arial"/>
          <w:b/>
          <w:bCs/>
          <w:sz w:val="22"/>
          <w:szCs w:val="22"/>
        </w:rPr>
      </w:pPr>
    </w:p>
    <w:p w:rsidR="003F6C7D" w:rsidRPr="00363BAA" w:rsidRDefault="006E4B69" w:rsidP="00363BAA">
      <w:pPr>
        <w:jc w:val="both"/>
        <w:rPr>
          <w:rFonts w:ascii="Arial" w:hAnsi="Arial" w:cs="Arial"/>
          <w:sz w:val="22"/>
          <w:szCs w:val="22"/>
        </w:rPr>
      </w:pPr>
      <w:r w:rsidRPr="00363BAA">
        <w:rPr>
          <w:rFonts w:ascii="Arial" w:hAnsi="Arial" w:cs="Arial"/>
          <w:b/>
          <w:bCs/>
          <w:sz w:val="22"/>
          <w:szCs w:val="22"/>
        </w:rPr>
        <w:t xml:space="preserve">Artículo </w:t>
      </w:r>
      <w:proofErr w:type="spellStart"/>
      <w:r w:rsidRPr="00363BAA">
        <w:rPr>
          <w:rFonts w:ascii="Arial" w:hAnsi="Arial" w:cs="Arial"/>
          <w:b/>
          <w:bCs/>
          <w:sz w:val="22"/>
          <w:szCs w:val="22"/>
        </w:rPr>
        <w:t>1</w:t>
      </w:r>
      <w:r w:rsidR="0017196A" w:rsidRPr="00363BAA">
        <w:rPr>
          <w:rFonts w:ascii="Arial" w:hAnsi="Arial" w:cs="Arial"/>
          <w:b/>
          <w:bCs/>
          <w:sz w:val="22"/>
          <w:szCs w:val="22"/>
        </w:rPr>
        <w:t>o</w:t>
      </w:r>
      <w:proofErr w:type="spellEnd"/>
      <w:r w:rsidRPr="00363BAA">
        <w:rPr>
          <w:rFonts w:ascii="Arial" w:hAnsi="Arial" w:cs="Arial"/>
          <w:b/>
          <w:bCs/>
          <w:sz w:val="22"/>
          <w:szCs w:val="22"/>
        </w:rPr>
        <w:t xml:space="preserve">.- </w:t>
      </w:r>
      <w:r w:rsidR="003F6C7D" w:rsidRPr="00363BAA">
        <w:rPr>
          <w:rFonts w:ascii="Arial" w:hAnsi="Arial" w:cs="Arial"/>
          <w:sz w:val="22"/>
          <w:szCs w:val="22"/>
        </w:rPr>
        <w:t>Modific</w:t>
      </w:r>
      <w:r w:rsidR="002E3084">
        <w:rPr>
          <w:rFonts w:ascii="Arial" w:hAnsi="Arial" w:cs="Arial"/>
          <w:sz w:val="22"/>
          <w:szCs w:val="22"/>
        </w:rPr>
        <w:t xml:space="preserve">ar el numeral 2 del artículo </w:t>
      </w:r>
      <w:proofErr w:type="spellStart"/>
      <w:r w:rsidR="002E3084">
        <w:rPr>
          <w:rFonts w:ascii="Arial" w:hAnsi="Arial" w:cs="Arial"/>
          <w:sz w:val="22"/>
          <w:szCs w:val="22"/>
        </w:rPr>
        <w:t>12o</w:t>
      </w:r>
      <w:proofErr w:type="spellEnd"/>
      <w:r w:rsidR="002E3084">
        <w:rPr>
          <w:rFonts w:ascii="Arial" w:hAnsi="Arial" w:cs="Arial"/>
          <w:sz w:val="22"/>
          <w:szCs w:val="22"/>
        </w:rPr>
        <w:t>.</w:t>
      </w:r>
      <w:r w:rsidR="003F6C7D" w:rsidRPr="00363BAA">
        <w:rPr>
          <w:rFonts w:ascii="Arial" w:hAnsi="Arial" w:cs="Arial"/>
          <w:sz w:val="22"/>
          <w:szCs w:val="22"/>
        </w:rPr>
        <w:t xml:space="preserve"> de la Resolución No. 2 de 2016, el cual quedará así:</w:t>
      </w:r>
    </w:p>
    <w:p w:rsidR="003F6C7D" w:rsidRPr="00363BAA" w:rsidRDefault="003F6C7D" w:rsidP="00363BAA">
      <w:pPr>
        <w:jc w:val="both"/>
        <w:rPr>
          <w:rFonts w:ascii="Arial" w:hAnsi="Arial" w:cs="Arial"/>
          <w:sz w:val="22"/>
          <w:szCs w:val="22"/>
        </w:rPr>
      </w:pPr>
    </w:p>
    <w:p w:rsidR="003F6C7D" w:rsidRPr="002625B8" w:rsidRDefault="00442FE4" w:rsidP="002625B8">
      <w:pPr>
        <w:ind w:left="1068" w:hanging="363"/>
        <w:jc w:val="both"/>
        <w:rPr>
          <w:rFonts w:ascii="Arial" w:hAnsi="Arial" w:cs="Arial"/>
          <w:sz w:val="22"/>
          <w:szCs w:val="22"/>
        </w:rPr>
      </w:pPr>
      <w:r>
        <w:rPr>
          <w:rFonts w:ascii="Arial" w:hAnsi="Arial" w:cs="Arial"/>
          <w:sz w:val="22"/>
          <w:szCs w:val="22"/>
        </w:rPr>
        <w:t>“</w:t>
      </w:r>
      <w:r w:rsidR="003F6C7D" w:rsidRPr="00363BAA">
        <w:rPr>
          <w:rFonts w:ascii="Arial" w:hAnsi="Arial" w:cs="Arial"/>
          <w:sz w:val="22"/>
          <w:szCs w:val="22"/>
        </w:rPr>
        <w:t>2.</w:t>
      </w:r>
      <w:r w:rsidR="003F6C7D" w:rsidRPr="00363BAA">
        <w:rPr>
          <w:rFonts w:ascii="Arial" w:hAnsi="Arial" w:cs="Arial"/>
          <w:sz w:val="22"/>
          <w:szCs w:val="22"/>
        </w:rPr>
        <w:tab/>
        <w:t xml:space="preserve">Para los créditos con saldo en mora superior a 1 </w:t>
      </w:r>
      <w:proofErr w:type="spellStart"/>
      <w:r w:rsidR="003F6C7D" w:rsidRPr="00363BAA">
        <w:rPr>
          <w:rFonts w:ascii="Arial" w:hAnsi="Arial" w:cs="Arial"/>
          <w:sz w:val="22"/>
          <w:szCs w:val="22"/>
        </w:rPr>
        <w:t>smmlv</w:t>
      </w:r>
      <w:proofErr w:type="spellEnd"/>
      <w:r w:rsidR="003F6C7D" w:rsidRPr="00363BAA">
        <w:rPr>
          <w:rFonts w:ascii="Arial" w:hAnsi="Arial" w:cs="Arial"/>
          <w:sz w:val="22"/>
          <w:szCs w:val="22"/>
        </w:rPr>
        <w:t xml:space="preserve"> y hasta 7,5 </w:t>
      </w:r>
      <w:proofErr w:type="spellStart"/>
      <w:r w:rsidR="003F6C7D" w:rsidRPr="00363BAA">
        <w:rPr>
          <w:rFonts w:ascii="Arial" w:hAnsi="Arial" w:cs="Arial"/>
          <w:sz w:val="22"/>
          <w:szCs w:val="22"/>
        </w:rPr>
        <w:t>smmlv</w:t>
      </w:r>
      <w:proofErr w:type="spellEnd"/>
      <w:r w:rsidR="003F6C7D" w:rsidRPr="00363BAA">
        <w:rPr>
          <w:rFonts w:ascii="Arial" w:hAnsi="Arial" w:cs="Arial"/>
          <w:sz w:val="22"/>
          <w:szCs w:val="22"/>
        </w:rPr>
        <w:t xml:space="preserve"> procederá la reclamación no antes de los ciento ochenta (180) días calendario siguientes a la fecha de entrada en mora y se deberá adjuntar a la solicitud de pago</w:t>
      </w:r>
      <w:r w:rsidR="002625B8">
        <w:rPr>
          <w:rFonts w:ascii="Arial" w:hAnsi="Arial" w:cs="Arial"/>
          <w:sz w:val="22"/>
          <w:szCs w:val="22"/>
        </w:rPr>
        <w:t xml:space="preserve"> la c</w:t>
      </w:r>
      <w:r w:rsidR="003F6C7D" w:rsidRPr="002625B8">
        <w:rPr>
          <w:rFonts w:ascii="Arial" w:hAnsi="Arial" w:cs="Arial"/>
          <w:sz w:val="22"/>
          <w:szCs w:val="22"/>
        </w:rPr>
        <w:t>ertificación de la gestión de cobranza extrajudicial realizada entre la fecha de entrada en mora y la presentación de la solicitud de pago.</w:t>
      </w:r>
      <w:r w:rsidRPr="002625B8">
        <w:rPr>
          <w:rFonts w:ascii="Arial" w:hAnsi="Arial" w:cs="Arial"/>
          <w:sz w:val="22"/>
          <w:szCs w:val="22"/>
        </w:rPr>
        <w:t>”</w:t>
      </w:r>
    </w:p>
    <w:p w:rsidR="00945289" w:rsidRDefault="00945289" w:rsidP="00945289">
      <w:pPr>
        <w:jc w:val="both"/>
        <w:rPr>
          <w:rFonts w:ascii="Arial" w:hAnsi="Arial" w:cs="Arial"/>
          <w:sz w:val="22"/>
          <w:szCs w:val="22"/>
        </w:rPr>
      </w:pPr>
    </w:p>
    <w:p w:rsidR="00945289" w:rsidRPr="007E1765" w:rsidRDefault="007E1765" w:rsidP="00945289">
      <w:pPr>
        <w:jc w:val="both"/>
        <w:rPr>
          <w:rFonts w:ascii="Arial" w:hAnsi="Arial" w:cs="Arial"/>
          <w:b/>
          <w:sz w:val="22"/>
          <w:szCs w:val="22"/>
        </w:rPr>
      </w:pPr>
      <w:r>
        <w:rPr>
          <w:rFonts w:ascii="Arial" w:hAnsi="Arial" w:cs="Arial"/>
          <w:b/>
          <w:sz w:val="22"/>
          <w:szCs w:val="22"/>
        </w:rPr>
        <w:t xml:space="preserve">Artículo </w:t>
      </w:r>
      <w:proofErr w:type="spellStart"/>
      <w:r>
        <w:rPr>
          <w:rFonts w:ascii="Arial" w:hAnsi="Arial" w:cs="Arial"/>
          <w:b/>
          <w:sz w:val="22"/>
          <w:szCs w:val="22"/>
        </w:rPr>
        <w:t>2o</w:t>
      </w:r>
      <w:proofErr w:type="spellEnd"/>
      <w:r>
        <w:rPr>
          <w:rFonts w:ascii="Arial" w:hAnsi="Arial" w:cs="Arial"/>
          <w:b/>
          <w:sz w:val="22"/>
          <w:szCs w:val="22"/>
        </w:rPr>
        <w:t xml:space="preserve">. </w:t>
      </w:r>
      <w:r w:rsidRPr="007E1765">
        <w:rPr>
          <w:rFonts w:ascii="Arial" w:hAnsi="Arial" w:cs="Arial"/>
          <w:sz w:val="22"/>
          <w:szCs w:val="22"/>
        </w:rPr>
        <w:t>Modificar el literal a</w:t>
      </w:r>
      <w:r w:rsidR="002625B8">
        <w:rPr>
          <w:rFonts w:ascii="Arial" w:hAnsi="Arial" w:cs="Arial"/>
          <w:sz w:val="22"/>
          <w:szCs w:val="22"/>
        </w:rPr>
        <w:t>.</w:t>
      </w:r>
      <w:r w:rsidRPr="007E1765">
        <w:rPr>
          <w:rFonts w:ascii="Arial" w:hAnsi="Arial" w:cs="Arial"/>
          <w:sz w:val="22"/>
          <w:szCs w:val="22"/>
        </w:rPr>
        <w:t xml:space="preserve"> del artículo </w:t>
      </w:r>
      <w:proofErr w:type="spellStart"/>
      <w:r w:rsidRPr="007E1765">
        <w:rPr>
          <w:rFonts w:ascii="Arial" w:hAnsi="Arial" w:cs="Arial"/>
          <w:sz w:val="22"/>
          <w:szCs w:val="22"/>
        </w:rPr>
        <w:t>1o</w:t>
      </w:r>
      <w:proofErr w:type="spellEnd"/>
      <w:r w:rsidRPr="007E1765">
        <w:rPr>
          <w:rFonts w:ascii="Arial" w:hAnsi="Arial" w:cs="Arial"/>
          <w:sz w:val="22"/>
          <w:szCs w:val="22"/>
        </w:rPr>
        <w:t>. de la Resolución 10 de 2018, el cual quedará así:</w:t>
      </w:r>
      <w:r>
        <w:rPr>
          <w:rFonts w:ascii="Arial" w:hAnsi="Arial" w:cs="Arial"/>
          <w:b/>
          <w:sz w:val="22"/>
          <w:szCs w:val="22"/>
        </w:rPr>
        <w:t xml:space="preserve"> </w:t>
      </w:r>
    </w:p>
    <w:p w:rsidR="00C6714E" w:rsidRPr="00363BAA" w:rsidRDefault="00C6714E" w:rsidP="00363BAA">
      <w:pPr>
        <w:jc w:val="both"/>
        <w:rPr>
          <w:rFonts w:ascii="Arial" w:eastAsiaTheme="minorHAnsi" w:hAnsi="Arial" w:cs="Arial"/>
          <w:sz w:val="22"/>
          <w:szCs w:val="22"/>
          <w:lang w:eastAsia="es-CO"/>
        </w:rPr>
      </w:pPr>
    </w:p>
    <w:p w:rsidR="00B707AD" w:rsidRPr="00442FE4" w:rsidRDefault="00442FE4" w:rsidP="00442FE4">
      <w:pPr>
        <w:ind w:left="1416" w:hanging="705"/>
        <w:jc w:val="both"/>
        <w:rPr>
          <w:rFonts w:ascii="Arial" w:eastAsiaTheme="minorHAnsi" w:hAnsi="Arial" w:cs="Arial"/>
          <w:b/>
          <w:sz w:val="22"/>
          <w:szCs w:val="22"/>
          <w:lang w:eastAsia="es-CO"/>
        </w:rPr>
      </w:pPr>
      <w:r>
        <w:rPr>
          <w:rFonts w:ascii="Arial" w:eastAsiaTheme="minorHAnsi" w:hAnsi="Arial" w:cs="Arial"/>
          <w:b/>
          <w:sz w:val="22"/>
          <w:szCs w:val="22"/>
          <w:lang w:eastAsia="es-CO"/>
        </w:rPr>
        <w:t>“a.</w:t>
      </w:r>
      <w:r>
        <w:rPr>
          <w:rFonts w:ascii="Arial" w:eastAsiaTheme="minorHAnsi" w:hAnsi="Arial" w:cs="Arial"/>
          <w:b/>
          <w:sz w:val="22"/>
          <w:szCs w:val="22"/>
          <w:lang w:eastAsia="es-CO"/>
        </w:rPr>
        <w:tab/>
      </w:r>
      <w:r w:rsidR="00495E01" w:rsidRPr="00442FE4">
        <w:rPr>
          <w:rFonts w:ascii="Arial" w:eastAsiaTheme="minorHAnsi" w:hAnsi="Arial" w:cs="Arial"/>
          <w:b/>
          <w:sz w:val="22"/>
          <w:szCs w:val="22"/>
          <w:lang w:eastAsia="es-CO"/>
        </w:rPr>
        <w:t xml:space="preserve">Comisiones. </w:t>
      </w:r>
      <w:r w:rsidR="00495E01" w:rsidRPr="00442FE4">
        <w:rPr>
          <w:rFonts w:ascii="Arial" w:eastAsiaTheme="minorHAnsi" w:hAnsi="Arial" w:cs="Arial"/>
          <w:sz w:val="22"/>
          <w:szCs w:val="22"/>
          <w:lang w:eastAsia="es-CO"/>
        </w:rPr>
        <w:t xml:space="preserve">Los intermediarios financieros deberán pagar al </w:t>
      </w:r>
      <w:proofErr w:type="spellStart"/>
      <w:r w:rsidR="00495E01" w:rsidRPr="00442FE4">
        <w:rPr>
          <w:rFonts w:ascii="Arial" w:eastAsiaTheme="minorHAnsi" w:hAnsi="Arial" w:cs="Arial"/>
          <w:sz w:val="22"/>
          <w:szCs w:val="22"/>
          <w:lang w:eastAsia="es-CO"/>
        </w:rPr>
        <w:t>FAG</w:t>
      </w:r>
      <w:proofErr w:type="spellEnd"/>
      <w:r w:rsidR="003F1F17">
        <w:rPr>
          <w:rFonts w:ascii="Arial" w:eastAsiaTheme="minorHAnsi" w:hAnsi="Arial" w:cs="Arial"/>
          <w:sz w:val="22"/>
          <w:szCs w:val="22"/>
          <w:lang w:eastAsia="es-CO"/>
        </w:rPr>
        <w:t xml:space="preserve"> </w:t>
      </w:r>
      <w:r w:rsidR="003F1F17" w:rsidRPr="00442FE4">
        <w:rPr>
          <w:rFonts w:ascii="Arial" w:eastAsiaTheme="minorHAnsi" w:hAnsi="Arial" w:cs="Arial"/>
          <w:sz w:val="22"/>
          <w:szCs w:val="22"/>
          <w:lang w:eastAsia="es-CO"/>
        </w:rPr>
        <w:t>una comisión anual anticipada</w:t>
      </w:r>
      <w:r w:rsidR="00495E01" w:rsidRPr="00442FE4">
        <w:rPr>
          <w:rFonts w:ascii="Arial" w:eastAsiaTheme="minorHAnsi" w:hAnsi="Arial" w:cs="Arial"/>
          <w:sz w:val="22"/>
          <w:szCs w:val="22"/>
          <w:lang w:eastAsia="es-CO"/>
        </w:rPr>
        <w:t xml:space="preserve"> </w:t>
      </w:r>
      <w:r w:rsidR="00495E01" w:rsidRPr="001D0200">
        <w:rPr>
          <w:rFonts w:ascii="Arial" w:eastAsiaTheme="minorHAnsi" w:hAnsi="Arial" w:cs="Arial"/>
          <w:sz w:val="22"/>
          <w:szCs w:val="22"/>
          <w:lang w:eastAsia="es-CO"/>
        </w:rPr>
        <w:t xml:space="preserve">sobre el </w:t>
      </w:r>
      <w:r w:rsidR="00F66334" w:rsidRPr="001D0200">
        <w:rPr>
          <w:rFonts w:ascii="Arial" w:eastAsiaTheme="minorHAnsi" w:hAnsi="Arial" w:cs="Arial"/>
          <w:sz w:val="22"/>
          <w:szCs w:val="22"/>
          <w:lang w:eastAsia="es-CO"/>
        </w:rPr>
        <w:t>monto del crédito</w:t>
      </w:r>
      <w:r w:rsidR="003F1F17">
        <w:rPr>
          <w:rFonts w:ascii="Arial" w:eastAsiaTheme="minorHAnsi" w:hAnsi="Arial" w:cs="Arial"/>
          <w:sz w:val="22"/>
          <w:szCs w:val="22"/>
          <w:lang w:eastAsia="es-CO"/>
        </w:rPr>
        <w:t xml:space="preserve">. Para este efecto, </w:t>
      </w:r>
      <w:r w:rsidR="003F1F17">
        <w:rPr>
          <w:rFonts w:ascii="Arial" w:eastAsiaTheme="minorHAnsi" w:hAnsi="Arial" w:cs="Arial"/>
          <w:sz w:val="22"/>
          <w:szCs w:val="22"/>
          <w:lang w:eastAsia="es-CO"/>
        </w:rPr>
        <w:lastRenderedPageBreak/>
        <w:t>deberán observarse las siguientes reglas:</w:t>
      </w:r>
    </w:p>
    <w:p w:rsidR="00882BF0" w:rsidRDefault="00882BF0" w:rsidP="00882BF0">
      <w:pPr>
        <w:pStyle w:val="Prrafodelista"/>
        <w:ind w:left="1065"/>
        <w:jc w:val="both"/>
        <w:rPr>
          <w:rFonts w:ascii="Arial" w:eastAsiaTheme="minorHAnsi" w:hAnsi="Arial" w:cs="Arial"/>
          <w:b/>
          <w:sz w:val="22"/>
          <w:szCs w:val="22"/>
          <w:lang w:eastAsia="es-CO"/>
        </w:rPr>
      </w:pPr>
    </w:p>
    <w:p w:rsidR="00882BF0" w:rsidRDefault="00882BF0" w:rsidP="00882BF0">
      <w:pPr>
        <w:pStyle w:val="Prrafodelista"/>
        <w:numPr>
          <w:ilvl w:val="0"/>
          <w:numId w:val="6"/>
        </w:numPr>
        <w:jc w:val="both"/>
        <w:rPr>
          <w:rFonts w:ascii="Arial" w:eastAsiaTheme="minorHAnsi" w:hAnsi="Arial" w:cs="Arial"/>
          <w:sz w:val="22"/>
          <w:szCs w:val="22"/>
          <w:lang w:eastAsia="es-CO"/>
        </w:rPr>
      </w:pPr>
      <w:r>
        <w:rPr>
          <w:rFonts w:ascii="Arial" w:eastAsiaTheme="minorHAnsi" w:hAnsi="Arial" w:cs="Arial"/>
          <w:sz w:val="22"/>
          <w:szCs w:val="22"/>
          <w:lang w:eastAsia="es-CO"/>
        </w:rPr>
        <w:t>En el caso de garantías que res</w:t>
      </w:r>
      <w:r w:rsidR="00D84ED0">
        <w:rPr>
          <w:rFonts w:ascii="Arial" w:eastAsiaTheme="minorHAnsi" w:hAnsi="Arial" w:cs="Arial"/>
          <w:sz w:val="22"/>
          <w:szCs w:val="22"/>
          <w:lang w:eastAsia="es-CO"/>
        </w:rPr>
        <w:t>palden créditos cuyo plazo sea inferior a un (1) año, la comisión será proporcional al plazo del crédito.</w:t>
      </w:r>
    </w:p>
    <w:p w:rsidR="00346955" w:rsidRDefault="00D84ED0" w:rsidP="003F1F17">
      <w:pPr>
        <w:pStyle w:val="Prrafodelista"/>
        <w:numPr>
          <w:ilvl w:val="0"/>
          <w:numId w:val="6"/>
        </w:numPr>
        <w:jc w:val="both"/>
        <w:rPr>
          <w:rFonts w:ascii="Arial" w:eastAsiaTheme="minorHAnsi" w:hAnsi="Arial" w:cs="Arial"/>
          <w:sz w:val="22"/>
          <w:szCs w:val="22"/>
          <w:lang w:eastAsia="es-CO"/>
        </w:rPr>
      </w:pPr>
      <w:r>
        <w:rPr>
          <w:rFonts w:ascii="Arial" w:eastAsiaTheme="minorHAnsi" w:hAnsi="Arial" w:cs="Arial"/>
          <w:sz w:val="22"/>
          <w:szCs w:val="22"/>
          <w:lang w:eastAsia="es-CO"/>
        </w:rPr>
        <w:t xml:space="preserve">En el caso de garantías que respalden créditos </w:t>
      </w:r>
      <w:r w:rsidR="002625B8">
        <w:rPr>
          <w:rFonts w:ascii="Arial" w:eastAsiaTheme="minorHAnsi" w:hAnsi="Arial" w:cs="Arial"/>
          <w:sz w:val="22"/>
          <w:szCs w:val="22"/>
          <w:lang w:eastAsia="es-CO"/>
        </w:rPr>
        <w:t>cuyo plazo</w:t>
      </w:r>
      <w:r w:rsidR="00346955">
        <w:rPr>
          <w:rFonts w:ascii="Arial" w:eastAsiaTheme="minorHAnsi" w:hAnsi="Arial" w:cs="Arial"/>
          <w:sz w:val="22"/>
          <w:szCs w:val="22"/>
          <w:lang w:eastAsia="es-CO"/>
        </w:rPr>
        <w:t xml:space="preserve"> </w:t>
      </w:r>
      <w:r w:rsidR="002625B8">
        <w:rPr>
          <w:rFonts w:ascii="Arial" w:eastAsiaTheme="minorHAnsi" w:hAnsi="Arial" w:cs="Arial"/>
          <w:sz w:val="22"/>
          <w:szCs w:val="22"/>
          <w:lang w:eastAsia="es-CO"/>
        </w:rPr>
        <w:t xml:space="preserve">sea </w:t>
      </w:r>
      <w:r>
        <w:rPr>
          <w:rFonts w:ascii="Arial" w:eastAsiaTheme="minorHAnsi" w:hAnsi="Arial" w:cs="Arial"/>
          <w:sz w:val="22"/>
          <w:szCs w:val="22"/>
          <w:lang w:eastAsia="es-CO"/>
        </w:rPr>
        <w:t>superior a un (1) año, pero cuyo plazo total no corresponda exactamente a anualidades, la comisión por las fracciones de año se cobrará proporcional.</w:t>
      </w:r>
    </w:p>
    <w:p w:rsidR="001F6ED3" w:rsidRDefault="001F6ED3" w:rsidP="003F1F17">
      <w:pPr>
        <w:pStyle w:val="Prrafodelista"/>
        <w:numPr>
          <w:ilvl w:val="0"/>
          <w:numId w:val="6"/>
        </w:numPr>
        <w:jc w:val="both"/>
        <w:rPr>
          <w:rFonts w:ascii="Arial" w:eastAsiaTheme="minorHAnsi" w:hAnsi="Arial" w:cs="Arial"/>
          <w:sz w:val="22"/>
          <w:szCs w:val="22"/>
          <w:lang w:eastAsia="es-CO"/>
        </w:rPr>
      </w:pPr>
      <w:r w:rsidRPr="001F6ED3">
        <w:rPr>
          <w:rFonts w:ascii="Arial" w:eastAsiaTheme="minorHAnsi" w:hAnsi="Arial" w:cs="Arial"/>
          <w:sz w:val="22"/>
          <w:szCs w:val="22"/>
          <w:lang w:eastAsia="es-CO"/>
        </w:rPr>
        <w:t>Para garantías que respalden créditos de medianos y grandes productores, cuyo plazo supere los doce (12) meses sin exceder de veinticuatro (24) meses, se podrá establecer por parte de FINAGRO una comisión única, con pago único anticipado</w:t>
      </w:r>
      <w:r w:rsidR="00613252">
        <w:rPr>
          <w:rFonts w:ascii="Arial" w:eastAsiaTheme="minorHAnsi" w:hAnsi="Arial" w:cs="Arial"/>
          <w:sz w:val="22"/>
          <w:szCs w:val="22"/>
          <w:lang w:eastAsia="es-CO"/>
        </w:rPr>
        <w:t>.</w:t>
      </w:r>
    </w:p>
    <w:p w:rsidR="00D84ED0" w:rsidRDefault="00D84ED0" w:rsidP="00882BF0">
      <w:pPr>
        <w:pStyle w:val="Prrafodelista"/>
        <w:numPr>
          <w:ilvl w:val="0"/>
          <w:numId w:val="6"/>
        </w:numPr>
        <w:jc w:val="both"/>
        <w:rPr>
          <w:rFonts w:ascii="Arial" w:eastAsiaTheme="minorHAnsi" w:hAnsi="Arial" w:cs="Arial"/>
          <w:sz w:val="22"/>
          <w:szCs w:val="22"/>
          <w:lang w:eastAsia="es-CO"/>
        </w:rPr>
      </w:pPr>
      <w:r>
        <w:rPr>
          <w:rFonts w:ascii="Arial" w:eastAsiaTheme="minorHAnsi" w:hAnsi="Arial" w:cs="Arial"/>
          <w:sz w:val="22"/>
          <w:szCs w:val="22"/>
          <w:lang w:eastAsia="es-CO"/>
        </w:rPr>
        <w:t xml:space="preserve">Para garantías que respalden créditos bajo la modalidad de </w:t>
      </w:r>
      <w:proofErr w:type="spellStart"/>
      <w:r>
        <w:rPr>
          <w:rFonts w:ascii="Arial" w:eastAsiaTheme="minorHAnsi" w:hAnsi="Arial" w:cs="Arial"/>
          <w:sz w:val="22"/>
          <w:szCs w:val="22"/>
          <w:lang w:eastAsia="es-CO"/>
        </w:rPr>
        <w:t>FAG</w:t>
      </w:r>
      <w:proofErr w:type="spellEnd"/>
      <w:r>
        <w:rPr>
          <w:rFonts w:ascii="Arial" w:eastAsiaTheme="minorHAnsi" w:hAnsi="Arial" w:cs="Arial"/>
          <w:sz w:val="22"/>
          <w:szCs w:val="22"/>
          <w:lang w:eastAsia="es-CO"/>
        </w:rPr>
        <w:t xml:space="preserve"> en condiciones de mercado, la comisión se cobrará anual anticipada y/o proporcional por fracción de año según el plazo del crédito.</w:t>
      </w:r>
    </w:p>
    <w:p w:rsidR="00D84ED0" w:rsidRDefault="00D84ED0" w:rsidP="00882BF0">
      <w:pPr>
        <w:pStyle w:val="Prrafodelista"/>
        <w:numPr>
          <w:ilvl w:val="0"/>
          <w:numId w:val="6"/>
        </w:numPr>
        <w:jc w:val="both"/>
        <w:rPr>
          <w:rFonts w:ascii="Arial" w:eastAsiaTheme="minorHAnsi" w:hAnsi="Arial" w:cs="Arial"/>
          <w:sz w:val="22"/>
          <w:szCs w:val="22"/>
          <w:lang w:eastAsia="es-CO"/>
        </w:rPr>
      </w:pPr>
      <w:r>
        <w:rPr>
          <w:rFonts w:ascii="Arial" w:eastAsiaTheme="minorHAnsi" w:hAnsi="Arial" w:cs="Arial"/>
          <w:sz w:val="22"/>
          <w:szCs w:val="22"/>
          <w:lang w:eastAsia="es-CO"/>
        </w:rPr>
        <w:t>Cuando se trate de garantías para respaldar créditos de pequeños productores, independientemente del plazo del crédito, se podrá establecer una comisión única, con pago anticipado.</w:t>
      </w:r>
    </w:p>
    <w:p w:rsidR="00845223" w:rsidRDefault="00BA2D4A" w:rsidP="00B84D2C">
      <w:pPr>
        <w:pStyle w:val="Prrafodelista"/>
        <w:numPr>
          <w:ilvl w:val="0"/>
          <w:numId w:val="6"/>
        </w:numPr>
        <w:jc w:val="both"/>
        <w:rPr>
          <w:rFonts w:ascii="Arial" w:eastAsiaTheme="minorHAnsi" w:hAnsi="Arial" w:cs="Arial"/>
          <w:sz w:val="22"/>
          <w:szCs w:val="22"/>
          <w:lang w:eastAsia="es-CO"/>
        </w:rPr>
      </w:pPr>
      <w:r>
        <w:rPr>
          <w:rFonts w:ascii="Arial" w:eastAsiaTheme="minorHAnsi" w:hAnsi="Arial" w:cs="Arial"/>
          <w:sz w:val="22"/>
          <w:szCs w:val="22"/>
          <w:lang w:eastAsia="es-CO"/>
        </w:rPr>
        <w:t>Para los créditos con capitalización de intereses, la comisión deberá ser anual anticipada.</w:t>
      </w:r>
    </w:p>
    <w:p w:rsidR="000E2084" w:rsidRDefault="000E2084" w:rsidP="00B84D2C">
      <w:pPr>
        <w:jc w:val="both"/>
        <w:rPr>
          <w:rFonts w:ascii="Arial" w:eastAsiaTheme="minorHAnsi" w:hAnsi="Arial" w:cs="Arial"/>
          <w:sz w:val="22"/>
          <w:szCs w:val="22"/>
          <w:lang w:eastAsia="es-CO"/>
        </w:rPr>
      </w:pPr>
    </w:p>
    <w:p w:rsidR="000E2084" w:rsidRDefault="000E2084" w:rsidP="00AF0171">
      <w:pPr>
        <w:ind w:firstLine="708"/>
        <w:jc w:val="both"/>
        <w:rPr>
          <w:rFonts w:ascii="Arial" w:eastAsiaTheme="minorHAnsi" w:hAnsi="Arial" w:cs="Arial"/>
          <w:sz w:val="22"/>
          <w:szCs w:val="22"/>
          <w:lang w:eastAsia="es-CO"/>
        </w:rPr>
      </w:pPr>
      <w:r>
        <w:rPr>
          <w:rFonts w:ascii="Arial" w:eastAsiaTheme="minorHAnsi" w:hAnsi="Arial" w:cs="Arial"/>
          <w:sz w:val="22"/>
          <w:szCs w:val="22"/>
          <w:lang w:eastAsia="es-CO"/>
        </w:rPr>
        <w:t>El valor de las comisiones anuales serán las siguientes:</w:t>
      </w:r>
    </w:p>
    <w:p w:rsidR="0025164D" w:rsidRDefault="0025164D" w:rsidP="00B84D2C">
      <w:pPr>
        <w:jc w:val="both"/>
        <w:rPr>
          <w:rFonts w:ascii="Arial" w:hAnsi="Arial" w:cs="Arial"/>
          <w:sz w:val="22"/>
          <w:szCs w:val="22"/>
          <w:lang w:val="es-CO"/>
        </w:rPr>
      </w:pPr>
    </w:p>
    <w:p w:rsidR="00AA7575" w:rsidRPr="0025164D" w:rsidRDefault="00AA7575" w:rsidP="00B84D2C">
      <w:pPr>
        <w:pStyle w:val="Prrafodelista"/>
        <w:numPr>
          <w:ilvl w:val="0"/>
          <w:numId w:val="9"/>
        </w:numPr>
        <w:jc w:val="both"/>
        <w:rPr>
          <w:rFonts w:ascii="Arial" w:eastAsiaTheme="minorHAnsi" w:hAnsi="Arial" w:cs="Arial"/>
          <w:sz w:val="22"/>
          <w:szCs w:val="22"/>
          <w:lang w:eastAsia="es-CO"/>
        </w:rPr>
      </w:pPr>
      <w:r w:rsidRPr="0025164D">
        <w:rPr>
          <w:rFonts w:ascii="Arial" w:hAnsi="Arial" w:cs="Arial"/>
          <w:sz w:val="22"/>
          <w:szCs w:val="22"/>
          <w:lang w:val="es-CO"/>
        </w:rPr>
        <w:t>Para 1) crédito individual; o 2) crédito asociativo con responsabilidad individual. Casos: desplazados, pequeño productor y mujer rural de bajos ingresos y joven rural, víctimas, reinsertados, reincorporados, desmovilizados y vinculados a programas de desarrollo alternativo, pago de pasivos no financieros; mediano productor (víctimas, reinsertados, reincorporados, desmovilizados y vinculados a programas de desarrollo alternativo</w:t>
      </w:r>
      <w:r w:rsidR="00567B23">
        <w:rPr>
          <w:rFonts w:ascii="Arial" w:hAnsi="Arial" w:cs="Arial"/>
          <w:sz w:val="22"/>
          <w:szCs w:val="22"/>
          <w:lang w:val="es-CO"/>
        </w:rPr>
        <w:t>,</w:t>
      </w:r>
      <w:r w:rsidR="00567B23" w:rsidRPr="00567B23">
        <w:rPr>
          <w:rFonts w:ascii="Arial" w:hAnsi="Arial" w:cs="Arial"/>
          <w:sz w:val="22"/>
          <w:szCs w:val="22"/>
          <w:lang w:val="es-CO"/>
        </w:rPr>
        <w:t xml:space="preserve"> </w:t>
      </w:r>
      <w:r w:rsidR="00567B23" w:rsidRPr="0025164D">
        <w:rPr>
          <w:rFonts w:ascii="Arial" w:hAnsi="Arial" w:cs="Arial"/>
          <w:sz w:val="22"/>
          <w:szCs w:val="22"/>
          <w:lang w:val="es-CO"/>
        </w:rPr>
        <w:t>pago de pasivos no financieros</w:t>
      </w:r>
      <w:r w:rsidRPr="0025164D">
        <w:rPr>
          <w:rFonts w:ascii="Arial" w:hAnsi="Arial" w:cs="Arial"/>
          <w:sz w:val="22"/>
          <w:szCs w:val="22"/>
          <w:lang w:val="es-CO"/>
        </w:rPr>
        <w:t>), gran productor (víctimas, reinsertados, reincorporados, desmovilizados y vinculados a programas de desarrollo alternativo):</w:t>
      </w:r>
    </w:p>
    <w:p w:rsidR="00AA7575" w:rsidRDefault="00AA7575" w:rsidP="00B84D2C">
      <w:pPr>
        <w:jc w:val="both"/>
        <w:rPr>
          <w:rFonts w:ascii="Arial" w:eastAsiaTheme="minorHAnsi" w:hAnsi="Arial" w:cs="Arial"/>
          <w:sz w:val="22"/>
          <w:szCs w:val="22"/>
          <w:lang w:eastAsia="es-CO"/>
        </w:rPr>
      </w:pPr>
    </w:p>
    <w:tbl>
      <w:tblPr>
        <w:tblW w:w="7782" w:type="dxa"/>
        <w:tblInd w:w="1129" w:type="dxa"/>
        <w:tblCellMar>
          <w:left w:w="70" w:type="dxa"/>
          <w:right w:w="70" w:type="dxa"/>
        </w:tblCellMar>
        <w:tblLook w:val="04A0" w:firstRow="1" w:lastRow="0" w:firstColumn="1" w:lastColumn="0" w:noHBand="0" w:noVBand="1"/>
      </w:tblPr>
      <w:tblGrid>
        <w:gridCol w:w="207"/>
        <w:gridCol w:w="5832"/>
        <w:gridCol w:w="329"/>
        <w:gridCol w:w="1414"/>
      </w:tblGrid>
      <w:tr w:rsidR="00180CF5" w:rsidRPr="00180CF5" w:rsidTr="003F1F17">
        <w:trPr>
          <w:trHeight w:val="315"/>
        </w:trPr>
        <w:tc>
          <w:tcPr>
            <w:tcW w:w="6039" w:type="dxa"/>
            <w:gridSpan w:val="2"/>
            <w:tcBorders>
              <w:top w:val="single" w:sz="4" w:space="0" w:color="auto"/>
              <w:left w:val="single" w:sz="4" w:space="0" w:color="auto"/>
              <w:bottom w:val="single" w:sz="8" w:space="0" w:color="auto"/>
              <w:right w:val="nil"/>
            </w:tcBorders>
            <w:shd w:val="clear" w:color="auto" w:fill="D9D9D9" w:themeFill="background1" w:themeFillShade="D9"/>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Tipo de productor</w:t>
            </w:r>
          </w:p>
        </w:tc>
        <w:tc>
          <w:tcPr>
            <w:tcW w:w="1743"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180CF5" w:rsidRPr="00180CF5" w:rsidRDefault="00180CF5" w:rsidP="00B104BB">
            <w:pPr>
              <w:jc w:val="cente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Comisión</w:t>
            </w:r>
          </w:p>
        </w:tc>
      </w:tr>
      <w:tr w:rsidR="00F04CB1" w:rsidRPr="00180CF5" w:rsidTr="00F00475">
        <w:trPr>
          <w:trHeight w:val="300"/>
        </w:trPr>
        <w:tc>
          <w:tcPr>
            <w:tcW w:w="6039" w:type="dxa"/>
            <w:gridSpan w:val="2"/>
            <w:tcBorders>
              <w:top w:val="single" w:sz="8" w:space="0" w:color="auto"/>
              <w:left w:val="single" w:sz="4" w:space="0" w:color="auto"/>
              <w:bottom w:val="nil"/>
              <w:right w:val="nil"/>
            </w:tcBorders>
            <w:shd w:val="clear" w:color="auto" w:fill="auto"/>
            <w:noWrap/>
            <w:vAlign w:val="center"/>
          </w:tcPr>
          <w:p w:rsidR="00F04CB1" w:rsidRPr="00180CF5" w:rsidRDefault="00F04CB1" w:rsidP="00B104BB">
            <w:pP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Desplazados</w:t>
            </w:r>
          </w:p>
        </w:tc>
        <w:tc>
          <w:tcPr>
            <w:tcW w:w="1743" w:type="dxa"/>
            <w:gridSpan w:val="2"/>
            <w:tcBorders>
              <w:top w:val="single" w:sz="8" w:space="0" w:color="auto"/>
              <w:left w:val="nil"/>
              <w:bottom w:val="single" w:sz="4" w:space="0" w:color="auto"/>
              <w:right w:val="single" w:sz="4" w:space="0" w:color="auto"/>
            </w:tcBorders>
            <w:shd w:val="clear" w:color="auto" w:fill="auto"/>
            <w:noWrap/>
            <w:vAlign w:val="center"/>
          </w:tcPr>
          <w:p w:rsidR="00F04CB1" w:rsidRPr="00180CF5" w:rsidRDefault="00A5283A" w:rsidP="00F04CB1">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00F04CB1">
              <w:rPr>
                <w:rFonts w:ascii="Arial" w:eastAsia="Times New Roman" w:hAnsi="Arial" w:cs="Arial"/>
                <w:color w:val="000000"/>
                <w:sz w:val="20"/>
                <w:szCs w:val="20"/>
                <w:lang w:eastAsia="es-CO"/>
              </w:rPr>
              <w:t>1.50%</w:t>
            </w:r>
          </w:p>
        </w:tc>
      </w:tr>
      <w:tr w:rsidR="00180CF5" w:rsidRPr="00180CF5" w:rsidTr="00F00475">
        <w:trPr>
          <w:trHeight w:val="300"/>
        </w:trPr>
        <w:tc>
          <w:tcPr>
            <w:tcW w:w="6039" w:type="dxa"/>
            <w:gridSpan w:val="2"/>
            <w:tcBorders>
              <w:top w:val="single" w:sz="8" w:space="0" w:color="auto"/>
              <w:left w:val="single" w:sz="4" w:space="0" w:color="auto"/>
              <w:bottom w:val="nil"/>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Pequeño productor, mujer rural de bajos ingresos y joven rural:</w:t>
            </w:r>
          </w:p>
        </w:tc>
        <w:tc>
          <w:tcPr>
            <w:tcW w:w="1743" w:type="dxa"/>
            <w:gridSpan w:val="2"/>
            <w:tcBorders>
              <w:top w:val="single" w:sz="4" w:space="0" w:color="auto"/>
              <w:left w:val="nil"/>
              <w:bottom w:val="nil"/>
              <w:right w:val="single" w:sz="4" w:space="0" w:color="auto"/>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w:t>
            </w:r>
          </w:p>
        </w:tc>
      </w:tr>
      <w:tr w:rsidR="00180CF5" w:rsidRPr="00180CF5" w:rsidTr="00180CF5">
        <w:trPr>
          <w:trHeight w:val="855"/>
        </w:trPr>
        <w:tc>
          <w:tcPr>
            <w:tcW w:w="207" w:type="dxa"/>
            <w:tcBorders>
              <w:top w:val="nil"/>
              <w:left w:val="single" w:sz="4" w:space="0" w:color="auto"/>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w:t>
            </w:r>
          </w:p>
        </w:tc>
        <w:tc>
          <w:tcPr>
            <w:tcW w:w="6161" w:type="dxa"/>
            <w:gridSpan w:val="2"/>
            <w:tcBorders>
              <w:top w:val="nil"/>
              <w:left w:val="nil"/>
              <w:bottom w:val="nil"/>
              <w:right w:val="nil"/>
            </w:tcBorders>
            <w:shd w:val="clear" w:color="auto" w:fill="auto"/>
            <w:vAlign w:val="center"/>
            <w:hideMark/>
          </w:tcPr>
          <w:p w:rsidR="00180CF5" w:rsidRPr="00180CF5" w:rsidRDefault="00180CF5" w:rsidP="00B104BB">
            <w:pPr>
              <w:rPr>
                <w:rFonts w:ascii="Arial" w:eastAsia="Times New Roman" w:hAnsi="Arial" w:cs="Arial"/>
                <w:color w:val="000000"/>
                <w:sz w:val="20"/>
                <w:szCs w:val="20"/>
                <w:lang w:eastAsia="es-CO"/>
              </w:rPr>
            </w:pPr>
            <w:r w:rsidRPr="00F04CB1">
              <w:rPr>
                <w:rFonts w:ascii="Arial" w:eastAsia="Times New Roman" w:hAnsi="Arial" w:cs="Arial"/>
                <w:color w:val="000000"/>
                <w:sz w:val="20"/>
                <w:szCs w:val="20"/>
                <w:lang w:eastAsia="es-CO"/>
              </w:rPr>
              <w:t>Víctimas</w:t>
            </w:r>
            <w:r w:rsidRPr="00180CF5">
              <w:rPr>
                <w:rFonts w:ascii="Arial" w:eastAsia="Times New Roman" w:hAnsi="Arial" w:cs="Arial"/>
                <w:color w:val="000000"/>
                <w:sz w:val="20"/>
                <w:szCs w:val="20"/>
                <w:lang w:eastAsia="es-CO"/>
              </w:rPr>
              <w:t>, reinsertados, reincorporados, desmovilizados y vinculados a programas de desarrollo alternativo, pago de pasivos no financieros</w:t>
            </w:r>
          </w:p>
        </w:tc>
        <w:tc>
          <w:tcPr>
            <w:tcW w:w="1414" w:type="dxa"/>
            <w:tcBorders>
              <w:top w:val="nil"/>
              <w:left w:val="nil"/>
              <w:bottom w:val="nil"/>
              <w:right w:val="single" w:sz="4" w:space="0" w:color="auto"/>
            </w:tcBorders>
            <w:shd w:val="clear" w:color="auto" w:fill="auto"/>
            <w:noWrap/>
            <w:vAlign w:val="center"/>
            <w:hideMark/>
          </w:tcPr>
          <w:p w:rsidR="00180CF5" w:rsidRPr="00180CF5" w:rsidRDefault="00180CF5" w:rsidP="00B104BB">
            <w:pPr>
              <w:jc w:val="cente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1,50%</w:t>
            </w:r>
          </w:p>
        </w:tc>
      </w:tr>
      <w:tr w:rsidR="00180CF5" w:rsidRPr="00180CF5" w:rsidTr="00180CF5">
        <w:trPr>
          <w:trHeight w:val="315"/>
        </w:trPr>
        <w:tc>
          <w:tcPr>
            <w:tcW w:w="207" w:type="dxa"/>
            <w:tcBorders>
              <w:top w:val="nil"/>
              <w:left w:val="single" w:sz="4" w:space="0" w:color="auto"/>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w:t>
            </w:r>
          </w:p>
        </w:tc>
        <w:tc>
          <w:tcPr>
            <w:tcW w:w="6161" w:type="dxa"/>
            <w:gridSpan w:val="2"/>
            <w:tcBorders>
              <w:top w:val="nil"/>
              <w:left w:val="nil"/>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xml:space="preserve">Ordinario </w:t>
            </w:r>
          </w:p>
        </w:tc>
        <w:tc>
          <w:tcPr>
            <w:tcW w:w="1414" w:type="dxa"/>
            <w:tcBorders>
              <w:top w:val="nil"/>
              <w:left w:val="nil"/>
              <w:right w:val="single" w:sz="4" w:space="0" w:color="auto"/>
            </w:tcBorders>
            <w:shd w:val="clear" w:color="auto" w:fill="auto"/>
            <w:noWrap/>
            <w:vAlign w:val="center"/>
            <w:hideMark/>
          </w:tcPr>
          <w:p w:rsidR="00180CF5" w:rsidRPr="00180CF5" w:rsidRDefault="00180CF5" w:rsidP="00B104BB">
            <w:pPr>
              <w:jc w:val="cente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1,50%</w:t>
            </w:r>
          </w:p>
        </w:tc>
      </w:tr>
      <w:tr w:rsidR="00180CF5" w:rsidRPr="00180CF5" w:rsidTr="00180CF5">
        <w:trPr>
          <w:trHeight w:val="122"/>
        </w:trPr>
        <w:tc>
          <w:tcPr>
            <w:tcW w:w="6039" w:type="dxa"/>
            <w:gridSpan w:val="2"/>
            <w:tcBorders>
              <w:top w:val="single" w:sz="4" w:space="0" w:color="auto"/>
              <w:left w:val="single" w:sz="8" w:space="0" w:color="auto"/>
              <w:bottom w:val="nil"/>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Mediano productor:</w:t>
            </w:r>
          </w:p>
        </w:tc>
        <w:tc>
          <w:tcPr>
            <w:tcW w:w="1743" w:type="dxa"/>
            <w:gridSpan w:val="2"/>
            <w:tcBorders>
              <w:top w:val="single" w:sz="4" w:space="0" w:color="auto"/>
              <w:left w:val="nil"/>
              <w:bottom w:val="nil"/>
              <w:right w:val="single" w:sz="8" w:space="0" w:color="auto"/>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w:t>
            </w:r>
          </w:p>
          <w:p w:rsidR="00180CF5" w:rsidRPr="00180CF5" w:rsidRDefault="00180CF5" w:rsidP="00B104BB">
            <w:pPr>
              <w:rPr>
                <w:rFonts w:ascii="Arial" w:eastAsia="Times New Roman" w:hAnsi="Arial" w:cs="Arial"/>
                <w:color w:val="000000"/>
                <w:sz w:val="20"/>
                <w:szCs w:val="20"/>
                <w:lang w:eastAsia="es-CO"/>
              </w:rPr>
            </w:pPr>
          </w:p>
        </w:tc>
      </w:tr>
      <w:tr w:rsidR="00180CF5" w:rsidRPr="00180CF5" w:rsidTr="00180CF5">
        <w:trPr>
          <w:trHeight w:val="753"/>
        </w:trPr>
        <w:tc>
          <w:tcPr>
            <w:tcW w:w="207" w:type="dxa"/>
            <w:tcBorders>
              <w:top w:val="nil"/>
              <w:left w:val="single" w:sz="8" w:space="0" w:color="auto"/>
              <w:bottom w:val="single" w:sz="4" w:space="0" w:color="auto"/>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w:t>
            </w:r>
          </w:p>
        </w:tc>
        <w:tc>
          <w:tcPr>
            <w:tcW w:w="6161" w:type="dxa"/>
            <w:gridSpan w:val="2"/>
            <w:tcBorders>
              <w:top w:val="nil"/>
              <w:left w:val="nil"/>
              <w:bottom w:val="single" w:sz="4" w:space="0" w:color="auto"/>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Víctimas, reinsertados, reincorporados, desmovilizados y vinculados a programas de desarrollo alternativo</w:t>
            </w:r>
          </w:p>
          <w:p w:rsidR="00180CF5" w:rsidRDefault="00180CF5" w:rsidP="00B104BB">
            <w:pPr>
              <w:rPr>
                <w:rFonts w:ascii="Arial" w:eastAsia="Times New Roman" w:hAnsi="Arial" w:cs="Arial"/>
                <w:color w:val="000000"/>
                <w:sz w:val="20"/>
                <w:szCs w:val="20"/>
                <w:lang w:eastAsia="es-CO"/>
              </w:rPr>
            </w:pPr>
            <w:proofErr w:type="spellStart"/>
            <w:r w:rsidRPr="00180CF5">
              <w:rPr>
                <w:rFonts w:ascii="Arial" w:eastAsia="Times New Roman" w:hAnsi="Arial" w:cs="Arial"/>
                <w:color w:val="000000"/>
                <w:sz w:val="20"/>
                <w:szCs w:val="20"/>
                <w:lang w:eastAsia="es-CO"/>
              </w:rPr>
              <w:t>FAG</w:t>
            </w:r>
            <w:proofErr w:type="spellEnd"/>
            <w:r w:rsidRPr="00180CF5">
              <w:rPr>
                <w:rFonts w:ascii="Arial" w:eastAsia="Times New Roman" w:hAnsi="Arial" w:cs="Arial"/>
                <w:color w:val="000000"/>
                <w:sz w:val="20"/>
                <w:szCs w:val="20"/>
                <w:lang w:eastAsia="es-CO"/>
              </w:rPr>
              <w:t xml:space="preserve"> Agricultura por Contrato</w:t>
            </w:r>
          </w:p>
          <w:p w:rsidR="00567B23" w:rsidRPr="00180CF5" w:rsidRDefault="00567B23" w:rsidP="00B104BB">
            <w:pP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Pago de Pasivos no Financieros</w:t>
            </w:r>
          </w:p>
        </w:tc>
        <w:tc>
          <w:tcPr>
            <w:tcW w:w="1414" w:type="dxa"/>
            <w:tcBorders>
              <w:top w:val="nil"/>
              <w:left w:val="nil"/>
              <w:bottom w:val="single" w:sz="4" w:space="0" w:color="auto"/>
              <w:right w:val="single" w:sz="8" w:space="0" w:color="auto"/>
            </w:tcBorders>
            <w:shd w:val="clear" w:color="auto" w:fill="auto"/>
            <w:noWrap/>
            <w:vAlign w:val="center"/>
            <w:hideMark/>
          </w:tcPr>
          <w:p w:rsidR="00180CF5" w:rsidRPr="00180CF5" w:rsidRDefault="00180CF5" w:rsidP="00B104BB">
            <w:pPr>
              <w:jc w:val="cente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3,00%</w:t>
            </w:r>
          </w:p>
          <w:p w:rsidR="00180CF5" w:rsidRPr="00180CF5" w:rsidRDefault="00180CF5" w:rsidP="00B104BB">
            <w:pPr>
              <w:jc w:val="center"/>
              <w:rPr>
                <w:rFonts w:ascii="Arial" w:eastAsia="Times New Roman" w:hAnsi="Arial" w:cs="Arial"/>
                <w:color w:val="000000"/>
                <w:sz w:val="20"/>
                <w:szCs w:val="20"/>
                <w:lang w:eastAsia="es-CO"/>
              </w:rPr>
            </w:pPr>
          </w:p>
          <w:p w:rsidR="00180CF5" w:rsidRDefault="003F1F17" w:rsidP="00B104B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r w:rsidR="00180CF5" w:rsidRPr="00180CF5">
              <w:rPr>
                <w:rFonts w:ascii="Arial" w:eastAsia="Times New Roman" w:hAnsi="Arial" w:cs="Arial"/>
                <w:color w:val="000000"/>
                <w:sz w:val="20"/>
                <w:szCs w:val="20"/>
                <w:lang w:eastAsia="es-CO"/>
              </w:rPr>
              <w:t>,</w:t>
            </w:r>
            <w:r w:rsidR="00073649">
              <w:rPr>
                <w:rFonts w:ascii="Arial" w:eastAsia="Times New Roman" w:hAnsi="Arial" w:cs="Arial"/>
                <w:color w:val="000000"/>
                <w:sz w:val="20"/>
                <w:szCs w:val="20"/>
                <w:lang w:eastAsia="es-CO"/>
              </w:rPr>
              <w:t>04</w:t>
            </w:r>
            <w:r w:rsidR="00180CF5" w:rsidRPr="00180CF5">
              <w:rPr>
                <w:rFonts w:ascii="Arial" w:eastAsia="Times New Roman" w:hAnsi="Arial" w:cs="Arial"/>
                <w:color w:val="000000"/>
                <w:sz w:val="20"/>
                <w:szCs w:val="20"/>
                <w:lang w:eastAsia="es-CO"/>
              </w:rPr>
              <w:t>%</w:t>
            </w:r>
          </w:p>
          <w:p w:rsidR="00567B23" w:rsidRPr="00180CF5" w:rsidRDefault="00567B23" w:rsidP="00B104B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2,55%</w:t>
            </w:r>
          </w:p>
        </w:tc>
      </w:tr>
      <w:tr w:rsidR="00180CF5" w:rsidRPr="00180CF5" w:rsidTr="00180CF5">
        <w:trPr>
          <w:trHeight w:val="300"/>
        </w:trPr>
        <w:tc>
          <w:tcPr>
            <w:tcW w:w="6039" w:type="dxa"/>
            <w:gridSpan w:val="2"/>
            <w:tcBorders>
              <w:left w:val="single" w:sz="8" w:space="0" w:color="auto"/>
              <w:bottom w:val="nil"/>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Gran productor:</w:t>
            </w:r>
          </w:p>
        </w:tc>
        <w:tc>
          <w:tcPr>
            <w:tcW w:w="1743" w:type="dxa"/>
            <w:gridSpan w:val="2"/>
            <w:tcBorders>
              <w:left w:val="nil"/>
              <w:bottom w:val="nil"/>
              <w:right w:val="single" w:sz="8" w:space="0" w:color="auto"/>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p>
        </w:tc>
      </w:tr>
      <w:tr w:rsidR="00180CF5" w:rsidRPr="00180CF5" w:rsidTr="00180CF5">
        <w:trPr>
          <w:trHeight w:val="315"/>
        </w:trPr>
        <w:tc>
          <w:tcPr>
            <w:tcW w:w="207" w:type="dxa"/>
            <w:tcBorders>
              <w:top w:val="nil"/>
              <w:left w:val="single" w:sz="8" w:space="0" w:color="auto"/>
              <w:bottom w:val="single" w:sz="8" w:space="0" w:color="auto"/>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 </w:t>
            </w:r>
          </w:p>
        </w:tc>
        <w:tc>
          <w:tcPr>
            <w:tcW w:w="6161" w:type="dxa"/>
            <w:gridSpan w:val="2"/>
            <w:tcBorders>
              <w:top w:val="nil"/>
              <w:left w:val="nil"/>
              <w:bottom w:val="single" w:sz="8" w:space="0" w:color="auto"/>
              <w:right w:val="nil"/>
            </w:tcBorders>
            <w:shd w:val="clear" w:color="auto" w:fill="auto"/>
            <w:noWrap/>
            <w:vAlign w:val="center"/>
            <w:hideMark/>
          </w:tcPr>
          <w:p w:rsidR="00180CF5" w:rsidRPr="00180CF5" w:rsidRDefault="00180CF5" w:rsidP="00B104BB">
            <w:pPr>
              <w:rPr>
                <w:rFonts w:ascii="Arial" w:eastAsia="Times New Roman" w:hAnsi="Arial" w:cs="Arial"/>
                <w:color w:val="000000"/>
                <w:sz w:val="20"/>
                <w:szCs w:val="20"/>
                <w:lang w:eastAsia="es-CO"/>
              </w:rPr>
            </w:pPr>
            <w:r w:rsidRPr="00180CF5">
              <w:rPr>
                <w:rFonts w:ascii="Arial" w:eastAsia="Times New Roman" w:hAnsi="Arial" w:cs="Arial"/>
                <w:color w:val="000000"/>
                <w:sz w:val="20"/>
                <w:szCs w:val="20"/>
                <w:lang w:eastAsia="es-CO"/>
              </w:rPr>
              <w:t>Víctimas, reinsertados reincorporados, desmovilizados y vinculados a programas de desarrollo alternativo</w:t>
            </w:r>
          </w:p>
        </w:tc>
        <w:tc>
          <w:tcPr>
            <w:tcW w:w="1414" w:type="dxa"/>
            <w:tcBorders>
              <w:top w:val="nil"/>
              <w:left w:val="nil"/>
              <w:bottom w:val="single" w:sz="8" w:space="0" w:color="auto"/>
              <w:right w:val="single" w:sz="8" w:space="0" w:color="auto"/>
            </w:tcBorders>
            <w:shd w:val="clear" w:color="auto" w:fill="auto"/>
            <w:noWrap/>
            <w:vAlign w:val="center"/>
            <w:hideMark/>
          </w:tcPr>
          <w:p w:rsidR="00180CF5" w:rsidRPr="00180CF5" w:rsidRDefault="00073649" w:rsidP="00B104B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r w:rsidR="00180CF5" w:rsidRPr="00180CF5">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5</w:t>
            </w:r>
            <w:r w:rsidR="00180CF5" w:rsidRPr="00180CF5">
              <w:rPr>
                <w:rFonts w:ascii="Arial" w:eastAsia="Times New Roman" w:hAnsi="Arial" w:cs="Arial"/>
                <w:color w:val="000000"/>
                <w:sz w:val="20"/>
                <w:szCs w:val="20"/>
                <w:lang w:eastAsia="es-CO"/>
              </w:rPr>
              <w:t>0%</w:t>
            </w:r>
          </w:p>
        </w:tc>
      </w:tr>
    </w:tbl>
    <w:p w:rsidR="000E2084" w:rsidRPr="000E2084" w:rsidRDefault="000E2084" w:rsidP="00B84D2C">
      <w:pPr>
        <w:jc w:val="both"/>
        <w:rPr>
          <w:rFonts w:ascii="Arial" w:eastAsiaTheme="minorHAnsi" w:hAnsi="Arial" w:cs="Arial"/>
          <w:sz w:val="22"/>
          <w:szCs w:val="22"/>
          <w:lang w:eastAsia="es-CO"/>
        </w:rPr>
      </w:pPr>
    </w:p>
    <w:p w:rsidR="0094075D" w:rsidRDefault="0094075D">
      <w:pPr>
        <w:widowControl/>
        <w:autoSpaceDE/>
        <w:autoSpaceDN/>
        <w:adjustRightInd/>
        <w:spacing w:after="160" w:line="259" w:lineRule="auto"/>
        <w:rPr>
          <w:rFonts w:ascii="Arial" w:eastAsiaTheme="minorEastAsia" w:hAnsi="Arial" w:cs="Arial"/>
          <w:sz w:val="22"/>
          <w:szCs w:val="22"/>
          <w:lang w:val="es-CO" w:eastAsia="en-US"/>
        </w:rPr>
      </w:pPr>
      <w:r>
        <w:rPr>
          <w:rFonts w:ascii="Arial" w:eastAsiaTheme="minorEastAsia" w:hAnsi="Arial" w:cs="Arial"/>
          <w:sz w:val="22"/>
          <w:szCs w:val="22"/>
          <w:lang w:val="es-CO" w:eastAsia="en-US"/>
        </w:rPr>
        <w:br w:type="page"/>
      </w:r>
    </w:p>
    <w:p w:rsidR="004476E3" w:rsidRDefault="00C639AE" w:rsidP="004B0A0A">
      <w:pPr>
        <w:pStyle w:val="Prrafodelista"/>
        <w:numPr>
          <w:ilvl w:val="0"/>
          <w:numId w:val="9"/>
        </w:numPr>
        <w:jc w:val="both"/>
        <w:rPr>
          <w:rFonts w:ascii="Arial" w:hAnsi="Arial" w:cs="Arial"/>
          <w:sz w:val="22"/>
          <w:szCs w:val="22"/>
          <w:lang w:val="es-CO"/>
        </w:rPr>
      </w:pPr>
      <w:r w:rsidRPr="004476E3">
        <w:rPr>
          <w:rFonts w:ascii="Arial" w:eastAsiaTheme="minorEastAsia" w:hAnsi="Arial" w:cs="Arial"/>
          <w:sz w:val="22"/>
          <w:szCs w:val="22"/>
          <w:lang w:val="es-CO" w:eastAsia="en-US"/>
        </w:rPr>
        <w:lastRenderedPageBreak/>
        <w:t>P</w:t>
      </w:r>
      <w:r w:rsidR="0025164D" w:rsidRPr="004476E3">
        <w:rPr>
          <w:rFonts w:ascii="Arial" w:hAnsi="Arial" w:cs="Arial"/>
          <w:sz w:val="22"/>
          <w:szCs w:val="22"/>
          <w:lang w:val="es-CO"/>
        </w:rPr>
        <w:t>ara 1) crédito individual; o 2) crédito asociativo con responsabilidad individual. Casos: mediano y gran productor (ordinario) y 3) medianos productores en pago de pasivos no financieros</w:t>
      </w:r>
      <w:r w:rsidR="004476E3" w:rsidRPr="004476E3">
        <w:rPr>
          <w:rFonts w:ascii="Arial" w:hAnsi="Arial" w:cs="Arial"/>
          <w:sz w:val="22"/>
          <w:szCs w:val="22"/>
          <w:lang w:val="es-CO"/>
        </w:rPr>
        <w:t>.</w:t>
      </w:r>
      <w:r w:rsidR="004476E3">
        <w:rPr>
          <w:rFonts w:ascii="Arial" w:hAnsi="Arial" w:cs="Arial"/>
          <w:sz w:val="22"/>
          <w:szCs w:val="22"/>
          <w:lang w:val="es-CO"/>
        </w:rPr>
        <w:t xml:space="preserve"> </w:t>
      </w:r>
      <w:r w:rsidR="004476E3" w:rsidRPr="004476E3">
        <w:rPr>
          <w:rFonts w:ascii="Arial" w:hAnsi="Arial" w:cs="Arial"/>
          <w:sz w:val="22"/>
          <w:szCs w:val="22"/>
          <w:lang w:val="es-CO"/>
        </w:rPr>
        <w:t>La</w:t>
      </w:r>
      <w:r w:rsidR="004476E3">
        <w:rPr>
          <w:rFonts w:ascii="Arial" w:hAnsi="Arial" w:cs="Arial"/>
          <w:sz w:val="22"/>
          <w:szCs w:val="22"/>
          <w:lang w:val="es-CO"/>
        </w:rPr>
        <w:t xml:space="preserve"> </w:t>
      </w:r>
      <w:r w:rsidR="004476E3" w:rsidRPr="004476E3">
        <w:rPr>
          <w:rFonts w:ascii="Arial" w:hAnsi="Arial" w:cs="Arial"/>
          <w:sz w:val="22"/>
          <w:szCs w:val="22"/>
          <w:lang w:val="es-CO"/>
        </w:rPr>
        <w:t>comisión es fija y se determina según el plazo en años pactados para el crédito, así:</w:t>
      </w:r>
    </w:p>
    <w:p w:rsidR="00AA58F2" w:rsidRPr="004476E3" w:rsidRDefault="003F1F17" w:rsidP="004476E3">
      <w:pPr>
        <w:pStyle w:val="Prrafodelista"/>
        <w:ind w:left="1068"/>
        <w:jc w:val="both"/>
        <w:rPr>
          <w:rFonts w:ascii="Arial" w:hAnsi="Arial" w:cs="Arial"/>
          <w:sz w:val="22"/>
          <w:szCs w:val="22"/>
          <w:lang w:val="es-CO"/>
        </w:rPr>
      </w:pPr>
      <w:r w:rsidRPr="004476E3">
        <w:rPr>
          <w:rFonts w:ascii="Arial" w:hAnsi="Arial" w:cs="Arial"/>
          <w:sz w:val="22"/>
          <w:szCs w:val="22"/>
          <w:lang w:val="es-CO"/>
        </w:rPr>
        <w:t xml:space="preserve"> </w:t>
      </w:r>
    </w:p>
    <w:tbl>
      <w:tblPr>
        <w:tblStyle w:val="Tablaconcuadrcula"/>
        <w:tblW w:w="0" w:type="auto"/>
        <w:jc w:val="center"/>
        <w:tblLook w:val="04A0" w:firstRow="1" w:lastRow="0" w:firstColumn="1" w:lastColumn="0" w:noHBand="0" w:noVBand="1"/>
      </w:tblPr>
      <w:tblGrid>
        <w:gridCol w:w="1277"/>
        <w:gridCol w:w="1475"/>
        <w:gridCol w:w="1084"/>
      </w:tblGrid>
      <w:tr w:rsidR="00073649" w:rsidTr="004476E3">
        <w:trPr>
          <w:trHeight w:val="208"/>
          <w:jc w:val="center"/>
        </w:trPr>
        <w:tc>
          <w:tcPr>
            <w:tcW w:w="1277" w:type="dxa"/>
            <w:shd w:val="clear" w:color="auto" w:fill="D9D9D9" w:themeFill="background1" w:themeFillShade="D9"/>
            <w:vAlign w:val="center"/>
          </w:tcPr>
          <w:p w:rsidR="00EE5DD6" w:rsidRDefault="00073649" w:rsidP="00073649">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Plazo del crédito </w:t>
            </w:r>
          </w:p>
          <w:p w:rsidR="00073649" w:rsidRDefault="00073649" w:rsidP="00073649">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(en años)</w:t>
            </w:r>
          </w:p>
        </w:tc>
        <w:tc>
          <w:tcPr>
            <w:tcW w:w="1475" w:type="dxa"/>
            <w:shd w:val="clear" w:color="auto" w:fill="D9D9D9" w:themeFill="background1" w:themeFillShade="D9"/>
            <w:vAlign w:val="center"/>
          </w:tcPr>
          <w:p w:rsidR="00073649" w:rsidRDefault="00073649" w:rsidP="00073649">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Comisión</w:t>
            </w:r>
          </w:p>
          <w:p w:rsidR="00073649" w:rsidRPr="0025164D" w:rsidRDefault="00073649" w:rsidP="00073649">
            <w:pPr>
              <w:jc w:val="center"/>
              <w:rPr>
                <w:rFonts w:ascii="Arial" w:eastAsiaTheme="minorHAnsi" w:hAnsi="Arial" w:cs="Arial"/>
                <w:b/>
                <w:sz w:val="20"/>
                <w:szCs w:val="20"/>
                <w:lang w:eastAsia="es-CO"/>
              </w:rPr>
            </w:pPr>
            <w:r>
              <w:rPr>
                <w:rFonts w:ascii="Arial" w:eastAsia="Times New Roman" w:hAnsi="Arial" w:cs="Arial"/>
                <w:color w:val="000000"/>
                <w:sz w:val="20"/>
                <w:szCs w:val="20"/>
                <w:lang w:eastAsia="es-CO"/>
              </w:rPr>
              <w:t>Mediano Productor</w:t>
            </w:r>
          </w:p>
        </w:tc>
        <w:tc>
          <w:tcPr>
            <w:tcW w:w="1084" w:type="dxa"/>
            <w:shd w:val="clear" w:color="auto" w:fill="D9D9D9" w:themeFill="background1" w:themeFillShade="D9"/>
            <w:vAlign w:val="center"/>
          </w:tcPr>
          <w:p w:rsidR="00073649" w:rsidRDefault="00073649" w:rsidP="00073649">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Comisión</w:t>
            </w:r>
          </w:p>
          <w:p w:rsidR="00073649" w:rsidRPr="0025164D" w:rsidRDefault="00073649" w:rsidP="00073649">
            <w:pPr>
              <w:jc w:val="center"/>
              <w:rPr>
                <w:rFonts w:ascii="Arial" w:eastAsiaTheme="minorHAnsi" w:hAnsi="Arial" w:cs="Arial"/>
                <w:b/>
                <w:sz w:val="20"/>
                <w:szCs w:val="20"/>
                <w:lang w:eastAsia="es-CO"/>
              </w:rPr>
            </w:pPr>
            <w:r>
              <w:rPr>
                <w:rFonts w:ascii="Arial" w:eastAsia="Times New Roman" w:hAnsi="Arial" w:cs="Arial"/>
                <w:color w:val="000000"/>
                <w:sz w:val="20"/>
                <w:szCs w:val="20"/>
                <w:lang w:eastAsia="es-CO"/>
              </w:rPr>
              <w:t>Gran Productor</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3.06%</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2.95%</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2</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2.70%</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2.60%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3</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2.46%</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2.40%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4</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2.34%</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2.25%</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5</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2.16%</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2.10%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6</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2.10%</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2.00%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7</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1.98%</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1.90%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8</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1.92%</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1.85%</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9</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1.86%</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1.80%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10</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1.80%</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1.75%</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11</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1.80%</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1.70%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12</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1.74%</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1.65%</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13</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1.68%</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1.60%</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14</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1.62%</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1.55%</w:t>
            </w:r>
          </w:p>
        </w:tc>
      </w:tr>
      <w:tr w:rsidR="00567B23" w:rsidTr="00B96F94">
        <w:trPr>
          <w:trHeight w:val="273"/>
          <w:jc w:val="center"/>
        </w:trPr>
        <w:tc>
          <w:tcPr>
            <w:tcW w:w="1277" w:type="dxa"/>
          </w:tcPr>
          <w:p w:rsidR="00567B23" w:rsidRDefault="00567B23" w:rsidP="00567B23">
            <w:pPr>
              <w:jc w:val="center"/>
              <w:rPr>
                <w:rFonts w:ascii="Arial" w:eastAsiaTheme="minorHAnsi" w:hAnsi="Arial" w:cs="Arial"/>
                <w:sz w:val="20"/>
                <w:szCs w:val="20"/>
                <w:lang w:eastAsia="es-CO"/>
              </w:rPr>
            </w:pPr>
            <w:r>
              <w:rPr>
                <w:rFonts w:ascii="Arial" w:eastAsiaTheme="minorHAnsi" w:hAnsi="Arial" w:cs="Arial"/>
                <w:sz w:val="20"/>
                <w:szCs w:val="20"/>
                <w:lang w:eastAsia="es-CO"/>
              </w:rPr>
              <w:t>15</w:t>
            </w:r>
          </w:p>
        </w:tc>
        <w:tc>
          <w:tcPr>
            <w:tcW w:w="1475"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1.56%</w:t>
            </w:r>
          </w:p>
        </w:tc>
        <w:tc>
          <w:tcPr>
            <w:tcW w:w="1084" w:type="dxa"/>
          </w:tcPr>
          <w:p w:rsidR="00567B23" w:rsidRPr="00567B23" w:rsidRDefault="00567B23" w:rsidP="00567B23">
            <w:pPr>
              <w:jc w:val="center"/>
              <w:rPr>
                <w:rFonts w:ascii="Arial" w:hAnsi="Arial" w:cs="Arial"/>
                <w:sz w:val="20"/>
                <w:szCs w:val="20"/>
              </w:rPr>
            </w:pPr>
            <w:r w:rsidRPr="00567B23">
              <w:rPr>
                <w:rFonts w:ascii="Arial" w:hAnsi="Arial" w:cs="Arial"/>
                <w:sz w:val="20"/>
                <w:szCs w:val="20"/>
              </w:rPr>
              <w:t>1.50%</w:t>
            </w:r>
          </w:p>
        </w:tc>
      </w:tr>
    </w:tbl>
    <w:p w:rsidR="00AA58F2" w:rsidRDefault="00AA58F2" w:rsidP="00B84D2C">
      <w:pPr>
        <w:pStyle w:val="Prrafodelista"/>
        <w:jc w:val="both"/>
        <w:rPr>
          <w:rFonts w:ascii="Arial" w:hAnsi="Arial" w:cs="Arial"/>
          <w:sz w:val="22"/>
          <w:szCs w:val="22"/>
          <w:lang w:val="es-CO"/>
        </w:rPr>
      </w:pPr>
    </w:p>
    <w:p w:rsidR="009A1457" w:rsidRDefault="00AA58F2" w:rsidP="00B84D2C">
      <w:pPr>
        <w:pStyle w:val="Prrafodelista"/>
        <w:numPr>
          <w:ilvl w:val="0"/>
          <w:numId w:val="9"/>
        </w:numPr>
        <w:jc w:val="both"/>
        <w:rPr>
          <w:rFonts w:ascii="Arial" w:hAnsi="Arial" w:cs="Arial"/>
          <w:sz w:val="22"/>
          <w:szCs w:val="22"/>
          <w:lang w:val="es-CO"/>
        </w:rPr>
      </w:pPr>
      <w:r>
        <w:rPr>
          <w:rFonts w:ascii="Arial" w:hAnsi="Arial" w:cs="Arial"/>
          <w:sz w:val="22"/>
          <w:szCs w:val="22"/>
          <w:lang w:val="es-CO"/>
        </w:rPr>
        <w:t>Para crédito con esquemas asociativos:</w:t>
      </w:r>
    </w:p>
    <w:p w:rsidR="00AA58F2" w:rsidRDefault="00AA58F2" w:rsidP="00B84D2C">
      <w:pPr>
        <w:pStyle w:val="Prrafodelista"/>
        <w:jc w:val="both"/>
        <w:rPr>
          <w:rFonts w:ascii="Arial" w:hAnsi="Arial" w:cs="Arial"/>
          <w:sz w:val="22"/>
          <w:szCs w:val="22"/>
          <w:lang w:val="es-CO"/>
        </w:rPr>
      </w:pPr>
    </w:p>
    <w:tbl>
      <w:tblPr>
        <w:tblStyle w:val="Tablaconcuadrcula"/>
        <w:tblW w:w="0" w:type="auto"/>
        <w:tblInd w:w="1129" w:type="dxa"/>
        <w:tblLook w:val="04A0" w:firstRow="1" w:lastRow="0" w:firstColumn="1" w:lastColumn="0" w:noHBand="0" w:noVBand="1"/>
      </w:tblPr>
      <w:tblGrid>
        <w:gridCol w:w="6096"/>
        <w:gridCol w:w="1603"/>
      </w:tblGrid>
      <w:tr w:rsidR="00AA58F2" w:rsidTr="00924BB7">
        <w:tc>
          <w:tcPr>
            <w:tcW w:w="6096" w:type="dxa"/>
            <w:shd w:val="clear" w:color="auto" w:fill="D9D9D9" w:themeFill="background1" w:themeFillShade="D9"/>
          </w:tcPr>
          <w:p w:rsidR="00AA58F2" w:rsidRPr="0025164D" w:rsidRDefault="003F1F17" w:rsidP="00B84D2C">
            <w:pPr>
              <w:jc w:val="center"/>
              <w:rPr>
                <w:rFonts w:ascii="Arial" w:eastAsiaTheme="minorHAnsi" w:hAnsi="Arial" w:cs="Arial"/>
                <w:b/>
                <w:sz w:val="20"/>
                <w:szCs w:val="20"/>
                <w:lang w:eastAsia="es-CO"/>
              </w:rPr>
            </w:pPr>
            <w:r>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rsidR="00AA58F2" w:rsidRPr="003F1F17" w:rsidRDefault="003F1F17" w:rsidP="00B84D2C">
            <w:pPr>
              <w:jc w:val="center"/>
              <w:rPr>
                <w:rFonts w:ascii="Arial" w:eastAsiaTheme="minorHAnsi" w:hAnsi="Arial" w:cs="Arial"/>
                <w:sz w:val="20"/>
                <w:szCs w:val="20"/>
                <w:lang w:eastAsia="es-CO"/>
              </w:rPr>
            </w:pPr>
            <w:r w:rsidRPr="003F1F17">
              <w:rPr>
                <w:rFonts w:ascii="Arial" w:eastAsiaTheme="minorHAnsi" w:hAnsi="Arial" w:cs="Arial"/>
                <w:sz w:val="20"/>
                <w:szCs w:val="20"/>
                <w:lang w:eastAsia="es-CO"/>
              </w:rPr>
              <w:t>Comisión</w:t>
            </w:r>
          </w:p>
        </w:tc>
      </w:tr>
      <w:tr w:rsidR="00AA58F2" w:rsidTr="00924BB7">
        <w:tc>
          <w:tcPr>
            <w:tcW w:w="6096" w:type="dxa"/>
          </w:tcPr>
          <w:p w:rsidR="00AA58F2" w:rsidRPr="007B3646" w:rsidRDefault="00AA58F2" w:rsidP="00B84D2C">
            <w:pPr>
              <w:jc w:val="both"/>
              <w:rPr>
                <w:rFonts w:ascii="Arial" w:eastAsiaTheme="minorHAnsi" w:hAnsi="Arial" w:cs="Arial"/>
                <w:sz w:val="20"/>
                <w:szCs w:val="20"/>
                <w:lang w:eastAsia="es-CO"/>
              </w:rPr>
            </w:pPr>
            <w:r>
              <w:rPr>
                <w:rFonts w:ascii="Arial" w:eastAsiaTheme="minorHAnsi" w:hAnsi="Arial" w:cs="Arial"/>
                <w:sz w:val="20"/>
                <w:szCs w:val="20"/>
                <w:lang w:eastAsia="es-CO"/>
              </w:rPr>
              <w:t>Esquemas asociativos</w:t>
            </w:r>
          </w:p>
        </w:tc>
        <w:tc>
          <w:tcPr>
            <w:tcW w:w="1603" w:type="dxa"/>
            <w:vAlign w:val="center"/>
          </w:tcPr>
          <w:p w:rsidR="00AA58F2" w:rsidRPr="007B3646" w:rsidRDefault="00AA58F2" w:rsidP="00B84D2C">
            <w:pPr>
              <w:jc w:val="center"/>
              <w:rPr>
                <w:rFonts w:ascii="Arial" w:eastAsiaTheme="minorHAnsi" w:hAnsi="Arial" w:cs="Arial"/>
                <w:sz w:val="20"/>
                <w:szCs w:val="20"/>
                <w:lang w:eastAsia="es-CO"/>
              </w:rPr>
            </w:pPr>
            <w:r w:rsidRPr="007B3646">
              <w:rPr>
                <w:rFonts w:ascii="Arial" w:eastAsiaTheme="minorHAnsi" w:hAnsi="Arial" w:cs="Arial"/>
                <w:sz w:val="20"/>
                <w:szCs w:val="20"/>
                <w:lang w:eastAsia="es-CO"/>
              </w:rPr>
              <w:t>1.50%</w:t>
            </w:r>
          </w:p>
        </w:tc>
      </w:tr>
      <w:tr w:rsidR="00AA58F2" w:rsidTr="00924BB7">
        <w:tc>
          <w:tcPr>
            <w:tcW w:w="6096" w:type="dxa"/>
            <w:vAlign w:val="center"/>
          </w:tcPr>
          <w:p w:rsidR="00AA58F2" w:rsidRPr="007B3646" w:rsidRDefault="00AA58F2" w:rsidP="00B84D2C">
            <w:pPr>
              <w:rPr>
                <w:rFonts w:ascii="Arial" w:eastAsiaTheme="minorHAnsi" w:hAnsi="Arial" w:cs="Arial"/>
                <w:sz w:val="20"/>
                <w:szCs w:val="20"/>
                <w:lang w:eastAsia="es-CO"/>
              </w:rPr>
            </w:pPr>
            <w:r w:rsidRPr="00AA58F2">
              <w:rPr>
                <w:rFonts w:ascii="Arial" w:eastAsiaTheme="minorHAnsi" w:hAnsi="Arial" w:cs="Arial"/>
                <w:sz w:val="20"/>
                <w:szCs w:val="20"/>
                <w:lang w:eastAsia="es-CO"/>
              </w:rPr>
              <w:t>Esquemas de integración</w:t>
            </w:r>
          </w:p>
        </w:tc>
        <w:tc>
          <w:tcPr>
            <w:tcW w:w="1603" w:type="dxa"/>
          </w:tcPr>
          <w:p w:rsidR="00AA58F2" w:rsidRPr="007B3646" w:rsidRDefault="00AA58F2" w:rsidP="00B84D2C">
            <w:pPr>
              <w:jc w:val="center"/>
              <w:rPr>
                <w:rFonts w:ascii="Arial" w:eastAsiaTheme="minorHAnsi" w:hAnsi="Arial" w:cs="Arial"/>
                <w:sz w:val="20"/>
                <w:szCs w:val="20"/>
                <w:lang w:eastAsia="es-CO"/>
              </w:rPr>
            </w:pPr>
            <w:r>
              <w:rPr>
                <w:rFonts w:ascii="Arial" w:eastAsiaTheme="minorHAnsi" w:hAnsi="Arial" w:cs="Arial"/>
                <w:sz w:val="20"/>
                <w:szCs w:val="20"/>
                <w:lang w:eastAsia="es-CO"/>
              </w:rPr>
              <w:t>2.25%</w:t>
            </w:r>
          </w:p>
        </w:tc>
      </w:tr>
    </w:tbl>
    <w:p w:rsidR="00AA58F2" w:rsidRPr="00C639AE" w:rsidRDefault="00AA58F2" w:rsidP="00B84D2C">
      <w:pPr>
        <w:pStyle w:val="Prrafodelista"/>
        <w:jc w:val="both"/>
        <w:rPr>
          <w:rFonts w:ascii="Arial" w:hAnsi="Arial" w:cs="Arial"/>
          <w:sz w:val="22"/>
          <w:szCs w:val="22"/>
          <w:lang w:val="es-CO"/>
        </w:rPr>
      </w:pPr>
    </w:p>
    <w:p w:rsidR="0025164D" w:rsidRDefault="00493AF7" w:rsidP="00506A01">
      <w:pPr>
        <w:pStyle w:val="vineta"/>
        <w:numPr>
          <w:ilvl w:val="0"/>
          <w:numId w:val="9"/>
        </w:numPr>
        <w:spacing w:after="0"/>
        <w:rPr>
          <w:rFonts w:ascii="Arial" w:hAnsi="Arial" w:cs="Arial"/>
          <w:color w:val="auto"/>
          <w:sz w:val="22"/>
          <w:szCs w:val="22"/>
          <w:lang w:val="es-CO"/>
        </w:rPr>
      </w:pPr>
      <w:r w:rsidRPr="001A1193">
        <w:rPr>
          <w:rFonts w:ascii="Arial" w:hAnsi="Arial" w:cs="Arial"/>
          <w:color w:val="auto"/>
          <w:sz w:val="22"/>
          <w:szCs w:val="22"/>
          <w:lang w:val="es-CO"/>
        </w:rPr>
        <w:t>Para microcrédito agropecuario y rural</w:t>
      </w:r>
      <w:r w:rsidR="00C52F8D">
        <w:rPr>
          <w:rFonts w:ascii="Arial" w:hAnsi="Arial" w:cs="Arial"/>
          <w:color w:val="auto"/>
          <w:sz w:val="22"/>
          <w:szCs w:val="22"/>
          <w:lang w:val="es-CO"/>
        </w:rPr>
        <w:t>:</w:t>
      </w:r>
    </w:p>
    <w:p w:rsidR="00C52F8D" w:rsidRPr="001A1193" w:rsidRDefault="00C52F8D" w:rsidP="00506A01">
      <w:pPr>
        <w:pStyle w:val="vineta"/>
        <w:spacing w:after="0"/>
        <w:ind w:left="720" w:firstLine="0"/>
        <w:rPr>
          <w:rFonts w:ascii="Arial" w:hAnsi="Arial" w:cs="Arial"/>
          <w:color w:val="auto"/>
          <w:sz w:val="22"/>
          <w:szCs w:val="22"/>
          <w:lang w:val="es-CO"/>
        </w:rPr>
      </w:pPr>
    </w:p>
    <w:tbl>
      <w:tblPr>
        <w:tblStyle w:val="Tablaconcuadrcula"/>
        <w:tblW w:w="0" w:type="auto"/>
        <w:tblInd w:w="1129" w:type="dxa"/>
        <w:tblLook w:val="04A0" w:firstRow="1" w:lastRow="0" w:firstColumn="1" w:lastColumn="0" w:noHBand="0" w:noVBand="1"/>
      </w:tblPr>
      <w:tblGrid>
        <w:gridCol w:w="6096"/>
        <w:gridCol w:w="1603"/>
      </w:tblGrid>
      <w:tr w:rsidR="003F1F17" w:rsidTr="005D3B79">
        <w:tc>
          <w:tcPr>
            <w:tcW w:w="6096" w:type="dxa"/>
            <w:shd w:val="clear" w:color="auto" w:fill="D9D9D9" w:themeFill="background1" w:themeFillShade="D9"/>
          </w:tcPr>
          <w:p w:rsidR="003F1F17" w:rsidRPr="0025164D" w:rsidRDefault="003F1F17" w:rsidP="003F1F17">
            <w:pPr>
              <w:jc w:val="center"/>
              <w:rPr>
                <w:rFonts w:ascii="Arial" w:eastAsiaTheme="minorHAnsi" w:hAnsi="Arial" w:cs="Arial"/>
                <w:b/>
                <w:sz w:val="20"/>
                <w:szCs w:val="20"/>
                <w:lang w:eastAsia="es-CO"/>
              </w:rPr>
            </w:pPr>
            <w:r>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rsidR="003F1F17" w:rsidRPr="003F1F17" w:rsidRDefault="003F1F17" w:rsidP="003F1F17">
            <w:pPr>
              <w:jc w:val="center"/>
              <w:rPr>
                <w:rFonts w:ascii="Arial" w:eastAsiaTheme="minorHAnsi" w:hAnsi="Arial" w:cs="Arial"/>
                <w:sz w:val="20"/>
                <w:szCs w:val="20"/>
                <w:lang w:eastAsia="es-CO"/>
              </w:rPr>
            </w:pPr>
            <w:r w:rsidRPr="003F1F17">
              <w:rPr>
                <w:rFonts w:ascii="Arial" w:eastAsiaTheme="minorHAnsi" w:hAnsi="Arial" w:cs="Arial"/>
                <w:sz w:val="20"/>
                <w:szCs w:val="20"/>
                <w:lang w:eastAsia="es-CO"/>
              </w:rPr>
              <w:t>Comisión</w:t>
            </w:r>
          </w:p>
        </w:tc>
      </w:tr>
      <w:tr w:rsidR="00493AF7" w:rsidTr="005D3B79">
        <w:tc>
          <w:tcPr>
            <w:tcW w:w="6096" w:type="dxa"/>
          </w:tcPr>
          <w:p w:rsidR="00493AF7" w:rsidRPr="00493AF7" w:rsidRDefault="00493AF7" w:rsidP="00506A01">
            <w:pPr>
              <w:jc w:val="both"/>
              <w:rPr>
                <w:rFonts w:ascii="Arial" w:eastAsiaTheme="minorHAnsi" w:hAnsi="Arial" w:cs="Arial"/>
                <w:sz w:val="20"/>
                <w:szCs w:val="20"/>
                <w:lang w:eastAsia="es-CO"/>
              </w:rPr>
            </w:pPr>
            <w:r w:rsidRPr="00493AF7">
              <w:rPr>
                <w:rFonts w:ascii="Arial" w:hAnsi="Arial" w:cs="Arial"/>
                <w:sz w:val="20"/>
                <w:szCs w:val="20"/>
                <w:lang w:val="es-CO"/>
              </w:rPr>
              <w:t>Microcrédito agropecuario y rural con tecnología microfinanciera</w:t>
            </w:r>
          </w:p>
        </w:tc>
        <w:tc>
          <w:tcPr>
            <w:tcW w:w="1603" w:type="dxa"/>
            <w:vAlign w:val="center"/>
          </w:tcPr>
          <w:p w:rsidR="00493AF7" w:rsidRPr="007B3646" w:rsidRDefault="003F1F17" w:rsidP="00506A01">
            <w:pPr>
              <w:jc w:val="center"/>
              <w:rPr>
                <w:rFonts w:ascii="Arial" w:eastAsiaTheme="minorHAnsi" w:hAnsi="Arial" w:cs="Arial"/>
                <w:sz w:val="20"/>
                <w:szCs w:val="20"/>
                <w:lang w:eastAsia="es-CO"/>
              </w:rPr>
            </w:pPr>
            <w:r>
              <w:rPr>
                <w:rFonts w:ascii="Arial" w:eastAsiaTheme="minorHAnsi" w:hAnsi="Arial" w:cs="Arial"/>
                <w:sz w:val="20"/>
                <w:szCs w:val="20"/>
                <w:lang w:eastAsia="es-CO"/>
              </w:rPr>
              <w:t>2,50</w:t>
            </w:r>
            <w:r w:rsidR="00493AF7" w:rsidRPr="007B3646">
              <w:rPr>
                <w:rFonts w:ascii="Arial" w:eastAsiaTheme="minorHAnsi" w:hAnsi="Arial" w:cs="Arial"/>
                <w:sz w:val="20"/>
                <w:szCs w:val="20"/>
                <w:lang w:eastAsia="es-CO"/>
              </w:rPr>
              <w:t>%</w:t>
            </w:r>
          </w:p>
        </w:tc>
      </w:tr>
    </w:tbl>
    <w:p w:rsidR="001A1193" w:rsidRDefault="001A1193" w:rsidP="00506A01">
      <w:pPr>
        <w:pStyle w:val="Cuerpo"/>
        <w:spacing w:after="0"/>
        <w:ind w:left="720"/>
        <w:rPr>
          <w:lang w:val="es-CO"/>
        </w:rPr>
      </w:pPr>
    </w:p>
    <w:p w:rsidR="00C52F8D" w:rsidRDefault="001A1193" w:rsidP="00506A01">
      <w:pPr>
        <w:pStyle w:val="Cuerpo"/>
        <w:numPr>
          <w:ilvl w:val="0"/>
          <w:numId w:val="9"/>
        </w:numPr>
        <w:spacing w:after="0"/>
        <w:rPr>
          <w:rFonts w:ascii="Arial" w:hAnsi="Arial" w:cs="Arial"/>
          <w:color w:val="auto"/>
          <w:sz w:val="22"/>
          <w:szCs w:val="22"/>
          <w:lang w:val="es-CO"/>
        </w:rPr>
      </w:pPr>
      <w:r w:rsidRPr="001A1193">
        <w:rPr>
          <w:rFonts w:ascii="Arial" w:hAnsi="Arial" w:cs="Arial"/>
          <w:color w:val="auto"/>
          <w:sz w:val="22"/>
          <w:szCs w:val="22"/>
          <w:lang w:val="es-CO"/>
        </w:rPr>
        <w:t>Embarcaciones pesqueras y de cabotaje – Buenaventura:</w:t>
      </w:r>
    </w:p>
    <w:p w:rsidR="000E2084" w:rsidRPr="001A1193" w:rsidRDefault="001A1193" w:rsidP="00506A01">
      <w:pPr>
        <w:pStyle w:val="Cuerpo"/>
        <w:spacing w:after="0"/>
        <w:ind w:left="720"/>
        <w:rPr>
          <w:rFonts w:ascii="Arial" w:hAnsi="Arial" w:cs="Arial"/>
          <w:color w:val="auto"/>
          <w:sz w:val="22"/>
          <w:szCs w:val="22"/>
          <w:lang w:val="es-CO"/>
        </w:rPr>
      </w:pPr>
      <w:r w:rsidRPr="001A1193">
        <w:rPr>
          <w:rFonts w:ascii="Arial" w:hAnsi="Arial" w:cs="Arial"/>
          <w:color w:val="auto"/>
          <w:sz w:val="22"/>
          <w:szCs w:val="22"/>
          <w:lang w:val="es-CO"/>
        </w:rPr>
        <w:t xml:space="preserve"> </w:t>
      </w:r>
    </w:p>
    <w:tbl>
      <w:tblPr>
        <w:tblStyle w:val="Tablaconcuadrcula"/>
        <w:tblW w:w="0" w:type="auto"/>
        <w:tblInd w:w="1129" w:type="dxa"/>
        <w:tblLook w:val="04A0" w:firstRow="1" w:lastRow="0" w:firstColumn="1" w:lastColumn="0" w:noHBand="0" w:noVBand="1"/>
      </w:tblPr>
      <w:tblGrid>
        <w:gridCol w:w="6096"/>
        <w:gridCol w:w="1603"/>
      </w:tblGrid>
      <w:tr w:rsidR="003F1F17" w:rsidTr="005D3B79">
        <w:tc>
          <w:tcPr>
            <w:tcW w:w="6096" w:type="dxa"/>
            <w:shd w:val="clear" w:color="auto" w:fill="D9D9D9" w:themeFill="background1" w:themeFillShade="D9"/>
          </w:tcPr>
          <w:p w:rsidR="003F1F17" w:rsidRPr="0025164D" w:rsidRDefault="003F1F17" w:rsidP="003F1F17">
            <w:pPr>
              <w:jc w:val="center"/>
              <w:rPr>
                <w:rFonts w:ascii="Arial" w:eastAsiaTheme="minorHAnsi" w:hAnsi="Arial" w:cs="Arial"/>
                <w:b/>
                <w:sz w:val="20"/>
                <w:szCs w:val="20"/>
                <w:lang w:eastAsia="es-CO"/>
              </w:rPr>
            </w:pPr>
            <w:r>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rsidR="003F1F17" w:rsidRPr="003F1F17" w:rsidRDefault="003F1F17" w:rsidP="003F1F17">
            <w:pPr>
              <w:jc w:val="center"/>
              <w:rPr>
                <w:rFonts w:ascii="Arial" w:eastAsiaTheme="minorHAnsi" w:hAnsi="Arial" w:cs="Arial"/>
                <w:sz w:val="20"/>
                <w:szCs w:val="20"/>
                <w:lang w:eastAsia="es-CO"/>
              </w:rPr>
            </w:pPr>
            <w:r w:rsidRPr="003F1F17">
              <w:rPr>
                <w:rFonts w:ascii="Arial" w:eastAsiaTheme="minorHAnsi" w:hAnsi="Arial" w:cs="Arial"/>
                <w:sz w:val="20"/>
                <w:szCs w:val="20"/>
                <w:lang w:eastAsia="es-CO"/>
              </w:rPr>
              <w:t>Comisión</w:t>
            </w:r>
          </w:p>
        </w:tc>
      </w:tr>
      <w:tr w:rsidR="001A1193" w:rsidTr="005D3B79">
        <w:tc>
          <w:tcPr>
            <w:tcW w:w="6096" w:type="dxa"/>
          </w:tcPr>
          <w:p w:rsidR="001A1193" w:rsidRPr="00493AF7" w:rsidRDefault="00AA013C" w:rsidP="00506A01">
            <w:pPr>
              <w:jc w:val="both"/>
              <w:rPr>
                <w:rFonts w:ascii="Arial" w:eastAsiaTheme="minorHAnsi" w:hAnsi="Arial" w:cs="Arial"/>
                <w:sz w:val="20"/>
                <w:szCs w:val="20"/>
                <w:lang w:eastAsia="es-CO"/>
              </w:rPr>
            </w:pPr>
            <w:r>
              <w:rPr>
                <w:rFonts w:ascii="Arial" w:hAnsi="Arial" w:cs="Arial"/>
                <w:sz w:val="20"/>
                <w:szCs w:val="20"/>
                <w:lang w:val="es-CO"/>
              </w:rPr>
              <w:t>Embarcaciones pesqueras y de cabotaje - Buenaventura</w:t>
            </w:r>
          </w:p>
        </w:tc>
        <w:tc>
          <w:tcPr>
            <w:tcW w:w="1603" w:type="dxa"/>
            <w:vAlign w:val="center"/>
          </w:tcPr>
          <w:p w:rsidR="001A1193" w:rsidRPr="007B3646" w:rsidRDefault="001A1193" w:rsidP="00506A01">
            <w:pPr>
              <w:jc w:val="center"/>
              <w:rPr>
                <w:rFonts w:ascii="Arial" w:eastAsiaTheme="minorHAnsi" w:hAnsi="Arial" w:cs="Arial"/>
                <w:sz w:val="20"/>
                <w:szCs w:val="20"/>
                <w:lang w:eastAsia="es-CO"/>
              </w:rPr>
            </w:pPr>
            <w:r w:rsidRPr="007B3646">
              <w:rPr>
                <w:rFonts w:ascii="Arial" w:eastAsiaTheme="minorHAnsi" w:hAnsi="Arial" w:cs="Arial"/>
                <w:sz w:val="20"/>
                <w:szCs w:val="20"/>
                <w:lang w:eastAsia="es-CO"/>
              </w:rPr>
              <w:t>1.50%</w:t>
            </w:r>
          </w:p>
        </w:tc>
      </w:tr>
    </w:tbl>
    <w:p w:rsidR="00481031" w:rsidRDefault="00481031" w:rsidP="00481031">
      <w:pPr>
        <w:jc w:val="both"/>
        <w:rPr>
          <w:rFonts w:ascii="Calibri" w:eastAsiaTheme="minorEastAsia" w:hAnsi="Calibri" w:cs="Calibri"/>
          <w:sz w:val="26"/>
          <w:szCs w:val="26"/>
          <w:lang w:val="es-CO" w:eastAsia="en-US"/>
        </w:rPr>
      </w:pPr>
    </w:p>
    <w:p w:rsidR="00CC1207" w:rsidRPr="00481031" w:rsidRDefault="00026236" w:rsidP="00481031">
      <w:pPr>
        <w:pStyle w:val="Prrafodelista"/>
        <w:numPr>
          <w:ilvl w:val="0"/>
          <w:numId w:val="9"/>
        </w:numPr>
        <w:jc w:val="both"/>
        <w:rPr>
          <w:rFonts w:ascii="Arial" w:hAnsi="Arial" w:cs="Arial"/>
          <w:sz w:val="22"/>
          <w:szCs w:val="22"/>
          <w:lang w:val="es-CO"/>
        </w:rPr>
      </w:pPr>
      <w:r w:rsidRPr="00481031">
        <w:rPr>
          <w:rFonts w:ascii="Arial" w:hAnsi="Arial" w:cs="Arial"/>
          <w:sz w:val="22"/>
          <w:szCs w:val="22"/>
          <w:lang w:val="es-CO"/>
        </w:rPr>
        <w:t xml:space="preserve">Para créditos destinados a financiar proyectos </w:t>
      </w:r>
      <w:r w:rsidR="00075AC6" w:rsidRPr="00481031">
        <w:rPr>
          <w:rFonts w:ascii="Arial" w:hAnsi="Arial" w:cs="Arial"/>
          <w:sz w:val="22"/>
          <w:szCs w:val="22"/>
          <w:lang w:val="es-CO"/>
        </w:rPr>
        <w:t xml:space="preserve">del sector agropecuario, pesquero, de la acuicultura, forestal, y rural en general en condiciones de mercado. Estos créditos corresponden a aquellos </w:t>
      </w:r>
      <w:r w:rsidR="005D731C" w:rsidRPr="00481031">
        <w:rPr>
          <w:rFonts w:ascii="Arial" w:hAnsi="Arial" w:cs="Arial"/>
          <w:sz w:val="22"/>
          <w:szCs w:val="22"/>
          <w:lang w:val="es-CO"/>
        </w:rPr>
        <w:t xml:space="preserve">que no reúnen las condiciones establecidas por la Comisión Nacional de Crédito Agropecuario y las reglamentaciones correspondientes para su redescuento o validación como cartera sustitutiva ante FINAGRO, y se deberán registrar como </w:t>
      </w:r>
      <w:r w:rsidR="005D731C" w:rsidRPr="00FB2F68">
        <w:rPr>
          <w:rFonts w:ascii="Arial" w:hAnsi="Arial" w:cs="Arial"/>
          <w:i/>
          <w:sz w:val="22"/>
          <w:szCs w:val="22"/>
          <w:lang w:val="es-CO"/>
        </w:rPr>
        <w:t>“otra cartera agropecuaria en condiciones de mercado”</w:t>
      </w:r>
      <w:r w:rsidR="005D731C" w:rsidRPr="00481031">
        <w:rPr>
          <w:rFonts w:ascii="Arial" w:hAnsi="Arial" w:cs="Arial"/>
          <w:sz w:val="22"/>
          <w:szCs w:val="22"/>
          <w:lang w:val="es-CO"/>
        </w:rPr>
        <w:t xml:space="preserve"> ante FINAGRO</w:t>
      </w:r>
      <w:r w:rsidR="00C52F8D" w:rsidRPr="00481031">
        <w:rPr>
          <w:rFonts w:ascii="Arial" w:hAnsi="Arial" w:cs="Arial"/>
          <w:sz w:val="22"/>
          <w:szCs w:val="22"/>
          <w:lang w:val="es-CO"/>
        </w:rPr>
        <w:t>:</w:t>
      </w:r>
    </w:p>
    <w:p w:rsidR="00506A01" w:rsidRPr="00CB4CEE" w:rsidRDefault="00506A01" w:rsidP="00506A01">
      <w:pPr>
        <w:pStyle w:val="Cuerpo"/>
        <w:spacing w:after="0"/>
        <w:ind w:left="720"/>
        <w:rPr>
          <w:color w:val="auto"/>
          <w:lang w:val="es-CO"/>
        </w:rPr>
      </w:pPr>
    </w:p>
    <w:tbl>
      <w:tblPr>
        <w:tblStyle w:val="Tablaconcuadrcula"/>
        <w:tblW w:w="0" w:type="auto"/>
        <w:tblInd w:w="1129" w:type="dxa"/>
        <w:tblLook w:val="04A0" w:firstRow="1" w:lastRow="0" w:firstColumn="1" w:lastColumn="0" w:noHBand="0" w:noVBand="1"/>
      </w:tblPr>
      <w:tblGrid>
        <w:gridCol w:w="6096"/>
        <w:gridCol w:w="1603"/>
      </w:tblGrid>
      <w:tr w:rsidR="003F1F17" w:rsidRPr="00CB4CEE" w:rsidTr="005D3B79">
        <w:tc>
          <w:tcPr>
            <w:tcW w:w="6096" w:type="dxa"/>
            <w:shd w:val="clear" w:color="auto" w:fill="D9D9D9" w:themeFill="background1" w:themeFillShade="D9"/>
          </w:tcPr>
          <w:p w:rsidR="003F1F17" w:rsidRPr="0025164D" w:rsidRDefault="003F1F17" w:rsidP="003F1F17">
            <w:pPr>
              <w:jc w:val="center"/>
              <w:rPr>
                <w:rFonts w:ascii="Arial" w:eastAsiaTheme="minorHAnsi" w:hAnsi="Arial" w:cs="Arial"/>
                <w:b/>
                <w:sz w:val="20"/>
                <w:szCs w:val="20"/>
                <w:lang w:eastAsia="es-CO"/>
              </w:rPr>
            </w:pPr>
            <w:r>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rsidR="003F1F17" w:rsidRPr="003F1F17" w:rsidRDefault="003F1F17" w:rsidP="003F1F17">
            <w:pPr>
              <w:jc w:val="center"/>
              <w:rPr>
                <w:rFonts w:ascii="Arial" w:eastAsiaTheme="minorHAnsi" w:hAnsi="Arial" w:cs="Arial"/>
                <w:sz w:val="20"/>
                <w:szCs w:val="20"/>
                <w:lang w:eastAsia="es-CO"/>
              </w:rPr>
            </w:pPr>
            <w:r w:rsidRPr="003F1F17">
              <w:rPr>
                <w:rFonts w:ascii="Arial" w:eastAsiaTheme="minorHAnsi" w:hAnsi="Arial" w:cs="Arial"/>
                <w:sz w:val="20"/>
                <w:szCs w:val="20"/>
                <w:lang w:eastAsia="es-CO"/>
              </w:rPr>
              <w:t>Comisión</w:t>
            </w:r>
          </w:p>
        </w:tc>
      </w:tr>
      <w:tr w:rsidR="00CB4CEE" w:rsidTr="005D3B79">
        <w:tc>
          <w:tcPr>
            <w:tcW w:w="6096" w:type="dxa"/>
          </w:tcPr>
          <w:p w:rsidR="00CB4CEE" w:rsidRPr="00493AF7" w:rsidRDefault="00CB4CEE" w:rsidP="00506A01">
            <w:pPr>
              <w:jc w:val="both"/>
              <w:rPr>
                <w:rFonts w:ascii="Arial" w:eastAsiaTheme="minorHAnsi" w:hAnsi="Arial" w:cs="Arial"/>
                <w:sz w:val="20"/>
                <w:szCs w:val="20"/>
                <w:lang w:eastAsia="es-CO"/>
              </w:rPr>
            </w:pPr>
            <w:proofErr w:type="spellStart"/>
            <w:r>
              <w:rPr>
                <w:rFonts w:ascii="Arial" w:hAnsi="Arial" w:cs="Arial"/>
                <w:sz w:val="20"/>
                <w:szCs w:val="20"/>
                <w:lang w:val="es-CO"/>
              </w:rPr>
              <w:t>FAG</w:t>
            </w:r>
            <w:proofErr w:type="spellEnd"/>
            <w:r>
              <w:rPr>
                <w:rFonts w:ascii="Arial" w:hAnsi="Arial" w:cs="Arial"/>
                <w:sz w:val="20"/>
                <w:szCs w:val="20"/>
                <w:lang w:val="es-CO"/>
              </w:rPr>
              <w:t xml:space="preserve"> en condiciones de mercado – Pequeño Productor</w:t>
            </w:r>
          </w:p>
        </w:tc>
        <w:tc>
          <w:tcPr>
            <w:tcW w:w="1603" w:type="dxa"/>
            <w:vAlign w:val="center"/>
          </w:tcPr>
          <w:p w:rsidR="00CB4CEE" w:rsidRPr="007B3646" w:rsidRDefault="003F1F17" w:rsidP="003F1F17">
            <w:pPr>
              <w:jc w:val="center"/>
              <w:rPr>
                <w:rFonts w:ascii="Arial" w:eastAsiaTheme="minorHAnsi" w:hAnsi="Arial" w:cs="Arial"/>
                <w:sz w:val="20"/>
                <w:szCs w:val="20"/>
                <w:lang w:eastAsia="es-CO"/>
              </w:rPr>
            </w:pPr>
            <w:r>
              <w:rPr>
                <w:rFonts w:ascii="Arial" w:eastAsiaTheme="minorHAnsi" w:hAnsi="Arial" w:cs="Arial"/>
                <w:sz w:val="20"/>
                <w:szCs w:val="20"/>
                <w:lang w:eastAsia="es-CO"/>
              </w:rPr>
              <w:t>2,68</w:t>
            </w:r>
            <w:r w:rsidR="00CB4CEE" w:rsidRPr="007B3646">
              <w:rPr>
                <w:rFonts w:ascii="Arial" w:eastAsiaTheme="minorHAnsi" w:hAnsi="Arial" w:cs="Arial"/>
                <w:sz w:val="20"/>
                <w:szCs w:val="20"/>
                <w:lang w:eastAsia="es-CO"/>
              </w:rPr>
              <w:t>%</w:t>
            </w:r>
          </w:p>
        </w:tc>
      </w:tr>
      <w:tr w:rsidR="00CB4CEE" w:rsidTr="005D3B79">
        <w:tc>
          <w:tcPr>
            <w:tcW w:w="6096" w:type="dxa"/>
          </w:tcPr>
          <w:p w:rsidR="00CB4CEE" w:rsidRDefault="00CB4CEE" w:rsidP="00506A01">
            <w:pPr>
              <w:jc w:val="both"/>
              <w:rPr>
                <w:rFonts w:ascii="Arial" w:hAnsi="Arial" w:cs="Arial"/>
                <w:sz w:val="20"/>
                <w:szCs w:val="20"/>
                <w:lang w:val="es-CO"/>
              </w:rPr>
            </w:pPr>
            <w:proofErr w:type="spellStart"/>
            <w:r>
              <w:rPr>
                <w:rFonts w:ascii="Arial" w:hAnsi="Arial" w:cs="Arial"/>
                <w:sz w:val="20"/>
                <w:szCs w:val="20"/>
                <w:lang w:val="es-CO"/>
              </w:rPr>
              <w:t>FAG</w:t>
            </w:r>
            <w:proofErr w:type="spellEnd"/>
            <w:r>
              <w:rPr>
                <w:rFonts w:ascii="Arial" w:hAnsi="Arial" w:cs="Arial"/>
                <w:sz w:val="20"/>
                <w:szCs w:val="20"/>
                <w:lang w:val="es-CO"/>
              </w:rPr>
              <w:t xml:space="preserve"> en condiciones de mercado – Mediano Productor</w:t>
            </w:r>
          </w:p>
        </w:tc>
        <w:tc>
          <w:tcPr>
            <w:tcW w:w="1603" w:type="dxa"/>
            <w:vAlign w:val="center"/>
          </w:tcPr>
          <w:p w:rsidR="00CB4CEE" w:rsidRDefault="00787FE8" w:rsidP="003F1F17">
            <w:pPr>
              <w:jc w:val="center"/>
              <w:rPr>
                <w:rFonts w:ascii="Arial" w:eastAsiaTheme="minorHAnsi" w:hAnsi="Arial" w:cs="Arial"/>
                <w:sz w:val="20"/>
                <w:szCs w:val="20"/>
                <w:lang w:eastAsia="es-CO"/>
              </w:rPr>
            </w:pPr>
            <w:r>
              <w:rPr>
                <w:rFonts w:ascii="Arial" w:eastAsiaTheme="minorHAnsi" w:hAnsi="Arial" w:cs="Arial"/>
                <w:sz w:val="20"/>
                <w:szCs w:val="20"/>
                <w:lang w:eastAsia="es-CO"/>
              </w:rPr>
              <w:softHyphen/>
            </w:r>
            <w:r w:rsidR="003F1F17">
              <w:rPr>
                <w:rFonts w:ascii="Arial" w:eastAsiaTheme="minorHAnsi" w:hAnsi="Arial" w:cs="Arial"/>
                <w:sz w:val="20"/>
                <w:szCs w:val="20"/>
                <w:lang w:eastAsia="es-CO"/>
              </w:rPr>
              <w:t>2,</w:t>
            </w:r>
            <w:r w:rsidR="00567B23">
              <w:rPr>
                <w:rFonts w:ascii="Arial" w:eastAsiaTheme="minorHAnsi" w:hAnsi="Arial" w:cs="Arial"/>
                <w:sz w:val="20"/>
                <w:szCs w:val="20"/>
                <w:lang w:eastAsia="es-CO"/>
              </w:rPr>
              <w:t>20</w:t>
            </w:r>
            <w:r w:rsidR="00CB4CEE">
              <w:rPr>
                <w:rFonts w:ascii="Arial" w:eastAsiaTheme="minorHAnsi" w:hAnsi="Arial" w:cs="Arial"/>
                <w:sz w:val="20"/>
                <w:szCs w:val="20"/>
                <w:lang w:eastAsia="es-CO"/>
              </w:rPr>
              <w:t>%</w:t>
            </w:r>
          </w:p>
        </w:tc>
      </w:tr>
    </w:tbl>
    <w:p w:rsidR="00CB4CEE" w:rsidRDefault="00CB4CEE" w:rsidP="00506A01">
      <w:pPr>
        <w:pStyle w:val="vineta"/>
        <w:spacing w:after="0"/>
        <w:ind w:left="1065" w:firstLine="0"/>
        <w:rPr>
          <w:lang w:val="es-CO"/>
        </w:rPr>
      </w:pPr>
    </w:p>
    <w:p w:rsidR="000E3375" w:rsidRPr="000E3375" w:rsidRDefault="00D766AE" w:rsidP="009900CE">
      <w:pPr>
        <w:ind w:left="708"/>
        <w:jc w:val="both"/>
        <w:rPr>
          <w:rFonts w:ascii="Arial" w:hAnsi="Arial" w:cs="Arial"/>
          <w:sz w:val="22"/>
          <w:szCs w:val="22"/>
          <w:lang w:val="es-CO"/>
        </w:rPr>
      </w:pPr>
      <w:r w:rsidRPr="000E3375">
        <w:rPr>
          <w:rFonts w:ascii="Arial" w:hAnsi="Arial" w:cs="Arial"/>
          <w:b/>
          <w:sz w:val="22"/>
          <w:szCs w:val="22"/>
          <w:lang w:val="es-CO"/>
        </w:rPr>
        <w:t xml:space="preserve">Parágrafo primero: </w:t>
      </w:r>
      <w:r w:rsidR="00845223" w:rsidRPr="000E3375">
        <w:rPr>
          <w:rFonts w:ascii="Arial" w:hAnsi="Arial" w:cs="Arial"/>
          <w:sz w:val="22"/>
          <w:szCs w:val="22"/>
          <w:lang w:val="es-CO"/>
        </w:rPr>
        <w:t>En el caso de operaciones de microcrédito agropecuario y rural con tecnología microfinanciera</w:t>
      </w:r>
      <w:r w:rsidRPr="000E3375">
        <w:rPr>
          <w:rFonts w:ascii="Arial" w:hAnsi="Arial" w:cs="Arial"/>
          <w:sz w:val="22"/>
          <w:szCs w:val="22"/>
          <w:lang w:val="es-CO"/>
        </w:rPr>
        <w:t xml:space="preserve"> y </w:t>
      </w:r>
      <w:proofErr w:type="spellStart"/>
      <w:r w:rsidRPr="000E3375">
        <w:rPr>
          <w:rFonts w:ascii="Arial" w:hAnsi="Arial" w:cs="Arial"/>
          <w:sz w:val="22"/>
          <w:szCs w:val="22"/>
          <w:lang w:val="es-CO"/>
        </w:rPr>
        <w:t>FAG</w:t>
      </w:r>
      <w:proofErr w:type="spellEnd"/>
      <w:r w:rsidRPr="000E3375">
        <w:rPr>
          <w:rFonts w:ascii="Arial" w:hAnsi="Arial" w:cs="Arial"/>
          <w:sz w:val="22"/>
          <w:szCs w:val="22"/>
          <w:lang w:val="es-CO"/>
        </w:rPr>
        <w:t xml:space="preserve"> en condiciones de mercado</w:t>
      </w:r>
      <w:r w:rsidR="00845223" w:rsidRPr="000E3375">
        <w:rPr>
          <w:rFonts w:ascii="Arial" w:hAnsi="Arial" w:cs="Arial"/>
          <w:sz w:val="22"/>
          <w:szCs w:val="22"/>
          <w:lang w:val="es-CO"/>
        </w:rPr>
        <w:t>, la comisión podrá ser revisada y de ser necesario modificada periódicamente por</w:t>
      </w:r>
      <w:r w:rsidRPr="000E3375">
        <w:rPr>
          <w:rFonts w:ascii="Arial" w:hAnsi="Arial" w:cs="Arial"/>
          <w:sz w:val="22"/>
          <w:szCs w:val="22"/>
          <w:lang w:val="es-CO"/>
        </w:rPr>
        <w:t xml:space="preserve"> esta Comisión</w:t>
      </w:r>
      <w:r w:rsidR="00845223" w:rsidRPr="000E3375">
        <w:rPr>
          <w:rFonts w:ascii="Arial" w:hAnsi="Arial" w:cs="Arial"/>
          <w:sz w:val="22"/>
          <w:szCs w:val="22"/>
          <w:lang w:val="es-CO"/>
        </w:rPr>
        <w:t>.</w:t>
      </w:r>
    </w:p>
    <w:p w:rsidR="000E3375" w:rsidRPr="000E3375" w:rsidRDefault="000E3375" w:rsidP="000E3375">
      <w:pPr>
        <w:jc w:val="both"/>
        <w:rPr>
          <w:rFonts w:ascii="Arial" w:hAnsi="Arial" w:cs="Arial"/>
          <w:sz w:val="22"/>
          <w:szCs w:val="22"/>
          <w:lang w:val="es-CO"/>
        </w:rPr>
      </w:pPr>
    </w:p>
    <w:p w:rsidR="00845223" w:rsidRPr="000E3375" w:rsidRDefault="00DA26B6" w:rsidP="009900CE">
      <w:pPr>
        <w:ind w:left="708"/>
        <w:jc w:val="both"/>
        <w:rPr>
          <w:rFonts w:ascii="Arial" w:hAnsi="Arial" w:cs="Arial"/>
          <w:sz w:val="22"/>
          <w:szCs w:val="22"/>
          <w:lang w:val="es-CO"/>
        </w:rPr>
      </w:pPr>
      <w:r w:rsidRPr="000E3375">
        <w:rPr>
          <w:rFonts w:ascii="Arial" w:hAnsi="Arial" w:cs="Arial"/>
          <w:b/>
          <w:sz w:val="22"/>
          <w:szCs w:val="22"/>
          <w:lang w:val="es-CO"/>
        </w:rPr>
        <w:t xml:space="preserve">Parágrafo segundo: </w:t>
      </w:r>
      <w:r w:rsidR="00845223" w:rsidRPr="000E3375">
        <w:rPr>
          <w:rFonts w:ascii="Arial" w:hAnsi="Arial" w:cs="Arial"/>
          <w:sz w:val="22"/>
          <w:szCs w:val="22"/>
          <w:lang w:val="es-CO"/>
        </w:rPr>
        <w:t xml:space="preserve">En los casos en que el crédito garantizado por el </w:t>
      </w:r>
      <w:proofErr w:type="spellStart"/>
      <w:r w:rsidR="00845223" w:rsidRPr="000E3375">
        <w:rPr>
          <w:rFonts w:ascii="Arial" w:hAnsi="Arial" w:cs="Arial"/>
          <w:sz w:val="22"/>
          <w:szCs w:val="22"/>
          <w:lang w:val="es-CO"/>
        </w:rPr>
        <w:t>FAG</w:t>
      </w:r>
      <w:proofErr w:type="spellEnd"/>
      <w:r w:rsidR="00845223" w:rsidRPr="000E3375">
        <w:rPr>
          <w:rFonts w:ascii="Arial" w:hAnsi="Arial" w:cs="Arial"/>
          <w:sz w:val="22"/>
          <w:szCs w:val="22"/>
          <w:lang w:val="es-CO"/>
        </w:rPr>
        <w:t>, financie un proyecto agropecuario que cuente con una póliza de seguro agropecuario, el valor de la comisión tendrá un descuento del 10%.</w:t>
      </w:r>
      <w:r w:rsidR="00C6714E">
        <w:rPr>
          <w:rFonts w:ascii="Arial" w:hAnsi="Arial" w:cs="Arial"/>
          <w:sz w:val="22"/>
          <w:szCs w:val="22"/>
          <w:lang w:val="es-CO"/>
        </w:rPr>
        <w:t>”</w:t>
      </w:r>
    </w:p>
    <w:p w:rsidR="00882BF0" w:rsidRDefault="00882BF0" w:rsidP="00DA26B6">
      <w:pPr>
        <w:pStyle w:val="Prrafodelista"/>
        <w:ind w:left="1065"/>
        <w:jc w:val="both"/>
        <w:rPr>
          <w:rFonts w:ascii="Arial" w:eastAsiaTheme="minorHAnsi" w:hAnsi="Arial" w:cs="Arial"/>
          <w:b/>
          <w:sz w:val="22"/>
          <w:szCs w:val="22"/>
          <w:lang w:eastAsia="es-CO"/>
        </w:rPr>
      </w:pPr>
    </w:p>
    <w:p w:rsidR="00496FE8" w:rsidRPr="009900CE" w:rsidRDefault="00496FE8" w:rsidP="00496FE8">
      <w:pPr>
        <w:jc w:val="both"/>
        <w:rPr>
          <w:rFonts w:ascii="Arial" w:eastAsiaTheme="minorHAnsi" w:hAnsi="Arial" w:cs="Arial"/>
          <w:sz w:val="22"/>
          <w:szCs w:val="22"/>
          <w:lang w:eastAsia="es-CO"/>
        </w:rPr>
      </w:pPr>
      <w:r>
        <w:rPr>
          <w:rFonts w:ascii="Arial" w:eastAsiaTheme="minorHAnsi" w:hAnsi="Arial" w:cs="Arial"/>
          <w:b/>
          <w:sz w:val="22"/>
          <w:szCs w:val="22"/>
          <w:lang w:eastAsia="es-CO"/>
        </w:rPr>
        <w:t xml:space="preserve">Artículo </w:t>
      </w:r>
      <w:proofErr w:type="spellStart"/>
      <w:r>
        <w:rPr>
          <w:rFonts w:ascii="Arial" w:eastAsiaTheme="minorHAnsi" w:hAnsi="Arial" w:cs="Arial"/>
          <w:b/>
          <w:sz w:val="22"/>
          <w:szCs w:val="22"/>
          <w:lang w:eastAsia="es-CO"/>
        </w:rPr>
        <w:t>3o</w:t>
      </w:r>
      <w:proofErr w:type="spellEnd"/>
      <w:r>
        <w:rPr>
          <w:rFonts w:ascii="Arial" w:eastAsiaTheme="minorHAnsi" w:hAnsi="Arial" w:cs="Arial"/>
          <w:b/>
          <w:sz w:val="22"/>
          <w:szCs w:val="22"/>
          <w:lang w:eastAsia="es-CO"/>
        </w:rPr>
        <w:t xml:space="preserve">. </w:t>
      </w:r>
      <w:r w:rsidRPr="009900CE">
        <w:rPr>
          <w:rFonts w:ascii="Arial" w:eastAsiaTheme="minorHAnsi" w:hAnsi="Arial" w:cs="Arial"/>
          <w:sz w:val="22"/>
          <w:szCs w:val="22"/>
          <w:lang w:eastAsia="es-CO"/>
        </w:rPr>
        <w:t xml:space="preserve">Modificar el parágrafo segundo del literal b. del artículo </w:t>
      </w:r>
      <w:proofErr w:type="spellStart"/>
      <w:r w:rsidRPr="009900CE">
        <w:rPr>
          <w:rFonts w:ascii="Arial" w:eastAsiaTheme="minorHAnsi" w:hAnsi="Arial" w:cs="Arial"/>
          <w:sz w:val="22"/>
          <w:szCs w:val="22"/>
          <w:lang w:eastAsia="es-CO"/>
        </w:rPr>
        <w:t>1o</w:t>
      </w:r>
      <w:proofErr w:type="spellEnd"/>
      <w:r w:rsidRPr="009900CE">
        <w:rPr>
          <w:rFonts w:ascii="Arial" w:eastAsiaTheme="minorHAnsi" w:hAnsi="Arial" w:cs="Arial"/>
          <w:sz w:val="22"/>
          <w:szCs w:val="22"/>
          <w:lang w:eastAsia="es-CO"/>
        </w:rPr>
        <w:t>. de la Resolución</w:t>
      </w:r>
      <w:r w:rsidR="00512B88">
        <w:rPr>
          <w:rFonts w:ascii="Arial" w:eastAsiaTheme="minorHAnsi" w:hAnsi="Arial" w:cs="Arial"/>
          <w:sz w:val="22"/>
          <w:szCs w:val="22"/>
          <w:lang w:eastAsia="es-CO"/>
        </w:rPr>
        <w:t xml:space="preserve"> No. </w:t>
      </w:r>
      <w:r w:rsidRPr="009900CE">
        <w:rPr>
          <w:rFonts w:ascii="Arial" w:eastAsiaTheme="minorHAnsi" w:hAnsi="Arial" w:cs="Arial"/>
          <w:sz w:val="22"/>
          <w:szCs w:val="22"/>
          <w:lang w:eastAsia="es-CO"/>
        </w:rPr>
        <w:t>10 de 2018, el cual queda así:</w:t>
      </w:r>
    </w:p>
    <w:p w:rsidR="00496FE8" w:rsidRDefault="00496FE8" w:rsidP="00496FE8">
      <w:pPr>
        <w:jc w:val="both"/>
        <w:rPr>
          <w:rFonts w:ascii="Arial" w:eastAsiaTheme="minorHAnsi" w:hAnsi="Arial" w:cs="Arial"/>
          <w:b/>
          <w:sz w:val="22"/>
          <w:szCs w:val="22"/>
          <w:lang w:eastAsia="es-CO"/>
        </w:rPr>
      </w:pPr>
    </w:p>
    <w:p w:rsidR="00092658" w:rsidRPr="008D0798" w:rsidRDefault="00510DC9" w:rsidP="00092658">
      <w:pPr>
        <w:ind w:left="705"/>
        <w:jc w:val="both"/>
        <w:rPr>
          <w:rFonts w:ascii="Arial" w:eastAsiaTheme="minorHAnsi" w:hAnsi="Arial" w:cs="Arial"/>
          <w:sz w:val="22"/>
          <w:szCs w:val="22"/>
          <w:lang w:eastAsia="es-CO"/>
        </w:rPr>
      </w:pPr>
      <w:r>
        <w:rPr>
          <w:rFonts w:ascii="Arial" w:eastAsiaTheme="minorHAnsi" w:hAnsi="Arial" w:cs="Arial"/>
          <w:b/>
          <w:sz w:val="22"/>
          <w:szCs w:val="22"/>
          <w:lang w:eastAsia="es-CO"/>
        </w:rPr>
        <w:t>“</w:t>
      </w:r>
      <w:r w:rsidR="00496FE8">
        <w:rPr>
          <w:rFonts w:ascii="Arial" w:eastAsiaTheme="minorHAnsi" w:hAnsi="Arial" w:cs="Arial"/>
          <w:b/>
          <w:sz w:val="22"/>
          <w:szCs w:val="22"/>
          <w:lang w:eastAsia="es-CO"/>
        </w:rPr>
        <w:t xml:space="preserve">Parágrafo segundo. </w:t>
      </w:r>
      <w:r w:rsidR="00D278B3" w:rsidRPr="00F03832">
        <w:rPr>
          <w:rFonts w:ascii="Arial" w:eastAsiaTheme="minorHAnsi" w:hAnsi="Arial" w:cs="Arial"/>
          <w:sz w:val="22"/>
          <w:szCs w:val="22"/>
          <w:lang w:eastAsia="es-CO"/>
        </w:rPr>
        <w:t xml:space="preserve">En el caso de las operaciones de crédito que accedan a la garantía del </w:t>
      </w:r>
      <w:proofErr w:type="spellStart"/>
      <w:r w:rsidR="00D278B3" w:rsidRPr="00F03832">
        <w:rPr>
          <w:rFonts w:ascii="Arial" w:eastAsiaTheme="minorHAnsi" w:hAnsi="Arial" w:cs="Arial"/>
          <w:sz w:val="22"/>
          <w:szCs w:val="22"/>
          <w:lang w:eastAsia="es-CO"/>
        </w:rPr>
        <w:t>FAG</w:t>
      </w:r>
      <w:proofErr w:type="spellEnd"/>
      <w:r w:rsidR="00D278B3" w:rsidRPr="00F03832">
        <w:rPr>
          <w:rFonts w:ascii="Arial" w:eastAsiaTheme="minorHAnsi" w:hAnsi="Arial" w:cs="Arial"/>
          <w:sz w:val="22"/>
          <w:szCs w:val="22"/>
          <w:lang w:eastAsia="es-CO"/>
        </w:rPr>
        <w:t xml:space="preserve"> y cuenten con garantías institucionales complementarias</w:t>
      </w:r>
      <w:r w:rsidR="009476B4" w:rsidRPr="00F03832">
        <w:rPr>
          <w:rFonts w:ascii="Arial" w:eastAsiaTheme="minorHAnsi" w:hAnsi="Arial" w:cs="Arial"/>
          <w:sz w:val="22"/>
          <w:szCs w:val="22"/>
          <w:lang w:eastAsia="es-CO"/>
        </w:rPr>
        <w:t>, la suma</w:t>
      </w:r>
      <w:r w:rsidR="00D278B3" w:rsidRPr="00F03832">
        <w:rPr>
          <w:rFonts w:ascii="Arial" w:eastAsiaTheme="minorHAnsi" w:hAnsi="Arial" w:cs="Arial"/>
          <w:sz w:val="22"/>
          <w:szCs w:val="22"/>
          <w:lang w:eastAsia="es-CO"/>
        </w:rPr>
        <w:t xml:space="preserve"> total</w:t>
      </w:r>
      <w:r w:rsidR="009476B4" w:rsidRPr="00F03832">
        <w:rPr>
          <w:rFonts w:ascii="Arial" w:eastAsiaTheme="minorHAnsi" w:hAnsi="Arial" w:cs="Arial"/>
          <w:sz w:val="22"/>
          <w:szCs w:val="22"/>
          <w:lang w:eastAsia="es-CO"/>
        </w:rPr>
        <w:t xml:space="preserve"> de la cob</w:t>
      </w:r>
      <w:r w:rsidR="009476B4">
        <w:rPr>
          <w:rFonts w:ascii="Arial" w:eastAsiaTheme="minorHAnsi" w:hAnsi="Arial" w:cs="Arial"/>
          <w:sz w:val="22"/>
          <w:szCs w:val="22"/>
          <w:lang w:eastAsia="es-CO"/>
        </w:rPr>
        <w:t xml:space="preserve">ertura de </w:t>
      </w:r>
      <w:r w:rsidR="00D278B3">
        <w:rPr>
          <w:rFonts w:ascii="Arial" w:eastAsiaTheme="minorHAnsi" w:hAnsi="Arial" w:cs="Arial"/>
          <w:sz w:val="22"/>
          <w:szCs w:val="22"/>
          <w:lang w:eastAsia="es-CO"/>
        </w:rPr>
        <w:t>amba</w:t>
      </w:r>
      <w:r w:rsidR="009476B4">
        <w:rPr>
          <w:rFonts w:ascii="Arial" w:eastAsiaTheme="minorHAnsi" w:hAnsi="Arial" w:cs="Arial"/>
          <w:sz w:val="22"/>
          <w:szCs w:val="22"/>
          <w:lang w:eastAsia="es-CO"/>
        </w:rPr>
        <w:t xml:space="preserve">s garantías </w:t>
      </w:r>
      <w:r w:rsidR="00D278B3">
        <w:rPr>
          <w:rFonts w:ascii="Arial" w:eastAsiaTheme="minorHAnsi" w:hAnsi="Arial" w:cs="Arial"/>
          <w:sz w:val="22"/>
          <w:szCs w:val="22"/>
          <w:lang w:eastAsia="es-CO"/>
        </w:rPr>
        <w:t>no podrá exceder los límites de</w:t>
      </w:r>
      <w:r w:rsidR="00193A8D">
        <w:rPr>
          <w:rFonts w:ascii="Arial" w:eastAsiaTheme="minorHAnsi" w:hAnsi="Arial" w:cs="Arial"/>
          <w:sz w:val="22"/>
          <w:szCs w:val="22"/>
          <w:lang w:eastAsia="es-CO"/>
        </w:rPr>
        <w:t xml:space="preserve"> cobertura </w:t>
      </w:r>
      <w:r w:rsidR="00F03832" w:rsidRPr="008D0798">
        <w:rPr>
          <w:rFonts w:ascii="Arial" w:eastAsiaTheme="minorHAnsi" w:hAnsi="Arial" w:cs="Arial"/>
          <w:sz w:val="22"/>
          <w:szCs w:val="22"/>
          <w:lang w:eastAsia="es-CO"/>
        </w:rPr>
        <w:t xml:space="preserve">del </w:t>
      </w:r>
      <w:proofErr w:type="spellStart"/>
      <w:r w:rsidR="00D278B3" w:rsidRPr="008D0798">
        <w:rPr>
          <w:rFonts w:ascii="Arial" w:eastAsiaTheme="minorHAnsi" w:hAnsi="Arial" w:cs="Arial"/>
          <w:sz w:val="22"/>
          <w:szCs w:val="22"/>
          <w:lang w:eastAsia="es-CO"/>
        </w:rPr>
        <w:t>FAG</w:t>
      </w:r>
      <w:proofErr w:type="spellEnd"/>
      <w:r w:rsidR="009476B4" w:rsidRPr="008D0798">
        <w:rPr>
          <w:rFonts w:ascii="Arial" w:eastAsiaTheme="minorHAnsi" w:hAnsi="Arial" w:cs="Arial"/>
          <w:sz w:val="22"/>
          <w:szCs w:val="22"/>
          <w:lang w:eastAsia="es-CO"/>
        </w:rPr>
        <w:t xml:space="preserve"> establecido</w:t>
      </w:r>
      <w:r w:rsidR="00193A8D" w:rsidRPr="008D0798">
        <w:rPr>
          <w:rFonts w:ascii="Arial" w:eastAsiaTheme="minorHAnsi" w:hAnsi="Arial" w:cs="Arial"/>
          <w:sz w:val="22"/>
          <w:szCs w:val="22"/>
          <w:lang w:eastAsia="es-CO"/>
        </w:rPr>
        <w:t>s</w:t>
      </w:r>
      <w:r w:rsidR="009476B4" w:rsidRPr="008D0798">
        <w:rPr>
          <w:rFonts w:ascii="Arial" w:eastAsiaTheme="minorHAnsi" w:hAnsi="Arial" w:cs="Arial"/>
          <w:sz w:val="22"/>
          <w:szCs w:val="22"/>
          <w:lang w:eastAsia="es-CO"/>
        </w:rPr>
        <w:t xml:space="preserve"> por tipo de productor y</w:t>
      </w:r>
      <w:r w:rsidR="00A76D5B" w:rsidRPr="008D0798">
        <w:rPr>
          <w:rFonts w:ascii="Arial" w:eastAsiaTheme="minorHAnsi" w:hAnsi="Arial" w:cs="Arial"/>
          <w:sz w:val="22"/>
          <w:szCs w:val="22"/>
          <w:lang w:eastAsia="es-CO"/>
        </w:rPr>
        <w:t>/o</w:t>
      </w:r>
      <w:r w:rsidR="009476B4" w:rsidRPr="008D0798">
        <w:rPr>
          <w:rFonts w:ascii="Arial" w:eastAsiaTheme="minorHAnsi" w:hAnsi="Arial" w:cs="Arial"/>
          <w:sz w:val="22"/>
          <w:szCs w:val="22"/>
          <w:lang w:eastAsia="es-CO"/>
        </w:rPr>
        <w:t xml:space="preserve"> esquema</w:t>
      </w:r>
      <w:r w:rsidR="00193A8D" w:rsidRPr="008D0798">
        <w:rPr>
          <w:rFonts w:ascii="Arial" w:eastAsiaTheme="minorHAnsi" w:hAnsi="Arial" w:cs="Arial"/>
          <w:sz w:val="22"/>
          <w:szCs w:val="22"/>
          <w:lang w:eastAsia="es-CO"/>
        </w:rPr>
        <w:t>,</w:t>
      </w:r>
      <w:r w:rsidR="009476B4" w:rsidRPr="008D0798">
        <w:rPr>
          <w:rFonts w:ascii="Arial" w:eastAsiaTheme="minorHAnsi" w:hAnsi="Arial" w:cs="Arial"/>
          <w:sz w:val="22"/>
          <w:szCs w:val="22"/>
          <w:lang w:eastAsia="es-CO"/>
        </w:rPr>
        <w:t xml:space="preserve"> </w:t>
      </w:r>
      <w:r w:rsidR="00F03832" w:rsidRPr="008D0798">
        <w:rPr>
          <w:rFonts w:ascii="Arial" w:eastAsiaTheme="minorHAnsi" w:hAnsi="Arial" w:cs="Arial"/>
          <w:sz w:val="22"/>
          <w:szCs w:val="22"/>
          <w:lang w:eastAsia="es-CO"/>
        </w:rPr>
        <w:t xml:space="preserve">conforme a lo </w:t>
      </w:r>
      <w:r w:rsidR="009F5270">
        <w:rPr>
          <w:rFonts w:ascii="Arial" w:eastAsiaTheme="minorHAnsi" w:hAnsi="Arial" w:cs="Arial"/>
          <w:sz w:val="22"/>
          <w:szCs w:val="22"/>
          <w:lang w:eastAsia="es-CO"/>
        </w:rPr>
        <w:t xml:space="preserve">establecido en el literal </w:t>
      </w:r>
      <w:r w:rsidR="001D4013">
        <w:rPr>
          <w:rFonts w:ascii="Arial" w:eastAsiaTheme="minorHAnsi" w:hAnsi="Arial" w:cs="Arial"/>
          <w:sz w:val="22"/>
          <w:szCs w:val="22"/>
          <w:lang w:eastAsia="es-CO"/>
        </w:rPr>
        <w:t xml:space="preserve">b. del artículo </w:t>
      </w:r>
      <w:proofErr w:type="spellStart"/>
      <w:r w:rsidR="001D4013">
        <w:rPr>
          <w:rFonts w:ascii="Arial" w:eastAsiaTheme="minorHAnsi" w:hAnsi="Arial" w:cs="Arial"/>
          <w:sz w:val="22"/>
          <w:szCs w:val="22"/>
          <w:lang w:eastAsia="es-CO"/>
        </w:rPr>
        <w:t>1o</w:t>
      </w:r>
      <w:proofErr w:type="spellEnd"/>
      <w:r w:rsidR="001D4013">
        <w:rPr>
          <w:rFonts w:ascii="Arial" w:eastAsiaTheme="minorHAnsi" w:hAnsi="Arial" w:cs="Arial"/>
          <w:sz w:val="22"/>
          <w:szCs w:val="22"/>
          <w:lang w:eastAsia="es-CO"/>
        </w:rPr>
        <w:t>. de la presente resolución</w:t>
      </w:r>
      <w:r w:rsidR="00F03832" w:rsidRPr="008D0798">
        <w:rPr>
          <w:rFonts w:ascii="Arial" w:eastAsiaTheme="minorHAnsi" w:hAnsi="Arial" w:cs="Arial"/>
          <w:sz w:val="22"/>
          <w:szCs w:val="22"/>
          <w:lang w:eastAsia="es-CO"/>
        </w:rPr>
        <w:t>.</w:t>
      </w:r>
      <w:r w:rsidR="00092658" w:rsidRPr="008D0798">
        <w:rPr>
          <w:rFonts w:ascii="Arial" w:eastAsiaTheme="minorHAnsi" w:hAnsi="Arial" w:cs="Arial"/>
          <w:sz w:val="22"/>
          <w:szCs w:val="22"/>
          <w:lang w:eastAsia="es-CO"/>
        </w:rPr>
        <w:t xml:space="preserve"> </w:t>
      </w:r>
      <w:bookmarkStart w:id="1" w:name="_Hlk10205832"/>
      <w:r w:rsidR="00092658" w:rsidRPr="008D0798">
        <w:rPr>
          <w:rFonts w:ascii="Arial" w:eastAsiaTheme="minorHAnsi" w:hAnsi="Arial" w:cs="Arial"/>
          <w:sz w:val="22"/>
          <w:szCs w:val="22"/>
          <w:lang w:eastAsia="es-CO"/>
        </w:rPr>
        <w:t>El incumplimiento de esta disposición será causal de perdida de validez o no pago de la garantía</w:t>
      </w:r>
      <w:bookmarkEnd w:id="1"/>
      <w:r w:rsidR="00092658" w:rsidRPr="008D0798">
        <w:rPr>
          <w:rFonts w:ascii="Arial" w:eastAsiaTheme="minorHAnsi" w:hAnsi="Arial" w:cs="Arial"/>
          <w:sz w:val="22"/>
          <w:szCs w:val="22"/>
          <w:lang w:eastAsia="es-CO"/>
        </w:rPr>
        <w:t xml:space="preserve">.” </w:t>
      </w:r>
    </w:p>
    <w:p w:rsidR="00F73841" w:rsidRPr="008D0798" w:rsidRDefault="00F73841" w:rsidP="009476B4">
      <w:pPr>
        <w:ind w:left="705"/>
        <w:jc w:val="both"/>
        <w:rPr>
          <w:rFonts w:ascii="Arial" w:eastAsiaTheme="minorHAnsi" w:hAnsi="Arial" w:cs="Arial"/>
          <w:sz w:val="22"/>
          <w:szCs w:val="22"/>
          <w:lang w:eastAsia="es-CO"/>
        </w:rPr>
      </w:pPr>
    </w:p>
    <w:p w:rsidR="00512B88" w:rsidRPr="008D0798" w:rsidRDefault="00496FE8" w:rsidP="00E01D61">
      <w:pPr>
        <w:jc w:val="both"/>
        <w:rPr>
          <w:rFonts w:ascii="Arial" w:eastAsiaTheme="minorHAnsi" w:hAnsi="Arial" w:cs="Arial"/>
          <w:sz w:val="22"/>
          <w:szCs w:val="22"/>
          <w:lang w:eastAsia="es-CO"/>
        </w:rPr>
      </w:pPr>
      <w:r w:rsidRPr="008D0798">
        <w:rPr>
          <w:rFonts w:ascii="Arial" w:eastAsiaTheme="minorHAnsi" w:hAnsi="Arial" w:cs="Arial"/>
          <w:b/>
          <w:sz w:val="22"/>
          <w:szCs w:val="22"/>
          <w:lang w:eastAsia="es-CO"/>
        </w:rPr>
        <w:t xml:space="preserve">Artículo </w:t>
      </w:r>
      <w:proofErr w:type="spellStart"/>
      <w:r w:rsidRPr="008D0798">
        <w:rPr>
          <w:rFonts w:ascii="Arial" w:eastAsiaTheme="minorHAnsi" w:hAnsi="Arial" w:cs="Arial"/>
          <w:b/>
          <w:sz w:val="22"/>
          <w:szCs w:val="22"/>
          <w:lang w:eastAsia="es-CO"/>
        </w:rPr>
        <w:t>4o</w:t>
      </w:r>
      <w:proofErr w:type="spellEnd"/>
      <w:r w:rsidRPr="008D0798">
        <w:rPr>
          <w:rFonts w:ascii="Arial" w:eastAsiaTheme="minorHAnsi" w:hAnsi="Arial" w:cs="Arial"/>
          <w:b/>
          <w:sz w:val="22"/>
          <w:szCs w:val="22"/>
          <w:lang w:eastAsia="es-CO"/>
        </w:rPr>
        <w:t>.</w:t>
      </w:r>
      <w:r w:rsidR="00512B88" w:rsidRPr="008D0798">
        <w:rPr>
          <w:rFonts w:ascii="Arial" w:eastAsiaTheme="minorHAnsi" w:hAnsi="Arial" w:cs="Arial"/>
          <w:b/>
          <w:sz w:val="22"/>
          <w:szCs w:val="22"/>
          <w:lang w:eastAsia="es-CO"/>
        </w:rPr>
        <w:t xml:space="preserve"> </w:t>
      </w:r>
      <w:r w:rsidR="00512B88" w:rsidRPr="008D0798">
        <w:rPr>
          <w:rFonts w:ascii="Arial" w:eastAsiaTheme="minorHAnsi" w:hAnsi="Arial" w:cs="Arial"/>
          <w:sz w:val="22"/>
          <w:szCs w:val="22"/>
          <w:lang w:eastAsia="es-CO"/>
        </w:rPr>
        <w:t xml:space="preserve">Adicionar un literal al numeral 2 del artículo 13 de la Resolución No. 2 de 2016, relativo a las </w:t>
      </w:r>
      <w:bookmarkStart w:id="2" w:name="_Hlk10205793"/>
      <w:r w:rsidR="00512B88" w:rsidRPr="008D0798">
        <w:rPr>
          <w:rFonts w:ascii="Arial" w:eastAsiaTheme="minorHAnsi" w:hAnsi="Arial" w:cs="Arial"/>
          <w:sz w:val="22"/>
          <w:szCs w:val="22"/>
          <w:lang w:eastAsia="es-CO"/>
        </w:rPr>
        <w:t>causales de pérdida de validez y no pago de la garantía</w:t>
      </w:r>
      <w:bookmarkEnd w:id="2"/>
      <w:r w:rsidR="00512B88" w:rsidRPr="008D0798">
        <w:rPr>
          <w:rFonts w:ascii="Arial" w:eastAsiaTheme="minorHAnsi" w:hAnsi="Arial" w:cs="Arial"/>
          <w:sz w:val="22"/>
          <w:szCs w:val="22"/>
          <w:lang w:eastAsia="es-CO"/>
        </w:rPr>
        <w:t>, así:</w:t>
      </w:r>
    </w:p>
    <w:p w:rsidR="00512B88" w:rsidRPr="008D0798" w:rsidRDefault="00512B88" w:rsidP="00E01D61">
      <w:pPr>
        <w:jc w:val="both"/>
        <w:rPr>
          <w:rFonts w:ascii="Arial" w:eastAsiaTheme="minorHAnsi" w:hAnsi="Arial" w:cs="Arial"/>
          <w:sz w:val="22"/>
          <w:szCs w:val="22"/>
          <w:lang w:eastAsia="es-CO"/>
        </w:rPr>
      </w:pPr>
    </w:p>
    <w:p w:rsidR="00512B88" w:rsidRDefault="00512B88" w:rsidP="00512B88">
      <w:pPr>
        <w:ind w:left="705"/>
        <w:jc w:val="both"/>
        <w:rPr>
          <w:rFonts w:ascii="Arial" w:eastAsiaTheme="minorHAnsi" w:hAnsi="Arial" w:cs="Arial"/>
          <w:b/>
          <w:sz w:val="22"/>
          <w:szCs w:val="22"/>
          <w:lang w:eastAsia="es-CO"/>
        </w:rPr>
      </w:pPr>
      <w:r w:rsidRPr="008D0798">
        <w:rPr>
          <w:rFonts w:ascii="Arial" w:eastAsiaTheme="minorHAnsi" w:hAnsi="Arial" w:cs="Arial"/>
          <w:sz w:val="22"/>
          <w:szCs w:val="22"/>
          <w:lang w:eastAsia="es-CO"/>
        </w:rPr>
        <w:t>“c</w:t>
      </w:r>
      <w:bookmarkStart w:id="3" w:name="_Hlk10205740"/>
      <w:r w:rsidR="000440C7">
        <w:rPr>
          <w:rFonts w:ascii="Arial" w:eastAsiaTheme="minorHAnsi" w:hAnsi="Arial" w:cs="Arial"/>
          <w:sz w:val="22"/>
          <w:szCs w:val="22"/>
          <w:lang w:eastAsia="es-CO"/>
        </w:rPr>
        <w:t>)</w:t>
      </w:r>
      <w:r w:rsidRPr="008D0798">
        <w:rPr>
          <w:rFonts w:ascii="Arial" w:eastAsiaTheme="minorHAnsi" w:hAnsi="Arial" w:cs="Arial"/>
          <w:sz w:val="22"/>
          <w:szCs w:val="22"/>
          <w:lang w:eastAsia="es-CO"/>
        </w:rPr>
        <w:t xml:space="preserve"> Cuando </w:t>
      </w:r>
      <w:r w:rsidR="0078565C" w:rsidRPr="008D0798">
        <w:rPr>
          <w:rFonts w:ascii="Arial" w:eastAsiaTheme="minorHAnsi" w:hAnsi="Arial" w:cs="Arial"/>
          <w:sz w:val="22"/>
          <w:szCs w:val="22"/>
          <w:lang w:eastAsia="es-CO"/>
        </w:rPr>
        <w:t xml:space="preserve">en el caso de operaciones de crédito que accedan a la garantía del </w:t>
      </w:r>
      <w:proofErr w:type="spellStart"/>
      <w:r w:rsidR="0078565C" w:rsidRPr="008D0798">
        <w:rPr>
          <w:rFonts w:ascii="Arial" w:eastAsiaTheme="minorHAnsi" w:hAnsi="Arial" w:cs="Arial"/>
          <w:sz w:val="22"/>
          <w:szCs w:val="22"/>
          <w:lang w:eastAsia="es-CO"/>
        </w:rPr>
        <w:t>FAG</w:t>
      </w:r>
      <w:proofErr w:type="spellEnd"/>
      <w:r w:rsidR="00C257B9" w:rsidRPr="008D0798">
        <w:rPr>
          <w:rFonts w:ascii="Arial" w:eastAsiaTheme="minorHAnsi" w:hAnsi="Arial" w:cs="Arial"/>
          <w:sz w:val="22"/>
          <w:szCs w:val="22"/>
          <w:lang w:eastAsia="es-CO"/>
        </w:rPr>
        <w:t>,</w:t>
      </w:r>
      <w:r w:rsidR="0078565C" w:rsidRPr="008D0798">
        <w:rPr>
          <w:rFonts w:ascii="Arial" w:eastAsiaTheme="minorHAnsi" w:hAnsi="Arial" w:cs="Arial"/>
          <w:sz w:val="22"/>
          <w:szCs w:val="22"/>
          <w:lang w:eastAsia="es-CO"/>
        </w:rPr>
        <w:t xml:space="preserve"> cuent</w:t>
      </w:r>
      <w:r w:rsidR="00D0626E" w:rsidRPr="008D0798">
        <w:rPr>
          <w:rFonts w:ascii="Arial" w:eastAsiaTheme="minorHAnsi" w:hAnsi="Arial" w:cs="Arial"/>
          <w:sz w:val="22"/>
          <w:szCs w:val="22"/>
          <w:lang w:eastAsia="es-CO"/>
        </w:rPr>
        <w:t>e</w:t>
      </w:r>
      <w:r w:rsidR="0078565C" w:rsidRPr="008D0798">
        <w:rPr>
          <w:rFonts w:ascii="Arial" w:eastAsiaTheme="minorHAnsi" w:hAnsi="Arial" w:cs="Arial"/>
          <w:sz w:val="22"/>
          <w:szCs w:val="22"/>
          <w:lang w:eastAsia="es-CO"/>
        </w:rPr>
        <w:t xml:space="preserve">n con garantías institucionales complementarias, </w:t>
      </w:r>
      <w:proofErr w:type="gramStart"/>
      <w:r w:rsidR="0078565C" w:rsidRPr="008D0798">
        <w:rPr>
          <w:rFonts w:ascii="Arial" w:eastAsiaTheme="minorHAnsi" w:hAnsi="Arial" w:cs="Arial"/>
          <w:sz w:val="22"/>
          <w:szCs w:val="22"/>
          <w:lang w:eastAsia="es-CO"/>
        </w:rPr>
        <w:t>la suma total de la cobertura de ambas garantías excedan</w:t>
      </w:r>
      <w:proofErr w:type="gramEnd"/>
      <w:r w:rsidR="0078565C" w:rsidRPr="008D0798">
        <w:rPr>
          <w:rFonts w:ascii="Arial" w:eastAsiaTheme="minorHAnsi" w:hAnsi="Arial" w:cs="Arial"/>
          <w:sz w:val="22"/>
          <w:szCs w:val="22"/>
          <w:lang w:eastAsia="es-CO"/>
        </w:rPr>
        <w:t xml:space="preserve"> los límites de cobertura del </w:t>
      </w:r>
      <w:proofErr w:type="spellStart"/>
      <w:r w:rsidR="0078565C" w:rsidRPr="008D0798">
        <w:rPr>
          <w:rFonts w:ascii="Arial" w:eastAsiaTheme="minorHAnsi" w:hAnsi="Arial" w:cs="Arial"/>
          <w:sz w:val="22"/>
          <w:szCs w:val="22"/>
          <w:lang w:eastAsia="es-CO"/>
        </w:rPr>
        <w:t>FAG</w:t>
      </w:r>
      <w:proofErr w:type="spellEnd"/>
      <w:r w:rsidR="0078565C" w:rsidRPr="008D0798">
        <w:rPr>
          <w:rFonts w:ascii="Arial" w:eastAsiaTheme="minorHAnsi" w:hAnsi="Arial" w:cs="Arial"/>
          <w:sz w:val="22"/>
          <w:szCs w:val="22"/>
          <w:lang w:eastAsia="es-CO"/>
        </w:rPr>
        <w:t xml:space="preserve"> establecidos por tipo de productor y/o esquema</w:t>
      </w:r>
      <w:bookmarkEnd w:id="3"/>
      <w:r w:rsidR="005E44DE" w:rsidRPr="008D0798">
        <w:rPr>
          <w:rFonts w:ascii="Arial" w:eastAsiaTheme="minorHAnsi" w:hAnsi="Arial" w:cs="Arial"/>
          <w:sz w:val="22"/>
          <w:szCs w:val="22"/>
          <w:lang w:eastAsia="es-CO"/>
        </w:rPr>
        <w:t>.</w:t>
      </w:r>
    </w:p>
    <w:p w:rsidR="00512B88" w:rsidRDefault="00512B88" w:rsidP="00E01D61">
      <w:pPr>
        <w:jc w:val="both"/>
        <w:rPr>
          <w:rFonts w:ascii="Arial" w:eastAsiaTheme="minorHAnsi" w:hAnsi="Arial" w:cs="Arial"/>
          <w:b/>
          <w:sz w:val="22"/>
          <w:szCs w:val="22"/>
          <w:lang w:eastAsia="es-CO"/>
        </w:rPr>
      </w:pPr>
    </w:p>
    <w:p w:rsidR="00496FE8" w:rsidRPr="00363BAA" w:rsidRDefault="00207F97" w:rsidP="00E01D61">
      <w:pPr>
        <w:jc w:val="both"/>
        <w:rPr>
          <w:rFonts w:ascii="Arial" w:eastAsiaTheme="minorHAnsi" w:hAnsi="Arial" w:cs="Arial"/>
          <w:sz w:val="22"/>
          <w:szCs w:val="22"/>
          <w:lang w:eastAsia="es-CO"/>
        </w:rPr>
      </w:pPr>
      <w:r w:rsidRPr="009C0F72">
        <w:rPr>
          <w:rFonts w:ascii="Arial" w:eastAsiaTheme="minorHAnsi" w:hAnsi="Arial" w:cs="Arial"/>
          <w:b/>
          <w:sz w:val="22"/>
          <w:szCs w:val="22"/>
          <w:lang w:eastAsia="es-CO"/>
        </w:rPr>
        <w:t xml:space="preserve">Artículo </w:t>
      </w:r>
      <w:proofErr w:type="spellStart"/>
      <w:r>
        <w:rPr>
          <w:rFonts w:ascii="Arial" w:eastAsiaTheme="minorHAnsi" w:hAnsi="Arial" w:cs="Arial"/>
          <w:b/>
          <w:sz w:val="22"/>
          <w:szCs w:val="22"/>
          <w:lang w:eastAsia="es-CO"/>
        </w:rPr>
        <w:t>5</w:t>
      </w:r>
      <w:r w:rsidRPr="009C0F72">
        <w:rPr>
          <w:rFonts w:ascii="Arial" w:eastAsiaTheme="minorHAnsi" w:hAnsi="Arial" w:cs="Arial"/>
          <w:b/>
          <w:sz w:val="22"/>
          <w:szCs w:val="22"/>
          <w:lang w:eastAsia="es-CO"/>
        </w:rPr>
        <w:t>o</w:t>
      </w:r>
      <w:proofErr w:type="spellEnd"/>
      <w:r w:rsidRPr="009C0F72">
        <w:rPr>
          <w:rFonts w:ascii="Arial" w:eastAsiaTheme="minorHAnsi" w:hAnsi="Arial" w:cs="Arial"/>
          <w:b/>
          <w:sz w:val="22"/>
          <w:szCs w:val="22"/>
          <w:lang w:eastAsia="es-CO"/>
        </w:rPr>
        <w:t>.</w:t>
      </w:r>
      <w:r>
        <w:rPr>
          <w:rFonts w:ascii="Arial" w:eastAsiaTheme="minorHAnsi" w:hAnsi="Arial" w:cs="Arial"/>
          <w:b/>
          <w:sz w:val="22"/>
          <w:szCs w:val="22"/>
          <w:lang w:eastAsia="es-CO"/>
        </w:rPr>
        <w:t xml:space="preserve"> </w:t>
      </w:r>
      <w:r w:rsidR="00496FE8" w:rsidRPr="009C0F72">
        <w:rPr>
          <w:rFonts w:ascii="Arial" w:eastAsiaTheme="minorHAnsi" w:hAnsi="Arial" w:cs="Arial"/>
          <w:sz w:val="22"/>
          <w:szCs w:val="22"/>
          <w:lang w:eastAsia="es-CO"/>
        </w:rPr>
        <w:t>FINAGRO adoptará los procedimientos y medidas necesarias para el desarrollo de la presente Resolución para lo cual expedirá la circular reglamentaria correspondiente</w:t>
      </w:r>
      <w:r w:rsidR="00496FE8" w:rsidRPr="00363BAA">
        <w:rPr>
          <w:rFonts w:ascii="Arial" w:eastAsiaTheme="minorHAnsi" w:hAnsi="Arial" w:cs="Arial"/>
          <w:sz w:val="22"/>
          <w:szCs w:val="22"/>
          <w:lang w:eastAsia="es-CO"/>
        </w:rPr>
        <w:t>.</w:t>
      </w:r>
    </w:p>
    <w:p w:rsidR="00496FE8" w:rsidRPr="00363BAA" w:rsidRDefault="00496FE8" w:rsidP="00496FE8">
      <w:pPr>
        <w:jc w:val="both"/>
        <w:rPr>
          <w:rFonts w:ascii="Arial" w:eastAsiaTheme="minorHAnsi" w:hAnsi="Arial" w:cs="Arial"/>
          <w:sz w:val="22"/>
          <w:szCs w:val="22"/>
          <w:lang w:eastAsia="es-CO"/>
        </w:rPr>
      </w:pPr>
    </w:p>
    <w:p w:rsidR="00496FE8" w:rsidRPr="00363BAA" w:rsidRDefault="00496FE8" w:rsidP="00496FE8">
      <w:pPr>
        <w:jc w:val="both"/>
        <w:rPr>
          <w:rFonts w:ascii="Arial" w:eastAsiaTheme="minorHAnsi" w:hAnsi="Arial" w:cs="Arial"/>
          <w:sz w:val="22"/>
          <w:szCs w:val="22"/>
          <w:lang w:eastAsia="es-CO"/>
        </w:rPr>
      </w:pPr>
      <w:r w:rsidRPr="00363BAA">
        <w:rPr>
          <w:rFonts w:ascii="Arial" w:eastAsiaTheme="minorHAnsi" w:hAnsi="Arial" w:cs="Arial"/>
          <w:b/>
          <w:sz w:val="22"/>
          <w:szCs w:val="22"/>
          <w:lang w:eastAsia="es-CO"/>
        </w:rPr>
        <w:t xml:space="preserve">Artículo </w:t>
      </w:r>
      <w:proofErr w:type="spellStart"/>
      <w:r w:rsidR="00207F97">
        <w:rPr>
          <w:rFonts w:ascii="Arial" w:eastAsiaTheme="minorHAnsi" w:hAnsi="Arial" w:cs="Arial"/>
          <w:b/>
          <w:sz w:val="22"/>
          <w:szCs w:val="22"/>
          <w:lang w:eastAsia="es-CO"/>
        </w:rPr>
        <w:t>6</w:t>
      </w:r>
      <w:r w:rsidRPr="00363BAA">
        <w:rPr>
          <w:rFonts w:ascii="Arial" w:eastAsiaTheme="minorHAnsi" w:hAnsi="Arial" w:cs="Arial"/>
          <w:b/>
          <w:sz w:val="22"/>
          <w:szCs w:val="22"/>
          <w:lang w:eastAsia="es-CO"/>
        </w:rPr>
        <w:t>o</w:t>
      </w:r>
      <w:proofErr w:type="spellEnd"/>
      <w:r w:rsidRPr="00363BAA">
        <w:rPr>
          <w:rFonts w:ascii="Arial" w:eastAsiaTheme="minorHAnsi" w:hAnsi="Arial" w:cs="Arial"/>
          <w:b/>
          <w:sz w:val="22"/>
          <w:szCs w:val="22"/>
          <w:lang w:eastAsia="es-CO"/>
        </w:rPr>
        <w:t xml:space="preserve">. </w:t>
      </w:r>
      <w:r w:rsidRPr="00363BAA">
        <w:rPr>
          <w:rFonts w:ascii="Arial" w:eastAsiaTheme="minorHAnsi" w:hAnsi="Arial" w:cs="Arial"/>
          <w:sz w:val="22"/>
          <w:szCs w:val="22"/>
          <w:lang w:eastAsia="es-CO"/>
        </w:rPr>
        <w:t xml:space="preserve">La presente Resolución rige a partir de la fecha de su publicación en el Diario Oficial y sus efectos aplicarán a partir de la fecha </w:t>
      </w:r>
      <w:r w:rsidR="00ED5B61">
        <w:rPr>
          <w:rFonts w:ascii="Arial" w:eastAsiaTheme="minorHAnsi" w:hAnsi="Arial" w:cs="Arial"/>
          <w:sz w:val="22"/>
          <w:szCs w:val="22"/>
          <w:lang w:eastAsia="es-CO"/>
        </w:rPr>
        <w:t>de expedición de la circular reglamentaria correspondiente.</w:t>
      </w:r>
    </w:p>
    <w:p w:rsidR="00496FE8" w:rsidRPr="00363BAA" w:rsidRDefault="00496FE8" w:rsidP="00496FE8">
      <w:pPr>
        <w:jc w:val="both"/>
        <w:rPr>
          <w:rFonts w:ascii="Arial" w:eastAsiaTheme="minorHAnsi" w:hAnsi="Arial" w:cs="Arial"/>
          <w:sz w:val="22"/>
          <w:szCs w:val="22"/>
          <w:lang w:eastAsia="es-CO"/>
        </w:rPr>
      </w:pPr>
    </w:p>
    <w:p w:rsidR="00496FE8" w:rsidRPr="00363BAA" w:rsidRDefault="00496FE8" w:rsidP="00496FE8">
      <w:pPr>
        <w:jc w:val="both"/>
        <w:rPr>
          <w:rFonts w:ascii="Arial" w:hAnsi="Arial" w:cs="Arial"/>
          <w:sz w:val="22"/>
          <w:szCs w:val="22"/>
          <w:lang w:eastAsia="es-CO"/>
        </w:rPr>
      </w:pPr>
      <w:r w:rsidRPr="00363BAA">
        <w:rPr>
          <w:rFonts w:ascii="Arial" w:eastAsiaTheme="minorHAnsi" w:hAnsi="Arial" w:cs="Arial"/>
          <w:b/>
          <w:sz w:val="22"/>
          <w:szCs w:val="22"/>
          <w:lang w:eastAsia="es-CO"/>
        </w:rPr>
        <w:t xml:space="preserve">Artículo </w:t>
      </w:r>
      <w:proofErr w:type="spellStart"/>
      <w:r w:rsidR="00207F97">
        <w:rPr>
          <w:rFonts w:ascii="Arial" w:eastAsiaTheme="minorHAnsi" w:hAnsi="Arial" w:cs="Arial"/>
          <w:b/>
          <w:sz w:val="22"/>
          <w:szCs w:val="22"/>
          <w:lang w:eastAsia="es-CO"/>
        </w:rPr>
        <w:t>7</w:t>
      </w:r>
      <w:r w:rsidR="009079D7">
        <w:rPr>
          <w:rFonts w:ascii="Arial" w:eastAsiaTheme="minorHAnsi" w:hAnsi="Arial" w:cs="Arial"/>
          <w:b/>
          <w:sz w:val="22"/>
          <w:szCs w:val="22"/>
          <w:lang w:eastAsia="es-CO"/>
        </w:rPr>
        <w:t>o</w:t>
      </w:r>
      <w:proofErr w:type="spellEnd"/>
      <w:r w:rsidRPr="00363BAA">
        <w:rPr>
          <w:rFonts w:ascii="Arial" w:eastAsiaTheme="minorHAnsi" w:hAnsi="Arial" w:cs="Arial"/>
          <w:b/>
          <w:sz w:val="22"/>
          <w:szCs w:val="22"/>
          <w:lang w:eastAsia="es-CO"/>
        </w:rPr>
        <w:t xml:space="preserve">. </w:t>
      </w:r>
      <w:r w:rsidRPr="00363BAA">
        <w:rPr>
          <w:rFonts w:ascii="Arial" w:hAnsi="Arial" w:cs="Arial"/>
          <w:sz w:val="22"/>
          <w:szCs w:val="22"/>
          <w:lang w:eastAsia="es-CO"/>
        </w:rPr>
        <w:t xml:space="preserve">Los </w:t>
      </w:r>
      <w:r>
        <w:rPr>
          <w:rFonts w:ascii="Arial" w:hAnsi="Arial" w:cs="Arial"/>
          <w:sz w:val="22"/>
          <w:szCs w:val="22"/>
          <w:lang w:eastAsia="es-CO"/>
        </w:rPr>
        <w:t xml:space="preserve">demás </w:t>
      </w:r>
      <w:r w:rsidRPr="00363BAA">
        <w:rPr>
          <w:rFonts w:ascii="Arial" w:hAnsi="Arial" w:cs="Arial"/>
          <w:sz w:val="22"/>
          <w:szCs w:val="22"/>
          <w:lang w:eastAsia="es-CO"/>
        </w:rPr>
        <w:t>términos y condiciones establecidos en la</w:t>
      </w:r>
      <w:r>
        <w:rPr>
          <w:rFonts w:ascii="Arial" w:hAnsi="Arial" w:cs="Arial"/>
          <w:sz w:val="22"/>
          <w:szCs w:val="22"/>
          <w:lang w:eastAsia="es-CO"/>
        </w:rPr>
        <w:t>s</w:t>
      </w:r>
      <w:r w:rsidRPr="00363BAA">
        <w:rPr>
          <w:rFonts w:ascii="Arial" w:hAnsi="Arial" w:cs="Arial"/>
          <w:sz w:val="22"/>
          <w:szCs w:val="22"/>
          <w:lang w:eastAsia="es-CO"/>
        </w:rPr>
        <w:t xml:space="preserve"> Resoluci</w:t>
      </w:r>
      <w:r>
        <w:rPr>
          <w:rFonts w:ascii="Arial" w:hAnsi="Arial" w:cs="Arial"/>
          <w:sz w:val="22"/>
          <w:szCs w:val="22"/>
          <w:lang w:eastAsia="es-CO"/>
        </w:rPr>
        <w:t>o</w:t>
      </w:r>
      <w:r w:rsidRPr="00363BAA">
        <w:rPr>
          <w:rFonts w:ascii="Arial" w:hAnsi="Arial" w:cs="Arial"/>
          <w:sz w:val="22"/>
          <w:szCs w:val="22"/>
          <w:lang w:eastAsia="es-CO"/>
        </w:rPr>
        <w:t>n</w:t>
      </w:r>
      <w:r>
        <w:rPr>
          <w:rFonts w:ascii="Arial" w:hAnsi="Arial" w:cs="Arial"/>
          <w:sz w:val="22"/>
          <w:szCs w:val="22"/>
          <w:lang w:eastAsia="es-CO"/>
        </w:rPr>
        <w:t>es</w:t>
      </w:r>
      <w:r w:rsidRPr="00363BAA">
        <w:rPr>
          <w:rFonts w:ascii="Arial" w:hAnsi="Arial" w:cs="Arial"/>
          <w:sz w:val="22"/>
          <w:szCs w:val="22"/>
          <w:lang w:eastAsia="es-CO"/>
        </w:rPr>
        <w:t xml:space="preserve"> No. 2 de 2016</w:t>
      </w:r>
      <w:r>
        <w:rPr>
          <w:rFonts w:ascii="Arial" w:hAnsi="Arial" w:cs="Arial"/>
          <w:sz w:val="22"/>
          <w:szCs w:val="22"/>
          <w:lang w:eastAsia="es-CO"/>
        </w:rPr>
        <w:t xml:space="preserve"> y No. 10 de 2018</w:t>
      </w:r>
      <w:r w:rsidRPr="00363BAA">
        <w:rPr>
          <w:rFonts w:ascii="Arial" w:hAnsi="Arial" w:cs="Arial"/>
          <w:sz w:val="22"/>
          <w:szCs w:val="22"/>
          <w:lang w:eastAsia="es-CO"/>
        </w:rPr>
        <w:t xml:space="preserve"> </w:t>
      </w:r>
      <w:r>
        <w:rPr>
          <w:rFonts w:ascii="Arial" w:hAnsi="Arial" w:cs="Arial"/>
          <w:sz w:val="22"/>
          <w:szCs w:val="22"/>
          <w:lang w:eastAsia="es-CO"/>
        </w:rPr>
        <w:t>d</w:t>
      </w:r>
      <w:r w:rsidRPr="00363BAA">
        <w:rPr>
          <w:rFonts w:ascii="Arial" w:hAnsi="Arial" w:cs="Arial"/>
          <w:sz w:val="22"/>
          <w:szCs w:val="22"/>
          <w:lang w:eastAsia="es-CO"/>
        </w:rPr>
        <w:t xml:space="preserve">e la Comisión Nacional de Crédito Agropecuario permanecerán inalterados y conservarán toda su vigencia y efecto, en cuanto no se opongan a lo establecido en la presente Resolución.                                                                                                            </w:t>
      </w:r>
    </w:p>
    <w:p w:rsidR="00934AE1" w:rsidRPr="00363BAA" w:rsidRDefault="00934AE1" w:rsidP="00363BAA">
      <w:pPr>
        <w:jc w:val="both"/>
        <w:rPr>
          <w:rFonts w:ascii="Arial" w:eastAsiaTheme="minorHAnsi" w:hAnsi="Arial" w:cs="Arial"/>
          <w:sz w:val="22"/>
          <w:szCs w:val="22"/>
          <w:lang w:eastAsia="es-CO"/>
        </w:rPr>
      </w:pPr>
    </w:p>
    <w:p w:rsidR="00934AE1" w:rsidRDefault="00934AE1" w:rsidP="00363BAA">
      <w:pPr>
        <w:jc w:val="both"/>
        <w:rPr>
          <w:rFonts w:ascii="Arial" w:eastAsiaTheme="minorHAnsi" w:hAnsi="Arial" w:cs="Arial"/>
          <w:sz w:val="22"/>
          <w:szCs w:val="22"/>
          <w:lang w:eastAsia="es-CO"/>
        </w:rPr>
      </w:pPr>
      <w:r w:rsidRPr="00363BAA">
        <w:rPr>
          <w:rFonts w:ascii="Arial" w:eastAsiaTheme="minorHAnsi" w:hAnsi="Arial" w:cs="Arial"/>
          <w:sz w:val="22"/>
          <w:szCs w:val="22"/>
          <w:lang w:eastAsia="es-CO"/>
        </w:rPr>
        <w:t xml:space="preserve">Dada en Bogotá, D.C. a los </w:t>
      </w:r>
      <w:r w:rsidR="00782E24">
        <w:rPr>
          <w:rFonts w:ascii="Arial" w:eastAsiaTheme="minorHAnsi" w:hAnsi="Arial" w:cs="Arial"/>
          <w:sz w:val="22"/>
          <w:szCs w:val="22"/>
          <w:lang w:eastAsia="es-CO"/>
        </w:rPr>
        <w:t>11</w:t>
      </w:r>
      <w:r w:rsidRPr="00363BAA">
        <w:rPr>
          <w:rFonts w:ascii="Arial" w:eastAsiaTheme="minorHAnsi" w:hAnsi="Arial" w:cs="Arial"/>
          <w:sz w:val="22"/>
          <w:szCs w:val="22"/>
          <w:lang w:eastAsia="es-CO"/>
        </w:rPr>
        <w:t xml:space="preserve"> días del mes de </w:t>
      </w:r>
      <w:r w:rsidR="00596A30">
        <w:rPr>
          <w:rFonts w:ascii="Arial" w:eastAsiaTheme="minorHAnsi" w:hAnsi="Arial" w:cs="Arial"/>
          <w:sz w:val="22"/>
          <w:szCs w:val="22"/>
          <w:lang w:eastAsia="es-CO"/>
        </w:rPr>
        <w:t>junio</w:t>
      </w:r>
      <w:r w:rsidRPr="00363BAA">
        <w:rPr>
          <w:rFonts w:ascii="Arial" w:eastAsiaTheme="minorHAnsi" w:hAnsi="Arial" w:cs="Arial"/>
          <w:sz w:val="22"/>
          <w:szCs w:val="22"/>
          <w:lang w:eastAsia="es-CO"/>
        </w:rPr>
        <w:t xml:space="preserve"> de dos mil diecinueve (2019). </w:t>
      </w:r>
    </w:p>
    <w:p w:rsidR="00A17FEF" w:rsidRDefault="00A17FEF" w:rsidP="00363BAA">
      <w:pPr>
        <w:jc w:val="both"/>
        <w:rPr>
          <w:rFonts w:ascii="Arial" w:eastAsiaTheme="minorHAnsi" w:hAnsi="Arial" w:cs="Arial"/>
          <w:sz w:val="22"/>
          <w:szCs w:val="22"/>
          <w:lang w:eastAsia="es-CO"/>
        </w:rPr>
      </w:pPr>
    </w:p>
    <w:p w:rsidR="00C74F25" w:rsidRDefault="00C74F25" w:rsidP="00363BAA">
      <w:pPr>
        <w:jc w:val="both"/>
        <w:rPr>
          <w:rFonts w:ascii="Arial" w:eastAsiaTheme="minorHAnsi" w:hAnsi="Arial" w:cs="Arial"/>
          <w:sz w:val="22"/>
          <w:szCs w:val="22"/>
          <w:lang w:eastAsia="es-CO"/>
        </w:rPr>
      </w:pPr>
    </w:p>
    <w:p w:rsidR="00531B15" w:rsidRDefault="00531B15" w:rsidP="00363BAA">
      <w:pPr>
        <w:jc w:val="both"/>
        <w:rPr>
          <w:rFonts w:ascii="Arial" w:eastAsiaTheme="minorHAnsi" w:hAnsi="Arial" w:cs="Arial"/>
          <w:sz w:val="22"/>
          <w:szCs w:val="22"/>
          <w:lang w:eastAsia="es-CO"/>
        </w:rPr>
      </w:pPr>
    </w:p>
    <w:p w:rsidR="00A17FEF" w:rsidRDefault="00A17FEF" w:rsidP="00363BAA">
      <w:pPr>
        <w:jc w:val="both"/>
        <w:rPr>
          <w:rFonts w:ascii="Arial" w:eastAsiaTheme="minorHAnsi" w:hAnsi="Arial" w:cs="Arial"/>
          <w:sz w:val="22"/>
          <w:szCs w:val="22"/>
          <w:lang w:eastAsia="es-CO"/>
        </w:rPr>
      </w:pPr>
      <w:r>
        <w:rPr>
          <w:rFonts w:ascii="Arial" w:eastAsiaTheme="minorHAnsi" w:hAnsi="Arial" w:cs="Arial"/>
          <w:sz w:val="22"/>
          <w:szCs w:val="22"/>
          <w:lang w:eastAsia="es-CO"/>
        </w:rPr>
        <w:t>ANDRÉS VALENCIA PINZÓN</w:t>
      </w:r>
      <w:r>
        <w:rPr>
          <w:rFonts w:ascii="Arial" w:eastAsiaTheme="minorHAnsi" w:hAnsi="Arial" w:cs="Arial"/>
          <w:sz w:val="22"/>
          <w:szCs w:val="22"/>
          <w:lang w:eastAsia="es-CO"/>
        </w:rPr>
        <w:tab/>
      </w:r>
      <w:r>
        <w:rPr>
          <w:rFonts w:ascii="Arial" w:eastAsiaTheme="minorHAnsi" w:hAnsi="Arial" w:cs="Arial"/>
          <w:sz w:val="22"/>
          <w:szCs w:val="22"/>
          <w:lang w:eastAsia="es-CO"/>
        </w:rPr>
        <w:tab/>
      </w:r>
      <w:r>
        <w:rPr>
          <w:rFonts w:ascii="Arial" w:eastAsiaTheme="minorHAnsi" w:hAnsi="Arial" w:cs="Arial"/>
          <w:sz w:val="22"/>
          <w:szCs w:val="22"/>
          <w:lang w:eastAsia="es-CO"/>
        </w:rPr>
        <w:tab/>
        <w:t xml:space="preserve"> CLAUDIA ACOSTA ECHEVERRÍA</w:t>
      </w:r>
    </w:p>
    <w:p w:rsidR="00A17FEF" w:rsidRPr="00363BAA" w:rsidRDefault="00A17FEF" w:rsidP="00363BAA">
      <w:pPr>
        <w:jc w:val="both"/>
        <w:rPr>
          <w:rFonts w:ascii="Arial" w:eastAsiaTheme="minorHAnsi" w:hAnsi="Arial" w:cs="Arial"/>
          <w:bCs/>
          <w:sz w:val="22"/>
          <w:szCs w:val="22"/>
          <w:lang w:eastAsia="es-CO"/>
        </w:rPr>
      </w:pPr>
      <w:r>
        <w:rPr>
          <w:rFonts w:ascii="Arial" w:eastAsiaTheme="minorHAnsi" w:hAnsi="Arial" w:cs="Arial"/>
          <w:bCs/>
          <w:sz w:val="22"/>
          <w:szCs w:val="22"/>
          <w:lang w:eastAsia="es-CO"/>
        </w:rPr>
        <w:t xml:space="preserve">           Presidente</w:t>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t xml:space="preserve">Secretaria </w:t>
      </w:r>
      <w:r w:rsidR="009079D7">
        <w:rPr>
          <w:rFonts w:ascii="Arial" w:eastAsiaTheme="minorHAnsi" w:hAnsi="Arial" w:cs="Arial"/>
          <w:bCs/>
          <w:sz w:val="22"/>
          <w:szCs w:val="22"/>
          <w:lang w:eastAsia="es-CO"/>
        </w:rPr>
        <w:t>Técnica (E)</w:t>
      </w:r>
      <w:r>
        <w:rPr>
          <w:rFonts w:ascii="Arial" w:eastAsiaTheme="minorHAnsi" w:hAnsi="Arial" w:cs="Arial"/>
          <w:bCs/>
          <w:sz w:val="22"/>
          <w:szCs w:val="22"/>
          <w:lang w:eastAsia="es-CO"/>
        </w:rPr>
        <w:tab/>
      </w:r>
      <w:r>
        <w:rPr>
          <w:rFonts w:ascii="Arial" w:eastAsiaTheme="minorHAnsi" w:hAnsi="Arial" w:cs="Arial"/>
          <w:bCs/>
          <w:sz w:val="22"/>
          <w:szCs w:val="22"/>
          <w:lang w:eastAsia="es-CO"/>
        </w:rPr>
        <w:lastRenderedPageBreak/>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r>
        <w:rPr>
          <w:rFonts w:ascii="Arial" w:eastAsiaTheme="minorHAnsi" w:hAnsi="Arial" w:cs="Arial"/>
          <w:bCs/>
          <w:sz w:val="22"/>
          <w:szCs w:val="22"/>
          <w:lang w:eastAsia="es-CO"/>
        </w:rPr>
        <w:tab/>
      </w:r>
    </w:p>
    <w:sectPr w:rsidR="00A17FEF" w:rsidRPr="00363B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F83"/>
    <w:multiLevelType w:val="hybridMultilevel"/>
    <w:tmpl w:val="228A5960"/>
    <w:lvl w:ilvl="0" w:tplc="A5AAD9AC">
      <w:numFmt w:val="bullet"/>
      <w:lvlText w:val="-"/>
      <w:lvlJc w:val="left"/>
      <w:pPr>
        <w:ind w:left="1428" w:hanging="360"/>
      </w:pPr>
      <w:rPr>
        <w:rFonts w:ascii="Arial" w:eastAsiaTheme="minorHAnsi" w:hAnsi="Arial" w:cs="Aria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281039E"/>
    <w:multiLevelType w:val="hybridMultilevel"/>
    <w:tmpl w:val="0452019C"/>
    <w:lvl w:ilvl="0" w:tplc="240A001B">
      <w:start w:val="1"/>
      <w:numFmt w:val="lowerRoman"/>
      <w:lvlText w:val="%1."/>
      <w:lvlJc w:val="righ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15:restartNumberingAfterBreak="0">
    <w:nsid w:val="192D1316"/>
    <w:multiLevelType w:val="hybridMultilevel"/>
    <w:tmpl w:val="3B88601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3201A9"/>
    <w:multiLevelType w:val="hybridMultilevel"/>
    <w:tmpl w:val="D3DE7C58"/>
    <w:lvl w:ilvl="0" w:tplc="429A91C6">
      <w:start w:val="1"/>
      <w:numFmt w:val="lowerLetter"/>
      <w:lvlText w:val="%1."/>
      <w:lvlJc w:val="left"/>
      <w:pPr>
        <w:ind w:left="1065" w:hanging="360"/>
      </w:pPr>
      <w:rPr>
        <w:rFonts w:hint="default"/>
        <w:b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15:restartNumberingAfterBreak="0">
    <w:nsid w:val="20871E95"/>
    <w:multiLevelType w:val="hybridMultilevel"/>
    <w:tmpl w:val="C5363098"/>
    <w:lvl w:ilvl="0" w:tplc="240A001B">
      <w:start w:val="1"/>
      <w:numFmt w:val="lowerRoman"/>
      <w:lvlText w:val="%1."/>
      <w:lvlJc w:val="right"/>
      <w:pPr>
        <w:ind w:left="2145" w:hanging="360"/>
      </w:p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5" w15:restartNumberingAfterBreak="0">
    <w:nsid w:val="255C6DF5"/>
    <w:multiLevelType w:val="hybridMultilevel"/>
    <w:tmpl w:val="3B886014"/>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27DF44C7"/>
    <w:multiLevelType w:val="hybridMultilevel"/>
    <w:tmpl w:val="3B88601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5E79CE"/>
    <w:multiLevelType w:val="hybridMultilevel"/>
    <w:tmpl w:val="D196E75C"/>
    <w:lvl w:ilvl="0" w:tplc="BF2EFE48">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7109FD"/>
    <w:multiLevelType w:val="hybridMultilevel"/>
    <w:tmpl w:val="0FDA6A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E1723D"/>
    <w:multiLevelType w:val="hybridMultilevel"/>
    <w:tmpl w:val="BD20E610"/>
    <w:lvl w:ilvl="0" w:tplc="429A91C6">
      <w:start w:val="1"/>
      <w:numFmt w:val="lowerLetter"/>
      <w:lvlText w:val="%1."/>
      <w:lvlJc w:val="left"/>
      <w:pPr>
        <w:ind w:left="1065" w:hanging="360"/>
      </w:pPr>
      <w:rPr>
        <w:rFonts w:hint="default"/>
        <w:b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0" w15:restartNumberingAfterBreak="0">
    <w:nsid w:val="4DA74852"/>
    <w:multiLevelType w:val="hybridMultilevel"/>
    <w:tmpl w:val="3B88601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E02160"/>
    <w:multiLevelType w:val="hybridMultilevel"/>
    <w:tmpl w:val="72F6E05E"/>
    <w:lvl w:ilvl="0" w:tplc="8D9C041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986BA4"/>
    <w:multiLevelType w:val="hybridMultilevel"/>
    <w:tmpl w:val="73D40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A746715"/>
    <w:multiLevelType w:val="hybridMultilevel"/>
    <w:tmpl w:val="C5363098"/>
    <w:lvl w:ilvl="0" w:tplc="240A001B">
      <w:start w:val="1"/>
      <w:numFmt w:val="lowerRoman"/>
      <w:lvlText w:val="%1."/>
      <w:lvlJc w:val="right"/>
      <w:pPr>
        <w:ind w:left="1785" w:hanging="360"/>
      </w:p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14" w15:restartNumberingAfterBreak="0">
    <w:nsid w:val="5ADB3EB2"/>
    <w:multiLevelType w:val="hybridMultilevel"/>
    <w:tmpl w:val="CB6C6DC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821B54"/>
    <w:multiLevelType w:val="hybridMultilevel"/>
    <w:tmpl w:val="3E14E904"/>
    <w:lvl w:ilvl="0" w:tplc="D37247D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E856AAF"/>
    <w:multiLevelType w:val="multilevel"/>
    <w:tmpl w:val="159437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2"/>
  </w:num>
  <w:num w:numId="3">
    <w:abstractNumId w:val="8"/>
  </w:num>
  <w:num w:numId="4">
    <w:abstractNumId w:val="0"/>
  </w:num>
  <w:num w:numId="5">
    <w:abstractNumId w:val="3"/>
  </w:num>
  <w:num w:numId="6">
    <w:abstractNumId w:val="4"/>
  </w:num>
  <w:num w:numId="7">
    <w:abstractNumId w:val="13"/>
  </w:num>
  <w:num w:numId="8">
    <w:abstractNumId w:val="1"/>
  </w:num>
  <w:num w:numId="9">
    <w:abstractNumId w:val="5"/>
  </w:num>
  <w:num w:numId="10">
    <w:abstractNumId w:val="9"/>
  </w:num>
  <w:num w:numId="11">
    <w:abstractNumId w:val="6"/>
  </w:num>
  <w:num w:numId="12">
    <w:abstractNumId w:val="2"/>
  </w:num>
  <w:num w:numId="13">
    <w:abstractNumId w:val="11"/>
  </w:num>
  <w:num w:numId="14">
    <w:abstractNumId w:val="10"/>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4E"/>
    <w:rsid w:val="0001648C"/>
    <w:rsid w:val="000200A9"/>
    <w:rsid w:val="00026236"/>
    <w:rsid w:val="00032207"/>
    <w:rsid w:val="00037C20"/>
    <w:rsid w:val="000440C7"/>
    <w:rsid w:val="00055E2F"/>
    <w:rsid w:val="000664F0"/>
    <w:rsid w:val="00071417"/>
    <w:rsid w:val="00073649"/>
    <w:rsid w:val="00075AC6"/>
    <w:rsid w:val="00085A55"/>
    <w:rsid w:val="00092658"/>
    <w:rsid w:val="000B3D85"/>
    <w:rsid w:val="000E02E1"/>
    <w:rsid w:val="000E2084"/>
    <w:rsid w:val="000E3375"/>
    <w:rsid w:val="0011623A"/>
    <w:rsid w:val="0013005B"/>
    <w:rsid w:val="00135EC2"/>
    <w:rsid w:val="001445DF"/>
    <w:rsid w:val="0017196A"/>
    <w:rsid w:val="001756BF"/>
    <w:rsid w:val="00180CF5"/>
    <w:rsid w:val="001925AE"/>
    <w:rsid w:val="00193A8D"/>
    <w:rsid w:val="001A1193"/>
    <w:rsid w:val="001A11E6"/>
    <w:rsid w:val="001C0F37"/>
    <w:rsid w:val="001C4C73"/>
    <w:rsid w:val="001D0200"/>
    <w:rsid w:val="001D4013"/>
    <w:rsid w:val="001E692F"/>
    <w:rsid w:val="001F2748"/>
    <w:rsid w:val="001F3D23"/>
    <w:rsid w:val="001F6ED3"/>
    <w:rsid w:val="001F71D8"/>
    <w:rsid w:val="002029E8"/>
    <w:rsid w:val="00207558"/>
    <w:rsid w:val="00207F97"/>
    <w:rsid w:val="0021365B"/>
    <w:rsid w:val="002201EB"/>
    <w:rsid w:val="002322D8"/>
    <w:rsid w:val="0025164D"/>
    <w:rsid w:val="002625B8"/>
    <w:rsid w:val="00274791"/>
    <w:rsid w:val="00294FCA"/>
    <w:rsid w:val="002C0A41"/>
    <w:rsid w:val="002E2AB5"/>
    <w:rsid w:val="002E2D9F"/>
    <w:rsid w:val="002E3084"/>
    <w:rsid w:val="002E3D53"/>
    <w:rsid w:val="002F63B6"/>
    <w:rsid w:val="00312620"/>
    <w:rsid w:val="00316725"/>
    <w:rsid w:val="00323297"/>
    <w:rsid w:val="00346955"/>
    <w:rsid w:val="00363BAA"/>
    <w:rsid w:val="003843CE"/>
    <w:rsid w:val="00393FE1"/>
    <w:rsid w:val="003A0FC9"/>
    <w:rsid w:val="003B700B"/>
    <w:rsid w:val="003E0692"/>
    <w:rsid w:val="003F1F17"/>
    <w:rsid w:val="003F6C7D"/>
    <w:rsid w:val="004129FF"/>
    <w:rsid w:val="00413A85"/>
    <w:rsid w:val="00421CD6"/>
    <w:rsid w:val="0043343A"/>
    <w:rsid w:val="004354B6"/>
    <w:rsid w:val="00436D11"/>
    <w:rsid w:val="004422FC"/>
    <w:rsid w:val="00442FE4"/>
    <w:rsid w:val="004476E3"/>
    <w:rsid w:val="0047460F"/>
    <w:rsid w:val="0047612F"/>
    <w:rsid w:val="00481031"/>
    <w:rsid w:val="00493AF7"/>
    <w:rsid w:val="00495E01"/>
    <w:rsid w:val="00496FE8"/>
    <w:rsid w:val="00497FF6"/>
    <w:rsid w:val="004D2E8B"/>
    <w:rsid w:val="004F52DB"/>
    <w:rsid w:val="00503D8D"/>
    <w:rsid w:val="00506A01"/>
    <w:rsid w:val="00510DC9"/>
    <w:rsid w:val="00512B88"/>
    <w:rsid w:val="005146AD"/>
    <w:rsid w:val="00525A30"/>
    <w:rsid w:val="00531B15"/>
    <w:rsid w:val="00555511"/>
    <w:rsid w:val="00555B08"/>
    <w:rsid w:val="00567B23"/>
    <w:rsid w:val="00584C0E"/>
    <w:rsid w:val="00586CDD"/>
    <w:rsid w:val="00596A30"/>
    <w:rsid w:val="005B2B31"/>
    <w:rsid w:val="005B583C"/>
    <w:rsid w:val="005C3D34"/>
    <w:rsid w:val="005C7F56"/>
    <w:rsid w:val="005D1440"/>
    <w:rsid w:val="005D3B79"/>
    <w:rsid w:val="005D731C"/>
    <w:rsid w:val="005E44DE"/>
    <w:rsid w:val="005F1F56"/>
    <w:rsid w:val="0060386E"/>
    <w:rsid w:val="00613252"/>
    <w:rsid w:val="00623B26"/>
    <w:rsid w:val="0063127E"/>
    <w:rsid w:val="00647637"/>
    <w:rsid w:val="006779EA"/>
    <w:rsid w:val="00681574"/>
    <w:rsid w:val="00693DB6"/>
    <w:rsid w:val="00696474"/>
    <w:rsid w:val="006C14B6"/>
    <w:rsid w:val="006C25AD"/>
    <w:rsid w:val="006D7B0D"/>
    <w:rsid w:val="006E0F3B"/>
    <w:rsid w:val="006E3B38"/>
    <w:rsid w:val="006E4B69"/>
    <w:rsid w:val="006F0DAD"/>
    <w:rsid w:val="006F1AC9"/>
    <w:rsid w:val="00711327"/>
    <w:rsid w:val="00713C61"/>
    <w:rsid w:val="0072634E"/>
    <w:rsid w:val="00760F36"/>
    <w:rsid w:val="00767D2C"/>
    <w:rsid w:val="00782E24"/>
    <w:rsid w:val="0078565C"/>
    <w:rsid w:val="00787FE8"/>
    <w:rsid w:val="00794DAD"/>
    <w:rsid w:val="007A116B"/>
    <w:rsid w:val="007B2E1F"/>
    <w:rsid w:val="007B3646"/>
    <w:rsid w:val="007E1765"/>
    <w:rsid w:val="00820193"/>
    <w:rsid w:val="00845223"/>
    <w:rsid w:val="008713E3"/>
    <w:rsid w:val="00872960"/>
    <w:rsid w:val="00872A96"/>
    <w:rsid w:val="008822D7"/>
    <w:rsid w:val="00882BF0"/>
    <w:rsid w:val="0089721B"/>
    <w:rsid w:val="008A4C41"/>
    <w:rsid w:val="008B1081"/>
    <w:rsid w:val="008C6C59"/>
    <w:rsid w:val="008D0798"/>
    <w:rsid w:val="008D6FE0"/>
    <w:rsid w:val="008E1C9B"/>
    <w:rsid w:val="008F4097"/>
    <w:rsid w:val="008F5F9B"/>
    <w:rsid w:val="009079D7"/>
    <w:rsid w:val="0091313E"/>
    <w:rsid w:val="00917723"/>
    <w:rsid w:val="00924BB7"/>
    <w:rsid w:val="00934AE1"/>
    <w:rsid w:val="0094075D"/>
    <w:rsid w:val="00945289"/>
    <w:rsid w:val="009476B4"/>
    <w:rsid w:val="0095406E"/>
    <w:rsid w:val="00971F2F"/>
    <w:rsid w:val="009729B4"/>
    <w:rsid w:val="009763AE"/>
    <w:rsid w:val="009900CE"/>
    <w:rsid w:val="009944BC"/>
    <w:rsid w:val="00995187"/>
    <w:rsid w:val="009A1457"/>
    <w:rsid w:val="009A2725"/>
    <w:rsid w:val="009B1AD4"/>
    <w:rsid w:val="009B31C7"/>
    <w:rsid w:val="009B39A7"/>
    <w:rsid w:val="009C0F72"/>
    <w:rsid w:val="009E5A18"/>
    <w:rsid w:val="009F5270"/>
    <w:rsid w:val="00A17FEF"/>
    <w:rsid w:val="00A2047F"/>
    <w:rsid w:val="00A2573B"/>
    <w:rsid w:val="00A35BFD"/>
    <w:rsid w:val="00A50A95"/>
    <w:rsid w:val="00A5283A"/>
    <w:rsid w:val="00A67DD0"/>
    <w:rsid w:val="00A70F1D"/>
    <w:rsid w:val="00A76D5B"/>
    <w:rsid w:val="00A8332C"/>
    <w:rsid w:val="00A86619"/>
    <w:rsid w:val="00A87CFA"/>
    <w:rsid w:val="00AA013C"/>
    <w:rsid w:val="00AA58F2"/>
    <w:rsid w:val="00AA5957"/>
    <w:rsid w:val="00AA5DF3"/>
    <w:rsid w:val="00AA7575"/>
    <w:rsid w:val="00AC0D58"/>
    <w:rsid w:val="00AC5988"/>
    <w:rsid w:val="00AF0171"/>
    <w:rsid w:val="00AF2940"/>
    <w:rsid w:val="00AF5FB8"/>
    <w:rsid w:val="00B1252A"/>
    <w:rsid w:val="00B302C9"/>
    <w:rsid w:val="00B32E22"/>
    <w:rsid w:val="00B36780"/>
    <w:rsid w:val="00B37F01"/>
    <w:rsid w:val="00B5004B"/>
    <w:rsid w:val="00B51157"/>
    <w:rsid w:val="00B63A11"/>
    <w:rsid w:val="00B707AD"/>
    <w:rsid w:val="00B707D0"/>
    <w:rsid w:val="00B84D2C"/>
    <w:rsid w:val="00BA2D4A"/>
    <w:rsid w:val="00BA3308"/>
    <w:rsid w:val="00BB0582"/>
    <w:rsid w:val="00BB2887"/>
    <w:rsid w:val="00BC4756"/>
    <w:rsid w:val="00BC4D2C"/>
    <w:rsid w:val="00BC7ACE"/>
    <w:rsid w:val="00BF222B"/>
    <w:rsid w:val="00C1513A"/>
    <w:rsid w:val="00C158F6"/>
    <w:rsid w:val="00C16EEC"/>
    <w:rsid w:val="00C257B9"/>
    <w:rsid w:val="00C2798B"/>
    <w:rsid w:val="00C404EC"/>
    <w:rsid w:val="00C52F8D"/>
    <w:rsid w:val="00C639AE"/>
    <w:rsid w:val="00C6714E"/>
    <w:rsid w:val="00C74F25"/>
    <w:rsid w:val="00C763AE"/>
    <w:rsid w:val="00C83FB0"/>
    <w:rsid w:val="00CB4CEE"/>
    <w:rsid w:val="00CC1207"/>
    <w:rsid w:val="00CC2B38"/>
    <w:rsid w:val="00CD0612"/>
    <w:rsid w:val="00CE5974"/>
    <w:rsid w:val="00D0626E"/>
    <w:rsid w:val="00D07391"/>
    <w:rsid w:val="00D14038"/>
    <w:rsid w:val="00D278B3"/>
    <w:rsid w:val="00D353C1"/>
    <w:rsid w:val="00D44D3A"/>
    <w:rsid w:val="00D47F72"/>
    <w:rsid w:val="00D51FF5"/>
    <w:rsid w:val="00D54972"/>
    <w:rsid w:val="00D60DDB"/>
    <w:rsid w:val="00D71512"/>
    <w:rsid w:val="00D75A10"/>
    <w:rsid w:val="00D766AE"/>
    <w:rsid w:val="00D84ED0"/>
    <w:rsid w:val="00D912C9"/>
    <w:rsid w:val="00D93BEB"/>
    <w:rsid w:val="00DA0E21"/>
    <w:rsid w:val="00DA26B6"/>
    <w:rsid w:val="00DA35C3"/>
    <w:rsid w:val="00DA45D2"/>
    <w:rsid w:val="00DA50F0"/>
    <w:rsid w:val="00DC70B0"/>
    <w:rsid w:val="00DE08E2"/>
    <w:rsid w:val="00DE3721"/>
    <w:rsid w:val="00DE5AA7"/>
    <w:rsid w:val="00E01D61"/>
    <w:rsid w:val="00E04149"/>
    <w:rsid w:val="00E05555"/>
    <w:rsid w:val="00E07F73"/>
    <w:rsid w:val="00E3514E"/>
    <w:rsid w:val="00E36919"/>
    <w:rsid w:val="00E445F3"/>
    <w:rsid w:val="00E46F94"/>
    <w:rsid w:val="00E535FA"/>
    <w:rsid w:val="00E56F2E"/>
    <w:rsid w:val="00E6421E"/>
    <w:rsid w:val="00E715AE"/>
    <w:rsid w:val="00E7530D"/>
    <w:rsid w:val="00E86A84"/>
    <w:rsid w:val="00E8747D"/>
    <w:rsid w:val="00E90D1E"/>
    <w:rsid w:val="00ED5B61"/>
    <w:rsid w:val="00EE3288"/>
    <w:rsid w:val="00EE5DD6"/>
    <w:rsid w:val="00F00475"/>
    <w:rsid w:val="00F03832"/>
    <w:rsid w:val="00F04CB1"/>
    <w:rsid w:val="00F13CE7"/>
    <w:rsid w:val="00F21B52"/>
    <w:rsid w:val="00F2396A"/>
    <w:rsid w:val="00F32161"/>
    <w:rsid w:val="00F34D5F"/>
    <w:rsid w:val="00F66334"/>
    <w:rsid w:val="00F73841"/>
    <w:rsid w:val="00F80A57"/>
    <w:rsid w:val="00F9152B"/>
    <w:rsid w:val="00F9323C"/>
    <w:rsid w:val="00FB2F68"/>
    <w:rsid w:val="00FB5DF9"/>
    <w:rsid w:val="00FC01D2"/>
    <w:rsid w:val="00FD68B5"/>
    <w:rsid w:val="00FE6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3F1"/>
  <w15:chartTrackingRefBased/>
  <w15:docId w15:val="{E51D5B5D-B8CA-4774-8AD5-8D3BF1A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34E"/>
    <w:pPr>
      <w:widowControl w:val="0"/>
      <w:autoSpaceDE w:val="0"/>
      <w:autoSpaceDN w:val="0"/>
      <w:adjustRightInd w:val="0"/>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
    <w:basedOn w:val="Normal"/>
    <w:link w:val="PrrafodelistaCar"/>
    <w:uiPriority w:val="34"/>
    <w:qFormat/>
    <w:rsid w:val="006E4B69"/>
    <w:pPr>
      <w:widowControl/>
      <w:autoSpaceDE/>
      <w:autoSpaceDN/>
      <w:adjustRightInd/>
      <w:ind w:left="720"/>
      <w:contextualSpacing/>
    </w:pPr>
    <w:rPr>
      <w:rFonts w:eastAsia="Times New Roman"/>
    </w:rPr>
  </w:style>
  <w:style w:type="paragraph" w:styleId="Textoindependiente">
    <w:name w:val="Body Text"/>
    <w:basedOn w:val="Normal"/>
    <w:link w:val="TextoindependienteCar"/>
    <w:rsid w:val="006E4B69"/>
    <w:pPr>
      <w:widowControl/>
      <w:autoSpaceDE/>
      <w:autoSpaceDN/>
      <w:adjustRightInd/>
      <w:jc w:val="both"/>
    </w:pPr>
    <w:rPr>
      <w:rFonts w:ascii="Arial" w:eastAsia="Times New Roman" w:hAnsi="Arial" w:cs="Arial"/>
    </w:rPr>
  </w:style>
  <w:style w:type="character" w:customStyle="1" w:styleId="TextoindependienteCar">
    <w:name w:val="Texto independiente Car"/>
    <w:basedOn w:val="Fuentedeprrafopredeter"/>
    <w:link w:val="Textoindependiente"/>
    <w:rsid w:val="006E4B69"/>
    <w:rPr>
      <w:rFonts w:ascii="Arial" w:eastAsia="Times New Roman" w:hAnsi="Arial" w:cs="Arial"/>
      <w:sz w:val="24"/>
      <w:szCs w:val="24"/>
      <w:lang w:val="es-ES" w:eastAsia="es-ES"/>
    </w:rPr>
  </w:style>
  <w:style w:type="paragraph" w:customStyle="1" w:styleId="p2">
    <w:name w:val="p2"/>
    <w:basedOn w:val="Normal"/>
    <w:rsid w:val="006E4B69"/>
    <w:pPr>
      <w:tabs>
        <w:tab w:val="left" w:pos="170"/>
      </w:tabs>
      <w:spacing w:line="240" w:lineRule="atLeast"/>
      <w:ind w:left="754"/>
      <w:jc w:val="both"/>
    </w:pPr>
    <w:rPr>
      <w:rFonts w:eastAsia="Times New Roman"/>
      <w:lang w:val="en-US"/>
    </w:rPr>
  </w:style>
  <w:style w:type="paragraph" w:customStyle="1" w:styleId="Textosinformato1">
    <w:name w:val="Texto sin formato1"/>
    <w:basedOn w:val="Normal"/>
    <w:rsid w:val="006E4B69"/>
    <w:pPr>
      <w:widowControl/>
      <w:overflowPunct w:val="0"/>
      <w:textAlignment w:val="baseline"/>
    </w:pPr>
    <w:rPr>
      <w:rFonts w:ascii="Courier New" w:eastAsia="Times New Roman" w:hAnsi="Courier New"/>
      <w:sz w:val="20"/>
      <w:szCs w:val="20"/>
      <w:lang w:eastAsia="es-CO"/>
    </w:rPr>
  </w:style>
  <w:style w:type="paragraph" w:customStyle="1" w:styleId="Cuerpo">
    <w:name w:val="Cuerpo"/>
    <w:basedOn w:val="Normal"/>
    <w:rsid w:val="00845223"/>
    <w:pPr>
      <w:widowControl/>
      <w:autoSpaceDE/>
      <w:autoSpaceDN/>
      <w:adjustRightInd/>
      <w:spacing w:after="270" w:line="360" w:lineRule="atLeast"/>
      <w:jc w:val="both"/>
    </w:pPr>
    <w:rPr>
      <w:rFonts w:ascii="Calibri" w:eastAsiaTheme="minorEastAsia" w:hAnsi="Calibri" w:cs="Calibri"/>
      <w:color w:val="808080"/>
      <w:sz w:val="26"/>
      <w:szCs w:val="26"/>
      <w:lang w:val="en-US" w:eastAsia="en-US"/>
    </w:rPr>
  </w:style>
  <w:style w:type="paragraph" w:customStyle="1" w:styleId="vineta">
    <w:name w:val="vineta"/>
    <w:basedOn w:val="Normal"/>
    <w:rsid w:val="00845223"/>
    <w:pPr>
      <w:widowControl/>
      <w:autoSpaceDE/>
      <w:autoSpaceDN/>
      <w:adjustRightInd/>
      <w:spacing w:after="240" w:line="360" w:lineRule="atLeast"/>
      <w:ind w:left="1110" w:hanging="360"/>
      <w:jc w:val="both"/>
    </w:pPr>
    <w:rPr>
      <w:rFonts w:ascii="Calibri" w:eastAsiaTheme="minorEastAsia" w:hAnsi="Calibri" w:cs="Calibri"/>
      <w:color w:val="808080"/>
      <w:sz w:val="26"/>
      <w:szCs w:val="26"/>
      <w:lang w:val="en-US" w:eastAsia="en-US"/>
    </w:rPr>
  </w:style>
  <w:style w:type="paragraph" w:customStyle="1" w:styleId="CuerpoTablas">
    <w:name w:val="CuerpoTablas"/>
    <w:basedOn w:val="Normal"/>
    <w:rsid w:val="00845223"/>
    <w:pPr>
      <w:widowControl/>
      <w:autoSpaceDE/>
      <w:autoSpaceDN/>
      <w:adjustRightInd/>
      <w:spacing w:before="150" w:after="150" w:line="240" w:lineRule="atLeast"/>
      <w:jc w:val="center"/>
    </w:pPr>
    <w:rPr>
      <w:rFonts w:ascii="Calibri" w:eastAsiaTheme="minorEastAsia" w:hAnsi="Calibri" w:cs="Calibri"/>
      <w:color w:val="808080"/>
      <w:sz w:val="20"/>
      <w:szCs w:val="20"/>
      <w:lang w:val="en-US" w:eastAsia="en-US"/>
    </w:rPr>
  </w:style>
  <w:style w:type="paragraph" w:customStyle="1" w:styleId="TituloTabla">
    <w:name w:val="TituloTabla"/>
    <w:basedOn w:val="Normal"/>
    <w:rsid w:val="00845223"/>
    <w:pPr>
      <w:widowControl/>
      <w:autoSpaceDE/>
      <w:autoSpaceDN/>
      <w:adjustRightInd/>
      <w:spacing w:before="360" w:after="120" w:line="240" w:lineRule="atLeast"/>
      <w:jc w:val="center"/>
    </w:pPr>
    <w:rPr>
      <w:rFonts w:ascii="Calibri" w:eastAsiaTheme="minorEastAsia" w:hAnsi="Calibri" w:cs="Calibri"/>
      <w:b/>
      <w:bCs/>
      <w:color w:val="FFFFFF"/>
      <w:lang w:val="en-US" w:eastAsia="en-US"/>
    </w:rPr>
  </w:style>
  <w:style w:type="character" w:customStyle="1" w:styleId="Negrita">
    <w:name w:val="Negrita"/>
    <w:basedOn w:val="Fuentedeprrafopredeter"/>
    <w:rsid w:val="00845223"/>
    <w:rPr>
      <w:b/>
      <w:bCs/>
      <w:color w:val="767171"/>
    </w:rPr>
  </w:style>
  <w:style w:type="table" w:styleId="Tablaconcuadrcula">
    <w:name w:val="Table Grid"/>
    <w:basedOn w:val="Tablanormal"/>
    <w:uiPriority w:val="39"/>
    <w:rsid w:val="000E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29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9B4"/>
    <w:rPr>
      <w:rFonts w:ascii="Segoe UI" w:eastAsia="Calibri" w:hAnsi="Segoe UI" w:cs="Segoe UI"/>
      <w:sz w:val="18"/>
      <w:szCs w:val="18"/>
      <w:lang w:val="es-ES" w:eastAsia="es-ES"/>
    </w:rPr>
  </w:style>
  <w:style w:type="character" w:styleId="Refdecomentario">
    <w:name w:val="annotation reference"/>
    <w:basedOn w:val="Fuentedeprrafopredeter"/>
    <w:uiPriority w:val="99"/>
    <w:semiHidden/>
    <w:unhideWhenUsed/>
    <w:rsid w:val="000200A9"/>
    <w:rPr>
      <w:sz w:val="16"/>
      <w:szCs w:val="16"/>
    </w:rPr>
  </w:style>
  <w:style w:type="paragraph" w:styleId="Textocomentario">
    <w:name w:val="annotation text"/>
    <w:basedOn w:val="Normal"/>
    <w:link w:val="TextocomentarioCar"/>
    <w:uiPriority w:val="99"/>
    <w:semiHidden/>
    <w:unhideWhenUsed/>
    <w:rsid w:val="000200A9"/>
    <w:rPr>
      <w:sz w:val="20"/>
      <w:szCs w:val="20"/>
    </w:rPr>
  </w:style>
  <w:style w:type="character" w:customStyle="1" w:styleId="TextocomentarioCar">
    <w:name w:val="Texto comentario Car"/>
    <w:basedOn w:val="Fuentedeprrafopredeter"/>
    <w:link w:val="Textocomentario"/>
    <w:uiPriority w:val="99"/>
    <w:semiHidden/>
    <w:rsid w:val="000200A9"/>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00A9"/>
    <w:rPr>
      <w:b/>
      <w:bCs/>
    </w:rPr>
  </w:style>
  <w:style w:type="character" w:customStyle="1" w:styleId="AsuntodelcomentarioCar">
    <w:name w:val="Asunto del comentario Car"/>
    <w:basedOn w:val="TextocomentarioCar"/>
    <w:link w:val="Asuntodelcomentario"/>
    <w:uiPriority w:val="99"/>
    <w:semiHidden/>
    <w:rsid w:val="000200A9"/>
    <w:rPr>
      <w:rFonts w:ascii="Times New Roman" w:eastAsia="Calibri" w:hAnsi="Times New Roman" w:cs="Times New Roman"/>
      <w:b/>
      <w:bCs/>
      <w:sz w:val="20"/>
      <w:szCs w:val="20"/>
      <w:lang w:val="es-ES" w:eastAsia="es-ES"/>
    </w:rPr>
  </w:style>
  <w:style w:type="character" w:customStyle="1" w:styleId="PrrafodelistaCar">
    <w:name w:val="Párrafo de lista Car"/>
    <w:aliases w:val="Segundo nivel de viñetas Car"/>
    <w:link w:val="Prrafodelista"/>
    <w:uiPriority w:val="34"/>
    <w:locked/>
    <w:rsid w:val="00A76D5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7763">
      <w:bodyDiv w:val="1"/>
      <w:marLeft w:val="0"/>
      <w:marRight w:val="0"/>
      <w:marTop w:val="0"/>
      <w:marBottom w:val="0"/>
      <w:divBdr>
        <w:top w:val="none" w:sz="0" w:space="0" w:color="auto"/>
        <w:left w:val="none" w:sz="0" w:space="0" w:color="auto"/>
        <w:bottom w:val="none" w:sz="0" w:space="0" w:color="auto"/>
        <w:right w:val="none" w:sz="0" w:space="0" w:color="auto"/>
      </w:divBdr>
    </w:div>
    <w:div w:id="16528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434B-1BE8-43C7-B200-ED08C32D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García Correa</dc:creator>
  <cp:keywords/>
  <dc:description/>
  <cp:lastModifiedBy>Claudia Acosta Echeverría</cp:lastModifiedBy>
  <cp:revision>3</cp:revision>
  <cp:lastPrinted>2019-05-29T20:37:00Z</cp:lastPrinted>
  <dcterms:created xsi:type="dcterms:W3CDTF">2019-05-31T21:05:00Z</dcterms:created>
  <dcterms:modified xsi:type="dcterms:W3CDTF">2019-05-31T21:28:00Z</dcterms:modified>
</cp:coreProperties>
</file>