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spacing w:before="0" w:after="0"/>
        <w:jc w:val="center"/>
        <w:rPr>
          <w:rFonts w:cs="Arial"/>
          <w:b/>
          <w:bCs/>
          <w:color w:val="000000" w:themeColor="text1"/>
          <w:sz w:val="22"/>
          <w:szCs w:val="22"/>
        </w:rPr>
      </w:pPr>
      <w:r>
        <w:rPr>
          <w:rFonts w:cs="Arial"/>
          <w:b/>
          <w:bCs/>
          <w:color w:val="000000" w:themeColor="text1"/>
          <w:sz w:val="22"/>
          <w:szCs w:val="22"/>
        </w:rPr>
        <w:t>REPÚBLICA DE COLOMBIA</w:t>
      </w:r>
    </w:p>
    <w:p>
      <w:pPr>
        <w:spacing w:before="0" w:after="0"/>
        <w:jc w:val="center"/>
        <w:rPr>
          <w:rFonts w:cs="Arial"/>
          <w:b/>
          <w:bCs/>
          <w:color w:val="000000" w:themeColor="text1"/>
          <w:sz w:val="22"/>
          <w:szCs w:val="22"/>
        </w:rPr>
      </w:pPr>
    </w:p>
    <w:p>
      <w:pPr>
        <w:spacing w:before="0" w:after="0"/>
        <w:jc w:val="center"/>
        <w:rPr>
          <w:rFonts w:cs="Arial"/>
          <w:b/>
          <w:bCs/>
          <w:color w:val="000000" w:themeColor="text1"/>
          <w:sz w:val="22"/>
          <w:szCs w:val="22"/>
        </w:rPr>
      </w:pPr>
      <w:r>
        <w:rPr>
          <w:rFonts w:cs="Arial"/>
          <w:b/>
          <w:bCs/>
          <w:color w:val="000000" w:themeColor="text1"/>
          <w:sz w:val="22"/>
          <w:szCs w:val="22"/>
        </w:rPr>
        <w:t>COMISIÓN NACIONAL DE CRÉDITO AGROPECUARIO</w:t>
      </w:r>
    </w:p>
    <w:p>
      <w:pPr>
        <w:spacing w:before="0" w:after="0"/>
        <w:jc w:val="center"/>
        <w:rPr>
          <w:rFonts w:cs="Arial"/>
          <w:b/>
          <w:bCs/>
          <w:color w:val="000000" w:themeColor="text1"/>
          <w:sz w:val="22"/>
          <w:szCs w:val="22"/>
        </w:rPr>
      </w:pPr>
    </w:p>
    <w:p>
      <w:pPr>
        <w:spacing w:before="0" w:after="0"/>
        <w:jc w:val="center"/>
        <w:rPr>
          <w:rFonts w:cs="Arial"/>
          <w:b/>
          <w:bCs/>
          <w:color w:val="000000" w:themeColor="text1"/>
          <w:sz w:val="22"/>
          <w:szCs w:val="22"/>
        </w:rPr>
      </w:pPr>
      <w:r>
        <w:rPr>
          <w:rFonts w:cs="Arial"/>
          <w:b/>
          <w:bCs/>
          <w:color w:val="000000" w:themeColor="text1"/>
          <w:sz w:val="22"/>
          <w:szCs w:val="22"/>
        </w:rPr>
        <w:t xml:space="preserve">RESOLUCIÓN N° XX </w:t>
      </w:r>
      <w:r>
        <w:rPr>
          <w:rFonts w:cs="Arial"/>
          <w:b/>
          <w:bCs/>
          <w:sz w:val="22"/>
          <w:szCs w:val="22"/>
        </w:rPr>
        <w:t xml:space="preserve">DE </w:t>
      </w:r>
      <w:r>
        <w:rPr>
          <w:rFonts w:cs="Arial"/>
          <w:b/>
          <w:bCs/>
          <w:color w:val="000000" w:themeColor="text1"/>
          <w:sz w:val="22"/>
          <w:szCs w:val="22"/>
        </w:rPr>
        <w:t>2017</w:t>
      </w:r>
    </w:p>
    <w:p>
      <w:pPr>
        <w:pStyle w:val="Ttulo1"/>
        <w:numPr>
          <w:ilvl w:val="0"/>
          <w:numId w:val="0"/>
        </w:numPr>
        <w:spacing w:before="0" w:after="0"/>
        <w:jc w:val="center"/>
        <w:rPr>
          <w:rFonts w:cs="Arial"/>
          <w:bCs w:val="0"/>
          <w:color w:val="000000" w:themeColor="text1"/>
          <w:sz w:val="22"/>
          <w:szCs w:val="22"/>
        </w:rPr>
      </w:pPr>
    </w:p>
    <w:p>
      <w:pPr>
        <w:pStyle w:val="Textoindependiente2"/>
        <w:spacing w:before="0" w:after="0" w:line="0" w:lineRule="atLeast"/>
        <w:rPr>
          <w:rFonts w:cs="Arial"/>
          <w:color w:val="000000" w:themeColor="text1"/>
          <w:sz w:val="22"/>
          <w:szCs w:val="22"/>
        </w:rPr>
      </w:pPr>
    </w:p>
    <w:p>
      <w:pPr>
        <w:pStyle w:val="Textoindependiente2"/>
        <w:spacing w:before="0" w:after="0" w:line="0" w:lineRule="atLeast"/>
        <w:rPr>
          <w:rFonts w:cs="Arial"/>
          <w:color w:val="000000" w:themeColor="text1"/>
          <w:sz w:val="22"/>
          <w:szCs w:val="22"/>
        </w:rPr>
      </w:pPr>
      <w:r>
        <w:rPr>
          <w:rFonts w:cs="Arial"/>
          <w:color w:val="000000" w:themeColor="text1"/>
          <w:sz w:val="22"/>
          <w:szCs w:val="22"/>
        </w:rPr>
        <w:t>“Por la cual se modifican los artículos 2° y 3º de la Resolución N° 1 de 2016, que compiló la reglamentación del destino del crédito agropecuario y rural, se definieron sus beneficiarios, las condiciones financieras y se adoptaron otras disposiciones."</w:t>
      </w:r>
    </w:p>
    <w:p>
      <w:pPr>
        <w:spacing w:before="0" w:after="0" w:line="0" w:lineRule="atLeast"/>
        <w:jc w:val="center"/>
        <w:rPr>
          <w:rFonts w:cs="Arial"/>
          <w:b/>
          <w:bCs/>
          <w:color w:val="000000" w:themeColor="text1"/>
          <w:sz w:val="22"/>
          <w:szCs w:val="22"/>
          <w:lang w:val="es-ES"/>
        </w:rPr>
      </w:pPr>
    </w:p>
    <w:p>
      <w:pPr>
        <w:spacing w:before="0" w:after="0" w:line="0" w:lineRule="atLeast"/>
        <w:jc w:val="center"/>
        <w:rPr>
          <w:rFonts w:cs="Arial"/>
          <w:b/>
          <w:bCs/>
          <w:color w:val="000000" w:themeColor="text1"/>
          <w:sz w:val="22"/>
          <w:szCs w:val="22"/>
        </w:rPr>
      </w:pPr>
      <w:r>
        <w:rPr>
          <w:rFonts w:cs="Arial"/>
          <w:b/>
          <w:bCs/>
          <w:color w:val="000000" w:themeColor="text1"/>
          <w:sz w:val="22"/>
          <w:szCs w:val="22"/>
        </w:rPr>
        <w:t>LA COMISIÓN NACIONAL DE CRÉDITO AGROPECUARIO</w:t>
      </w:r>
    </w:p>
    <w:p>
      <w:pPr>
        <w:spacing w:before="0" w:after="0" w:line="0" w:lineRule="atLeast"/>
        <w:jc w:val="center"/>
        <w:rPr>
          <w:rFonts w:cs="Arial"/>
          <w:b/>
          <w:bCs/>
          <w:color w:val="000000" w:themeColor="text1"/>
          <w:sz w:val="22"/>
          <w:szCs w:val="22"/>
        </w:rPr>
      </w:pPr>
    </w:p>
    <w:p>
      <w:pPr>
        <w:spacing w:before="0" w:after="0" w:line="0" w:lineRule="atLeast"/>
        <w:jc w:val="both"/>
        <w:rPr>
          <w:rFonts w:cs="Arial"/>
          <w:color w:val="000000" w:themeColor="text1"/>
          <w:sz w:val="22"/>
          <w:szCs w:val="22"/>
        </w:rPr>
      </w:pPr>
      <w:r>
        <w:rPr>
          <w:rFonts w:cs="Arial"/>
          <w:color w:val="000000" w:themeColor="text1"/>
          <w:sz w:val="22"/>
          <w:szCs w:val="22"/>
        </w:rPr>
        <w:t>En ejercicio de las facultades consagradas en las Leyes 16 de 1990, 101 de 1993,  1151 de 2007, 1450 de 2011, 1731 de 2014, 1753 de 2015 y los Decretos 2555 de 2010, y 2371 de 2015 y,</w:t>
      </w:r>
    </w:p>
    <w:p>
      <w:pPr>
        <w:spacing w:before="0" w:after="0" w:line="0" w:lineRule="atLeast"/>
        <w:jc w:val="both"/>
        <w:rPr>
          <w:rFonts w:cs="Arial"/>
          <w:color w:val="000000" w:themeColor="text1"/>
          <w:sz w:val="22"/>
          <w:szCs w:val="22"/>
        </w:rPr>
      </w:pPr>
    </w:p>
    <w:p>
      <w:pPr>
        <w:spacing w:before="0" w:after="0" w:line="0" w:lineRule="atLeast"/>
        <w:jc w:val="both"/>
        <w:rPr>
          <w:rFonts w:cs="Arial"/>
          <w:color w:val="000000" w:themeColor="text1"/>
          <w:sz w:val="22"/>
          <w:szCs w:val="22"/>
        </w:rPr>
      </w:pPr>
    </w:p>
    <w:p>
      <w:pPr>
        <w:spacing w:before="0" w:after="0" w:line="0" w:lineRule="atLeast"/>
        <w:jc w:val="center"/>
        <w:rPr>
          <w:rFonts w:cs="Arial"/>
          <w:b/>
          <w:color w:val="000000" w:themeColor="text1"/>
          <w:sz w:val="22"/>
          <w:szCs w:val="22"/>
          <w:lang w:val="es-ES"/>
        </w:rPr>
      </w:pPr>
      <w:r>
        <w:rPr>
          <w:rFonts w:cs="Arial"/>
          <w:b/>
          <w:color w:val="000000" w:themeColor="text1"/>
          <w:sz w:val="22"/>
          <w:szCs w:val="22"/>
          <w:lang w:val="es-ES"/>
        </w:rPr>
        <w:t>CONSIDERANDO</w:t>
      </w:r>
    </w:p>
    <w:p>
      <w:pPr>
        <w:spacing w:before="0" w:after="0" w:line="0" w:lineRule="atLeast"/>
        <w:jc w:val="center"/>
        <w:rPr>
          <w:rFonts w:cs="Arial"/>
          <w:b/>
          <w:color w:val="000000" w:themeColor="text1"/>
          <w:sz w:val="22"/>
          <w:szCs w:val="22"/>
        </w:rPr>
      </w:pPr>
    </w:p>
    <w:p>
      <w:pPr>
        <w:spacing w:before="0" w:after="0" w:line="0" w:lineRule="atLeast"/>
        <w:jc w:val="center"/>
        <w:rPr>
          <w:rFonts w:cs="Arial"/>
          <w:color w:val="000000" w:themeColor="text1"/>
          <w:sz w:val="22"/>
          <w:szCs w:val="22"/>
        </w:rPr>
      </w:pPr>
    </w:p>
    <w:p>
      <w:pPr>
        <w:spacing w:before="0" w:after="0" w:line="0" w:lineRule="atLeast"/>
        <w:jc w:val="both"/>
        <w:rPr>
          <w:rFonts w:cs="Arial"/>
          <w:color w:val="000000" w:themeColor="text1"/>
          <w:sz w:val="22"/>
          <w:szCs w:val="22"/>
        </w:rPr>
      </w:pPr>
      <w:r>
        <w:rPr>
          <w:rFonts w:cs="Arial"/>
          <w:color w:val="000000" w:themeColor="text1"/>
          <w:sz w:val="22"/>
          <w:szCs w:val="22"/>
        </w:rPr>
        <w:t>Que de acuerdo con lo dispuesto en el segundo inciso del artículo 2o de la Ley 16 de 1990, el crédito de fomento se destinará primordialmente para impulsar la producción en sus distintas fases, capitalizar el sector agropecuario, incrementar el empleo, estimular la transferencia de tecnología, contribuir a la seguridad alimentaria de la población urbana y rural, promover la distribución del ingreso, fortalecer el sector externo de la economía y mejorar las condiciones sociales y económicas del sector rural del país.</w:t>
      </w:r>
    </w:p>
    <w:p>
      <w:pPr>
        <w:spacing w:before="0" w:after="0" w:line="0" w:lineRule="atLeast"/>
        <w:jc w:val="both"/>
        <w:rPr>
          <w:rFonts w:cs="Arial"/>
          <w:color w:val="000000" w:themeColor="text1"/>
          <w:sz w:val="22"/>
          <w:szCs w:val="22"/>
        </w:rPr>
      </w:pPr>
    </w:p>
    <w:p>
      <w:pPr>
        <w:spacing w:before="0" w:after="0" w:line="0" w:lineRule="atLeast"/>
        <w:jc w:val="both"/>
        <w:rPr>
          <w:rFonts w:cs="Arial"/>
          <w:color w:val="000000" w:themeColor="text1"/>
          <w:sz w:val="22"/>
          <w:szCs w:val="22"/>
        </w:rPr>
      </w:pPr>
      <w:r>
        <w:rPr>
          <w:rFonts w:cs="Arial"/>
          <w:color w:val="000000" w:themeColor="text1"/>
          <w:sz w:val="22"/>
          <w:szCs w:val="22"/>
        </w:rPr>
        <w:t>Que de conformidad con el artículo 8o de la Ley 16 de 1990, el objetivo de FINAGRO es la financiación de actividades rurales y de producción en sus distintas fases y comercialización del sector agropecuario.</w:t>
      </w:r>
    </w:p>
    <w:p>
      <w:pPr>
        <w:spacing w:before="0" w:after="0" w:line="0" w:lineRule="atLeast"/>
        <w:jc w:val="both"/>
        <w:rPr>
          <w:rFonts w:cs="Arial"/>
          <w:color w:val="000000" w:themeColor="text1"/>
          <w:sz w:val="22"/>
          <w:szCs w:val="22"/>
        </w:rPr>
      </w:pPr>
    </w:p>
    <w:p>
      <w:pPr>
        <w:spacing w:before="0" w:after="0" w:line="0" w:lineRule="atLeast"/>
        <w:jc w:val="both"/>
        <w:rPr>
          <w:rFonts w:cs="Arial"/>
          <w:color w:val="000000" w:themeColor="text1"/>
          <w:sz w:val="22"/>
          <w:szCs w:val="22"/>
        </w:rPr>
      </w:pPr>
      <w:r>
        <w:rPr>
          <w:rFonts w:cs="Arial"/>
          <w:color w:val="000000" w:themeColor="text1"/>
          <w:sz w:val="22"/>
          <w:szCs w:val="22"/>
        </w:rPr>
        <w:t>Que de acuerdo con lo dispuesto en la Ley 16 de 1990 y los Decretos 1313 de 1990,   2371 de 2015 y la Ley 1753 de 2015,  la Comisión Nacional de Crédito Agropecuario es el organismo rector del financiamiento del sector agropecuario,  y dentro de sus funciones esta entre otros asuntos, los siguientes:</w:t>
      </w:r>
    </w:p>
    <w:p>
      <w:pPr>
        <w:spacing w:before="0" w:after="0" w:line="0" w:lineRule="atLeast"/>
        <w:jc w:val="both"/>
        <w:rPr>
          <w:rFonts w:cs="Arial"/>
          <w:color w:val="000000" w:themeColor="text1"/>
          <w:sz w:val="22"/>
          <w:szCs w:val="22"/>
        </w:rPr>
      </w:pPr>
    </w:p>
    <w:p>
      <w:pPr>
        <w:spacing w:before="0" w:after="0" w:line="0" w:lineRule="atLeast"/>
        <w:jc w:val="both"/>
        <w:rPr>
          <w:rFonts w:cs="Arial"/>
          <w:color w:val="000000" w:themeColor="text1"/>
          <w:sz w:val="22"/>
          <w:szCs w:val="22"/>
        </w:rPr>
      </w:pPr>
      <w:r>
        <w:rPr>
          <w:rFonts w:cs="Arial"/>
          <w:color w:val="000000" w:themeColor="text1"/>
          <w:sz w:val="22"/>
          <w:szCs w:val="22"/>
        </w:rPr>
        <w:t>“(…)</w:t>
      </w:r>
    </w:p>
    <w:p>
      <w:pPr>
        <w:spacing w:before="0" w:after="0" w:line="0" w:lineRule="atLeast"/>
        <w:jc w:val="both"/>
        <w:rPr>
          <w:rFonts w:cs="Arial"/>
          <w:i/>
          <w:color w:val="000000" w:themeColor="text1"/>
          <w:sz w:val="22"/>
          <w:szCs w:val="22"/>
        </w:rPr>
      </w:pPr>
      <w:r>
        <w:rPr>
          <w:rFonts w:cs="Arial"/>
          <w:i/>
          <w:color w:val="000000" w:themeColor="text1"/>
          <w:sz w:val="22"/>
          <w:szCs w:val="22"/>
        </w:rPr>
        <w:t xml:space="preserve">b) Establecer las actividades, los costos y los porcentajes de estos últimos que podrán ser objeto financiación por parte de las entidades que integran el Sistema Nacional de Crédito Agropecuario.” </w:t>
      </w:r>
    </w:p>
    <w:p>
      <w:pPr>
        <w:spacing w:before="0" w:after="0" w:line="0" w:lineRule="atLeast"/>
        <w:jc w:val="both"/>
        <w:rPr>
          <w:rFonts w:cs="Arial"/>
          <w:color w:val="000000" w:themeColor="text1"/>
          <w:sz w:val="22"/>
          <w:szCs w:val="22"/>
        </w:rPr>
      </w:pPr>
    </w:p>
    <w:p>
      <w:pPr>
        <w:spacing w:before="0" w:after="0" w:line="0" w:lineRule="atLeast"/>
        <w:jc w:val="both"/>
        <w:rPr>
          <w:rFonts w:cs="Arial"/>
          <w:color w:val="000000" w:themeColor="text1"/>
          <w:sz w:val="22"/>
          <w:szCs w:val="22"/>
        </w:rPr>
      </w:pPr>
      <w:r>
        <w:rPr>
          <w:rFonts w:cs="Arial"/>
          <w:color w:val="000000" w:themeColor="text1"/>
          <w:sz w:val="22"/>
          <w:szCs w:val="22"/>
        </w:rPr>
        <w:t xml:space="preserve">Que en el Acuerdo Final para la Terminación del Conflicto y la Construcción de una Paz Estables y Duradera, se definió, en el punto 1, la Reforma Rural Integral, sentando las bases para la transformación estructural del campo y estableciendo como objetivos contribuir a su transformación estructural, cerrar la brecha entre el campo y la ciudad, crear condiciones de bienestar y buen vivir para la población rural, integrar las regiones, contribuir a erradicar la pobreza, promover la igualdad y asegurar el pleno disfrute de los derechos de la ciudadanía; en aras de contribuir a la construcción de una paz estables y duradera. </w:t>
      </w:r>
    </w:p>
    <w:p>
      <w:pPr>
        <w:spacing w:before="0" w:after="0" w:line="0" w:lineRule="atLeast"/>
        <w:jc w:val="both"/>
        <w:rPr>
          <w:rFonts w:cs="Arial"/>
          <w:color w:val="000000" w:themeColor="text1"/>
          <w:sz w:val="22"/>
          <w:szCs w:val="22"/>
        </w:rPr>
      </w:pPr>
    </w:p>
    <w:p>
      <w:pPr>
        <w:spacing w:before="0" w:after="0" w:line="0" w:lineRule="atLeast"/>
        <w:jc w:val="both"/>
        <w:rPr>
          <w:rFonts w:cs="Arial"/>
          <w:color w:val="000000" w:themeColor="text1"/>
          <w:sz w:val="22"/>
          <w:szCs w:val="22"/>
        </w:rPr>
      </w:pPr>
      <w:r>
        <w:rPr>
          <w:rFonts w:cs="Arial"/>
          <w:color w:val="000000" w:themeColor="text1"/>
          <w:sz w:val="22"/>
          <w:szCs w:val="22"/>
        </w:rPr>
        <w:lastRenderedPageBreak/>
        <w:t>Que según la Organización de las Naciones Unidas para la Alimentación y la Agricultura –FAO-, se requiere un cambio de perspectiva en las políticas sectoriales que aseguren la productividad del campo, pues la falta de acceso a tierra, la informalidad e inseguridad jurídica sobre ella, y su desaprovechamiento productivo, inciden negativamente en las condiciones de vida de los pobladores rurales.</w:t>
      </w:r>
    </w:p>
    <w:p>
      <w:pPr>
        <w:spacing w:before="0" w:after="0" w:line="0" w:lineRule="atLeast"/>
        <w:jc w:val="both"/>
        <w:rPr>
          <w:rFonts w:cs="Arial"/>
          <w:color w:val="000000" w:themeColor="text1"/>
          <w:sz w:val="22"/>
          <w:szCs w:val="22"/>
        </w:rPr>
      </w:pPr>
    </w:p>
    <w:p>
      <w:pPr>
        <w:spacing w:before="0" w:after="0" w:line="0" w:lineRule="atLeast"/>
        <w:jc w:val="both"/>
        <w:rPr>
          <w:rFonts w:cs="Arial"/>
          <w:color w:val="000000" w:themeColor="text1"/>
          <w:sz w:val="22"/>
          <w:szCs w:val="22"/>
        </w:rPr>
      </w:pPr>
      <w:r>
        <w:rPr>
          <w:rFonts w:cs="Arial"/>
          <w:color w:val="000000" w:themeColor="text1"/>
          <w:sz w:val="22"/>
          <w:szCs w:val="22"/>
        </w:rPr>
        <w:t xml:space="preserve">Que según la Encuesta Nacional de Calidad de Vida realizada por el DANE en el 2011, el Departamento Nacional de Planeación estimó que el 59.5% de los casos en los que los hogares ejercen relaciones con la tierra, lo hacen de manera informal por carecer de título de propiedad legalmente registrado. </w:t>
      </w:r>
    </w:p>
    <w:p>
      <w:pPr>
        <w:spacing w:before="0" w:after="0" w:line="0" w:lineRule="atLeast"/>
        <w:jc w:val="both"/>
        <w:rPr>
          <w:rFonts w:cs="Arial"/>
          <w:color w:val="000000" w:themeColor="text1"/>
          <w:sz w:val="22"/>
          <w:szCs w:val="22"/>
        </w:rPr>
      </w:pPr>
    </w:p>
    <w:p>
      <w:pPr>
        <w:spacing w:before="0" w:after="0" w:line="0" w:lineRule="atLeast"/>
        <w:jc w:val="both"/>
        <w:rPr>
          <w:rFonts w:cs="Arial"/>
          <w:color w:val="000000" w:themeColor="text1"/>
          <w:sz w:val="22"/>
          <w:szCs w:val="22"/>
        </w:rPr>
      </w:pPr>
      <w:r>
        <w:rPr>
          <w:rFonts w:cs="Arial"/>
          <w:color w:val="000000" w:themeColor="text1"/>
          <w:sz w:val="22"/>
          <w:szCs w:val="22"/>
        </w:rPr>
        <w:t>Que el artículo 103 de la Ley del Plan Nacional de Desarrollo 1753 de 2015 dispone que “sin perjuicio de las disposiciones propias para la titulación de baldíos o regularización de bienes fiscales, el Ministerio de Agricultura y Desarrollo Rural o la entidad ejecutora que este determine, gestionará y financiará de forma progresiva la formalización de tierras de naturaleza privada, para otorgar títulos de propiedad legalmente registrados a los trabajadores agrarios y pobladores rurales de escasos recursos que tengan la calidad de poseedores. Esta posesión debe respetar las exigencias legales de la prescripción adquisitiva de dominio, sucesión, saneamiento de que trata la ley 1561 de 2012 o ratificación notarial de negocios jurídicos, según sea el caso.”</w:t>
      </w:r>
    </w:p>
    <w:p>
      <w:pPr>
        <w:spacing w:before="0" w:after="0" w:line="0" w:lineRule="atLeast"/>
        <w:jc w:val="both"/>
        <w:rPr>
          <w:rFonts w:cs="Arial"/>
          <w:color w:val="000000" w:themeColor="text1"/>
          <w:sz w:val="22"/>
          <w:szCs w:val="22"/>
        </w:rPr>
      </w:pPr>
    </w:p>
    <w:p>
      <w:pPr>
        <w:spacing w:before="0" w:after="0" w:line="0" w:lineRule="atLeast"/>
        <w:jc w:val="both"/>
        <w:rPr>
          <w:rFonts w:cs="Arial"/>
          <w:color w:val="000000" w:themeColor="text1"/>
          <w:sz w:val="22"/>
          <w:szCs w:val="22"/>
        </w:rPr>
      </w:pPr>
      <w:r>
        <w:rPr>
          <w:rFonts w:cs="Arial"/>
          <w:color w:val="000000" w:themeColor="text1"/>
          <w:sz w:val="22"/>
          <w:szCs w:val="22"/>
        </w:rPr>
        <w:t xml:space="preserve">Que en Sentencia C-595 de 1995 la Corte afirmó que “si bien es cierto el Estado tiene el deber de promover el acceso progresivo a la propiedad de la tierra, especialmente, a quienes trabajan, no es menos cierto que tal fin no se logra únicamente con la adjudicación de tierras baldías, que es una forma de hacerlo, sino también con otras políticas, como por ejemplo, la concesión de créditos a largo plazo y con facilidades de pago; la creación de subsidios para la compra de tierras, el fomento de las actividades agrícolas, </w:t>
      </w:r>
      <w:proofErr w:type="spellStart"/>
      <w:r>
        <w:rPr>
          <w:rFonts w:cs="Arial"/>
          <w:color w:val="000000" w:themeColor="text1"/>
          <w:sz w:val="22"/>
          <w:szCs w:val="22"/>
        </w:rPr>
        <w:t>etc</w:t>
      </w:r>
      <w:proofErr w:type="spellEnd"/>
      <w:r>
        <w:rPr>
          <w:rFonts w:cs="Arial"/>
          <w:color w:val="000000" w:themeColor="text1"/>
          <w:sz w:val="22"/>
          <w:szCs w:val="22"/>
        </w:rPr>
        <w:t>, que también buscan esa finalidad.”</w:t>
      </w:r>
    </w:p>
    <w:p>
      <w:pPr>
        <w:spacing w:before="0" w:after="0" w:line="0" w:lineRule="atLeast"/>
        <w:jc w:val="both"/>
        <w:rPr>
          <w:rFonts w:cs="Arial"/>
          <w:color w:val="000000" w:themeColor="text1"/>
          <w:sz w:val="22"/>
          <w:szCs w:val="22"/>
        </w:rPr>
      </w:pPr>
    </w:p>
    <w:p>
      <w:pPr>
        <w:spacing w:before="0" w:after="0" w:line="0" w:lineRule="atLeast"/>
        <w:jc w:val="both"/>
        <w:rPr>
          <w:rFonts w:cs="Arial"/>
          <w:color w:val="000000" w:themeColor="text1"/>
          <w:sz w:val="22"/>
          <w:szCs w:val="22"/>
        </w:rPr>
      </w:pPr>
    </w:p>
    <w:p>
      <w:pPr>
        <w:spacing w:before="0" w:after="0" w:line="0" w:lineRule="atLeast"/>
        <w:jc w:val="both"/>
        <w:rPr>
          <w:rFonts w:cs="Arial"/>
          <w:color w:val="000000" w:themeColor="text1"/>
          <w:sz w:val="22"/>
          <w:szCs w:val="22"/>
        </w:rPr>
      </w:pPr>
      <w:r>
        <w:rPr>
          <w:rFonts w:cs="Arial"/>
          <w:color w:val="000000" w:themeColor="text1"/>
          <w:sz w:val="22"/>
          <w:szCs w:val="22"/>
        </w:rPr>
        <w:t xml:space="preserve">Que el Secretario Técnico de la Comisión Nacional de Crédito Agropecuario, presentó ante los miembros la Justificación Técnica y Jurídica de la presente Resolución, la cual fue discutida y aprobada en reunión llevada a cabo el ______________ de 2017. </w:t>
      </w:r>
    </w:p>
    <w:p>
      <w:pPr>
        <w:spacing w:before="0" w:after="0" w:line="0" w:lineRule="atLeast"/>
        <w:jc w:val="both"/>
        <w:rPr>
          <w:rFonts w:cs="Arial"/>
          <w:color w:val="000000" w:themeColor="text1"/>
          <w:sz w:val="22"/>
          <w:szCs w:val="22"/>
        </w:rPr>
      </w:pPr>
    </w:p>
    <w:p>
      <w:pPr>
        <w:spacing w:before="0" w:after="0" w:line="0" w:lineRule="atLeast"/>
        <w:jc w:val="center"/>
        <w:rPr>
          <w:rFonts w:cs="Arial"/>
          <w:b/>
          <w:bCs/>
          <w:color w:val="000000" w:themeColor="text1"/>
          <w:sz w:val="22"/>
          <w:szCs w:val="22"/>
        </w:rPr>
      </w:pPr>
    </w:p>
    <w:p>
      <w:pPr>
        <w:spacing w:before="0" w:after="0" w:line="0" w:lineRule="atLeast"/>
        <w:jc w:val="center"/>
        <w:rPr>
          <w:rFonts w:cs="Arial"/>
          <w:b/>
          <w:bCs/>
          <w:color w:val="000000" w:themeColor="text1"/>
          <w:sz w:val="22"/>
          <w:szCs w:val="22"/>
        </w:rPr>
      </w:pPr>
      <w:r>
        <w:rPr>
          <w:rFonts w:cs="Arial"/>
          <w:b/>
          <w:bCs/>
          <w:color w:val="000000" w:themeColor="text1"/>
          <w:sz w:val="22"/>
          <w:szCs w:val="22"/>
        </w:rPr>
        <w:t>RESUELVE:</w:t>
      </w:r>
    </w:p>
    <w:p>
      <w:pPr>
        <w:spacing w:before="0" w:after="0" w:line="0" w:lineRule="atLeast"/>
        <w:jc w:val="center"/>
        <w:rPr>
          <w:rFonts w:cs="Arial"/>
          <w:b/>
          <w:bCs/>
          <w:color w:val="000000" w:themeColor="text1"/>
          <w:sz w:val="22"/>
          <w:szCs w:val="22"/>
        </w:rPr>
      </w:pPr>
    </w:p>
    <w:p>
      <w:pPr>
        <w:spacing w:before="0" w:after="0" w:line="0" w:lineRule="atLeast"/>
        <w:jc w:val="both"/>
        <w:rPr>
          <w:rFonts w:cs="Arial"/>
          <w:sz w:val="22"/>
          <w:szCs w:val="22"/>
        </w:rPr>
      </w:pPr>
      <w:r>
        <w:rPr>
          <w:rFonts w:cs="Arial"/>
          <w:b/>
          <w:sz w:val="22"/>
          <w:szCs w:val="22"/>
        </w:rPr>
        <w:t xml:space="preserve">Artículo 1°. </w:t>
      </w:r>
      <w:r>
        <w:rPr>
          <w:rFonts w:cs="Arial"/>
          <w:sz w:val="22"/>
          <w:szCs w:val="22"/>
        </w:rPr>
        <w:t>Modificar el artículo 3º de la Resolución N° 1 de 2016 de la Comisión Nacional de Crédito Agropecuario, el cual será del siguiente tenor:</w:t>
      </w:r>
    </w:p>
    <w:p>
      <w:pPr>
        <w:spacing w:before="0" w:after="0" w:line="0" w:lineRule="atLeast"/>
        <w:jc w:val="both"/>
        <w:rPr>
          <w:rFonts w:cs="Arial"/>
          <w:b/>
          <w:sz w:val="22"/>
          <w:szCs w:val="22"/>
        </w:rPr>
      </w:pPr>
    </w:p>
    <w:p>
      <w:pPr>
        <w:spacing w:before="0" w:after="0" w:line="0" w:lineRule="atLeast"/>
        <w:jc w:val="both"/>
        <w:rPr>
          <w:rFonts w:cs="Arial"/>
          <w:i/>
          <w:sz w:val="22"/>
          <w:szCs w:val="22"/>
        </w:rPr>
      </w:pPr>
      <w:r>
        <w:rPr>
          <w:rFonts w:cs="Arial"/>
          <w:b/>
          <w:i/>
          <w:sz w:val="22"/>
          <w:szCs w:val="22"/>
        </w:rPr>
        <w:t xml:space="preserve">Artículo 3o. </w:t>
      </w:r>
      <w:r>
        <w:rPr>
          <w:rFonts w:cs="Arial"/>
          <w:i/>
          <w:sz w:val="22"/>
          <w:szCs w:val="22"/>
        </w:rPr>
        <w:t>Actividades no Financiables</w:t>
      </w:r>
      <w:r>
        <w:rPr>
          <w:rFonts w:cs="Arial"/>
          <w:i/>
          <w:sz w:val="22"/>
          <w:szCs w:val="22"/>
        </w:rPr>
        <w:t>. No serán objeto de financiación la</w:t>
      </w:r>
      <w:r>
        <w:rPr>
          <w:rFonts w:cs="Arial"/>
          <w:i/>
          <w:sz w:val="22"/>
          <w:szCs w:val="22"/>
        </w:rPr>
        <w:t xml:space="preserve"> </w:t>
      </w:r>
      <w:r>
        <w:rPr>
          <w:rFonts w:cs="Arial"/>
          <w:i/>
          <w:sz w:val="22"/>
          <w:szCs w:val="22"/>
        </w:rPr>
        <w:t>ganadería d</w:t>
      </w:r>
      <w:r>
        <w:rPr>
          <w:rFonts w:cs="Arial"/>
          <w:i/>
          <w:sz w:val="22"/>
          <w:szCs w:val="22"/>
        </w:rPr>
        <w:t xml:space="preserve">e lidia, los gallos de pelea, los cultivos ilícitos, ni </w:t>
      </w:r>
      <w:r>
        <w:rPr>
          <w:rFonts w:cs="Arial"/>
          <w:i/>
          <w:sz w:val="22"/>
          <w:szCs w:val="22"/>
        </w:rPr>
        <w:t>los costos judiciales</w:t>
      </w:r>
      <w:r>
        <w:rPr>
          <w:rFonts w:cs="Arial"/>
          <w:i/>
          <w:sz w:val="22"/>
          <w:szCs w:val="22"/>
        </w:rPr>
        <w:t xml:space="preserve"> no relacionados con la efectiva formalización de tierras.   </w:t>
      </w:r>
    </w:p>
    <w:p>
      <w:pPr>
        <w:spacing w:before="0" w:after="0" w:line="0" w:lineRule="atLeast"/>
        <w:jc w:val="both"/>
        <w:rPr>
          <w:rFonts w:cs="Arial"/>
          <w:sz w:val="22"/>
          <w:szCs w:val="22"/>
        </w:rPr>
      </w:pPr>
    </w:p>
    <w:p>
      <w:pPr>
        <w:spacing w:before="0" w:after="0" w:line="0" w:lineRule="atLeast"/>
        <w:jc w:val="both"/>
        <w:rPr>
          <w:rFonts w:cs="Arial"/>
          <w:sz w:val="22"/>
          <w:szCs w:val="22"/>
        </w:rPr>
      </w:pPr>
    </w:p>
    <w:p>
      <w:pPr>
        <w:spacing w:before="0" w:after="0" w:line="0" w:lineRule="atLeast"/>
        <w:jc w:val="both"/>
        <w:rPr>
          <w:rFonts w:cs="Arial"/>
          <w:sz w:val="22"/>
          <w:szCs w:val="22"/>
        </w:rPr>
      </w:pPr>
      <w:r>
        <w:rPr>
          <w:rFonts w:cs="Arial"/>
          <w:b/>
          <w:sz w:val="22"/>
          <w:szCs w:val="22"/>
        </w:rPr>
        <w:t>Artículo 2°.</w:t>
      </w:r>
      <w:r>
        <w:rPr>
          <w:rFonts w:cs="Arial"/>
          <w:sz w:val="22"/>
          <w:szCs w:val="22"/>
        </w:rPr>
        <w:t xml:space="preserve"> Modificar el artículo 2º de la Resolución No. 1 de 2016 de la Comisión Nacional de Crédito Agropecuario, en el sentido de incluir la siguiente actividad dentro de las Actividades Financiables: </w:t>
      </w:r>
    </w:p>
    <w:p>
      <w:pPr>
        <w:spacing w:before="0" w:after="0" w:line="0" w:lineRule="atLeast"/>
        <w:jc w:val="both"/>
        <w:rPr>
          <w:rFonts w:cs="Arial"/>
          <w:sz w:val="22"/>
          <w:szCs w:val="22"/>
        </w:rPr>
      </w:pPr>
    </w:p>
    <w:p>
      <w:pPr>
        <w:pStyle w:val="Prrafodelista"/>
        <w:numPr>
          <w:ilvl w:val="0"/>
          <w:numId w:val="45"/>
        </w:numPr>
        <w:spacing w:before="0" w:after="0" w:line="0" w:lineRule="atLeast"/>
        <w:jc w:val="both"/>
        <w:rPr>
          <w:rFonts w:cs="Arial"/>
          <w:i/>
          <w:sz w:val="22"/>
          <w:szCs w:val="22"/>
        </w:rPr>
      </w:pPr>
      <w:r>
        <w:rPr>
          <w:rFonts w:cs="Arial"/>
          <w:i/>
          <w:sz w:val="22"/>
          <w:szCs w:val="22"/>
        </w:rPr>
        <w:lastRenderedPageBreak/>
        <w:t xml:space="preserve">Gastos administrativos, notariales, judiciales, procesales, impuestos o cualquier otro en que se incurra para la efectiva formalización de tierras. </w:t>
      </w:r>
    </w:p>
    <w:p>
      <w:pPr>
        <w:spacing w:after="0" w:line="0" w:lineRule="atLeast"/>
        <w:jc w:val="both"/>
        <w:rPr>
          <w:rFonts w:cs="Arial"/>
          <w:b/>
          <w:sz w:val="22"/>
          <w:szCs w:val="22"/>
        </w:rPr>
      </w:pPr>
    </w:p>
    <w:p>
      <w:pPr>
        <w:spacing w:before="0" w:after="0" w:line="0" w:lineRule="atLeast"/>
        <w:jc w:val="both"/>
        <w:rPr>
          <w:rFonts w:cs="Arial"/>
          <w:sz w:val="22"/>
          <w:szCs w:val="22"/>
        </w:rPr>
      </w:pPr>
    </w:p>
    <w:p>
      <w:pPr>
        <w:spacing w:before="0" w:after="0" w:line="0" w:lineRule="atLeast"/>
        <w:jc w:val="both"/>
        <w:rPr>
          <w:rFonts w:cs="Arial"/>
          <w:sz w:val="22"/>
          <w:szCs w:val="22"/>
        </w:rPr>
      </w:pPr>
      <w:r>
        <w:rPr>
          <w:rFonts w:cs="Arial"/>
          <w:b/>
          <w:sz w:val="22"/>
          <w:szCs w:val="22"/>
        </w:rPr>
        <w:t xml:space="preserve">Artículo 3°. </w:t>
      </w:r>
      <w:r>
        <w:rPr>
          <w:rFonts w:cs="Arial"/>
          <w:sz w:val="22"/>
          <w:szCs w:val="22"/>
        </w:rPr>
        <w:t>Los demás artículos de la Resolución N° 1 de 2016 de la Comisión Nacional de Crédito Agropecuario no se modifican.</w:t>
      </w:r>
    </w:p>
    <w:p>
      <w:pPr>
        <w:spacing w:before="0" w:after="0" w:line="0" w:lineRule="atLeast"/>
        <w:jc w:val="both"/>
        <w:rPr>
          <w:rFonts w:cs="Arial"/>
          <w:b/>
          <w:sz w:val="22"/>
          <w:szCs w:val="22"/>
        </w:rPr>
      </w:pPr>
    </w:p>
    <w:p>
      <w:pPr>
        <w:spacing w:before="0" w:after="0" w:line="0" w:lineRule="atLeast"/>
        <w:jc w:val="both"/>
        <w:rPr>
          <w:rFonts w:cs="Arial"/>
          <w:color w:val="000000" w:themeColor="text1"/>
          <w:sz w:val="22"/>
          <w:szCs w:val="22"/>
        </w:rPr>
      </w:pPr>
      <w:r>
        <w:rPr>
          <w:rFonts w:cs="Arial"/>
          <w:b/>
          <w:sz w:val="22"/>
          <w:szCs w:val="22"/>
        </w:rPr>
        <w:t xml:space="preserve">Artículo 4°. </w:t>
      </w:r>
      <w:r>
        <w:rPr>
          <w:rFonts w:cs="Arial"/>
          <w:sz w:val="22"/>
          <w:szCs w:val="22"/>
        </w:rPr>
        <w:t>La presente resolución rige a partir de su publicación en el Diario Oficial y deroga las disposiciones que le sean contrarias</w:t>
      </w:r>
    </w:p>
    <w:p>
      <w:pPr>
        <w:spacing w:before="0" w:after="0" w:line="0" w:lineRule="atLeast"/>
        <w:jc w:val="both"/>
        <w:rPr>
          <w:rFonts w:cs="Arial"/>
          <w:color w:val="000000" w:themeColor="text1"/>
          <w:sz w:val="22"/>
          <w:szCs w:val="22"/>
        </w:rPr>
      </w:pPr>
    </w:p>
    <w:p>
      <w:pPr>
        <w:spacing w:before="0" w:after="0" w:line="0" w:lineRule="atLeast"/>
        <w:jc w:val="both"/>
        <w:rPr>
          <w:rFonts w:cs="Arial"/>
          <w:color w:val="000000" w:themeColor="text1"/>
          <w:sz w:val="22"/>
          <w:szCs w:val="22"/>
        </w:rPr>
      </w:pPr>
    </w:p>
    <w:p>
      <w:pPr>
        <w:autoSpaceDE w:val="0"/>
        <w:autoSpaceDN w:val="0"/>
        <w:adjustRightInd w:val="0"/>
        <w:spacing w:line="0" w:lineRule="atLeast"/>
        <w:jc w:val="both"/>
        <w:rPr>
          <w:rFonts w:cs="Arial"/>
          <w:sz w:val="22"/>
          <w:szCs w:val="22"/>
        </w:rPr>
      </w:pPr>
      <w:r>
        <w:rPr>
          <w:rFonts w:cs="Arial"/>
          <w:sz w:val="22"/>
          <w:szCs w:val="22"/>
        </w:rPr>
        <w:t xml:space="preserve">Dada en Bogotá D.C., a los      </w:t>
      </w:r>
    </w:p>
    <w:p>
      <w:pPr>
        <w:widowControl w:val="0"/>
        <w:autoSpaceDE w:val="0"/>
        <w:autoSpaceDN w:val="0"/>
        <w:adjustRightInd w:val="0"/>
        <w:spacing w:before="0" w:after="0" w:line="0" w:lineRule="atLeast"/>
        <w:jc w:val="both"/>
        <w:rPr>
          <w:rFonts w:cs="Arial"/>
          <w:sz w:val="22"/>
          <w:szCs w:val="22"/>
        </w:rPr>
      </w:pPr>
    </w:p>
    <w:p>
      <w:pPr>
        <w:widowControl w:val="0"/>
        <w:autoSpaceDE w:val="0"/>
        <w:autoSpaceDN w:val="0"/>
        <w:adjustRightInd w:val="0"/>
        <w:spacing w:before="0" w:after="0" w:line="0" w:lineRule="atLeast"/>
        <w:jc w:val="both"/>
        <w:rPr>
          <w:rFonts w:cs="Arial"/>
          <w:sz w:val="22"/>
          <w:szCs w:val="22"/>
        </w:rPr>
      </w:pPr>
    </w:p>
    <w:p>
      <w:pPr>
        <w:widowControl w:val="0"/>
        <w:autoSpaceDE w:val="0"/>
        <w:autoSpaceDN w:val="0"/>
        <w:adjustRightInd w:val="0"/>
        <w:spacing w:before="0" w:after="0" w:line="0" w:lineRule="atLeast"/>
        <w:jc w:val="both"/>
        <w:rPr>
          <w:rFonts w:cs="Arial"/>
          <w:sz w:val="22"/>
          <w:szCs w:val="22"/>
        </w:rPr>
      </w:pPr>
    </w:p>
    <w:p>
      <w:pPr>
        <w:spacing w:before="0" w:after="0" w:line="0" w:lineRule="atLeast"/>
        <w:jc w:val="both"/>
        <w:rPr>
          <w:rFonts w:cs="Arial"/>
          <w:bCs/>
          <w:sz w:val="22"/>
          <w:szCs w:val="22"/>
        </w:rPr>
      </w:pPr>
    </w:p>
    <w:p>
      <w:pPr>
        <w:spacing w:before="0" w:after="0" w:line="0" w:lineRule="atLeast"/>
        <w:jc w:val="both"/>
        <w:rPr>
          <w:rFonts w:cs="Arial"/>
          <w:bCs/>
          <w:sz w:val="22"/>
          <w:szCs w:val="22"/>
        </w:rPr>
      </w:pPr>
      <w:r>
        <w:rPr>
          <w:rFonts w:cs="Arial"/>
          <w:b/>
          <w:bCs/>
          <w:sz w:val="22"/>
          <w:szCs w:val="22"/>
        </w:rPr>
        <w:t>AURELIO IRAGORRI VALENCIA</w:t>
      </w:r>
      <w:r>
        <w:rPr>
          <w:rFonts w:cs="Arial"/>
          <w:b/>
          <w:bCs/>
          <w:sz w:val="22"/>
          <w:szCs w:val="22"/>
        </w:rPr>
        <w:tab/>
      </w:r>
      <w:r>
        <w:rPr>
          <w:rFonts w:cs="Arial"/>
          <w:bCs/>
          <w:sz w:val="22"/>
          <w:szCs w:val="22"/>
        </w:rPr>
        <w:tab/>
      </w:r>
      <w:r>
        <w:rPr>
          <w:rFonts w:cs="Arial"/>
          <w:b/>
          <w:bCs/>
          <w:sz w:val="22"/>
          <w:szCs w:val="22"/>
        </w:rPr>
        <w:tab/>
        <w:t>JULIO ENRIQUE CORZO ORTEGA</w:t>
      </w:r>
    </w:p>
    <w:p>
      <w:pPr>
        <w:spacing w:before="0" w:after="0" w:line="0" w:lineRule="atLeast"/>
        <w:jc w:val="both"/>
        <w:rPr>
          <w:rFonts w:cs="Arial"/>
          <w:bCs/>
          <w:sz w:val="22"/>
          <w:szCs w:val="22"/>
        </w:rPr>
      </w:pPr>
      <w:r>
        <w:rPr>
          <w:rFonts w:cs="Arial"/>
          <w:bCs/>
          <w:sz w:val="22"/>
          <w:szCs w:val="22"/>
        </w:rPr>
        <w:t>Presidente</w:t>
      </w:r>
      <w:r>
        <w:rPr>
          <w:rFonts w:cs="Arial"/>
          <w:bCs/>
          <w:sz w:val="22"/>
          <w:szCs w:val="22"/>
        </w:rPr>
        <w:tab/>
      </w:r>
      <w:r>
        <w:rPr>
          <w:rFonts w:cs="Arial"/>
          <w:bCs/>
          <w:sz w:val="22"/>
          <w:szCs w:val="22"/>
        </w:rPr>
        <w:tab/>
      </w:r>
      <w:r>
        <w:rPr>
          <w:rFonts w:cs="Arial"/>
          <w:bCs/>
          <w:sz w:val="22"/>
          <w:szCs w:val="22"/>
        </w:rPr>
        <w:tab/>
      </w:r>
      <w:r>
        <w:rPr>
          <w:rFonts w:cs="Arial"/>
          <w:bCs/>
          <w:sz w:val="22"/>
          <w:szCs w:val="22"/>
        </w:rPr>
        <w:tab/>
      </w:r>
      <w:r>
        <w:rPr>
          <w:rFonts w:cs="Arial"/>
          <w:bCs/>
          <w:sz w:val="22"/>
          <w:szCs w:val="22"/>
        </w:rPr>
        <w:tab/>
      </w:r>
      <w:r>
        <w:rPr>
          <w:rFonts w:cs="Arial"/>
          <w:bCs/>
          <w:sz w:val="22"/>
          <w:szCs w:val="22"/>
        </w:rPr>
        <w:tab/>
        <w:t>Secretario</w:t>
      </w:r>
    </w:p>
    <w:p>
      <w:pPr>
        <w:rPr>
          <w:rFonts w:cs="Arial"/>
          <w:b/>
          <w:bCs/>
          <w:sz w:val="22"/>
          <w:szCs w:val="22"/>
        </w:rPr>
      </w:pPr>
    </w:p>
    <w:p>
      <w:pPr>
        <w:rPr>
          <w:rFonts w:cs="Arial"/>
          <w:b/>
          <w:bCs/>
          <w:sz w:val="22"/>
          <w:szCs w:val="22"/>
        </w:rPr>
      </w:pPr>
    </w:p>
    <w:p>
      <w:pPr>
        <w:rPr>
          <w:rFonts w:cs="Arial"/>
          <w:b/>
          <w:bCs/>
          <w:sz w:val="22"/>
          <w:szCs w:val="22"/>
        </w:rPr>
      </w:pPr>
    </w:p>
    <w:p>
      <w:pPr>
        <w:spacing w:before="0" w:after="0"/>
        <w:rPr>
          <w:rFonts w:cs="Arial"/>
          <w:b/>
          <w:bCs/>
          <w:sz w:val="22"/>
          <w:szCs w:val="22"/>
        </w:rPr>
      </w:pPr>
      <w:r>
        <w:rPr>
          <w:rFonts w:cs="Arial"/>
          <w:b/>
          <w:bCs/>
          <w:sz w:val="22"/>
          <w:szCs w:val="22"/>
        </w:rPr>
        <w:br w:type="page"/>
      </w:r>
    </w:p>
    <w:p>
      <w:pPr>
        <w:rPr>
          <w:rFonts w:cs="Arial"/>
          <w:b/>
          <w:bCs/>
          <w:sz w:val="22"/>
          <w:szCs w:val="22"/>
        </w:rPr>
      </w:pPr>
    </w:p>
    <w:p>
      <w:pPr>
        <w:spacing w:after="0"/>
        <w:jc w:val="center"/>
        <w:rPr>
          <w:rFonts w:cs="Arial"/>
          <w:b/>
        </w:rPr>
      </w:pPr>
      <w:r>
        <w:rPr>
          <w:rFonts w:cs="Arial"/>
          <w:b/>
        </w:rPr>
        <w:t xml:space="preserve">JUSTIFICACIÓN TÉCNICA PARA UNA MODIFICACIÔN </w:t>
      </w:r>
    </w:p>
    <w:p>
      <w:pPr>
        <w:spacing w:after="0"/>
        <w:jc w:val="center"/>
        <w:rPr>
          <w:rFonts w:cs="Arial"/>
          <w:b/>
        </w:rPr>
      </w:pPr>
      <w:r>
        <w:rPr>
          <w:rFonts w:cs="Arial"/>
          <w:b/>
        </w:rPr>
        <w:t xml:space="preserve">DE LOS ARTÍCULOS 2 Y 3 DE LA RESOLUCIÓN  01 de 2016 </w:t>
      </w:r>
    </w:p>
    <w:p>
      <w:pPr>
        <w:spacing w:after="0"/>
        <w:jc w:val="center"/>
        <w:rPr>
          <w:rFonts w:cs="Arial"/>
          <w:b/>
        </w:rPr>
      </w:pPr>
      <w:r>
        <w:rPr>
          <w:rFonts w:cs="Arial"/>
          <w:b/>
        </w:rPr>
        <w:t>FORMALIZACIÓN DE TIERRAS</w:t>
      </w:r>
    </w:p>
    <w:p>
      <w:pPr>
        <w:spacing w:after="0"/>
        <w:jc w:val="center"/>
        <w:rPr>
          <w:rFonts w:cs="Arial"/>
          <w:b/>
        </w:rPr>
      </w:pPr>
      <w:bookmarkStart w:id="0" w:name="_GoBack"/>
      <w:bookmarkEnd w:id="0"/>
    </w:p>
    <w:p>
      <w:pPr>
        <w:spacing w:after="0"/>
        <w:jc w:val="both"/>
        <w:rPr>
          <w:rFonts w:cs="Arial"/>
        </w:rPr>
      </w:pPr>
    </w:p>
    <w:p>
      <w:pPr>
        <w:pStyle w:val="Prrafodelista"/>
        <w:numPr>
          <w:ilvl w:val="0"/>
          <w:numId w:val="43"/>
        </w:numPr>
        <w:spacing w:before="0" w:after="0"/>
        <w:contextualSpacing/>
        <w:jc w:val="both"/>
        <w:rPr>
          <w:rFonts w:cs="Arial"/>
          <w:b/>
        </w:rPr>
      </w:pPr>
      <w:r>
        <w:rPr>
          <w:rFonts w:cs="Arial"/>
          <w:b/>
        </w:rPr>
        <w:t>Objetivo:</w:t>
      </w:r>
    </w:p>
    <w:p>
      <w:pPr>
        <w:pStyle w:val="Prrafodelista"/>
        <w:spacing w:after="0"/>
        <w:jc w:val="both"/>
        <w:rPr>
          <w:rFonts w:cs="Arial"/>
        </w:rPr>
      </w:pPr>
    </w:p>
    <w:p>
      <w:pPr>
        <w:spacing w:after="0"/>
        <w:jc w:val="both"/>
        <w:rPr>
          <w:rFonts w:cs="Arial"/>
        </w:rPr>
      </w:pPr>
      <w:r>
        <w:rPr>
          <w:rFonts w:cs="Arial"/>
        </w:rPr>
        <w:t>Permitir la financiación, a través de crédito de fomento agropecuario y rural, de los gastos administrativos, notariales, procesales o cualquier otro en que se incurra para la efectiva formalización de tierras.</w:t>
      </w:r>
    </w:p>
    <w:p>
      <w:pPr>
        <w:spacing w:after="0"/>
        <w:jc w:val="both"/>
        <w:rPr>
          <w:rFonts w:cs="Arial"/>
        </w:rPr>
      </w:pPr>
    </w:p>
    <w:p>
      <w:pPr>
        <w:pStyle w:val="Prrafodelista"/>
        <w:numPr>
          <w:ilvl w:val="0"/>
          <w:numId w:val="43"/>
        </w:numPr>
        <w:spacing w:before="0" w:after="0"/>
        <w:contextualSpacing/>
        <w:jc w:val="both"/>
        <w:rPr>
          <w:rFonts w:cs="Arial"/>
          <w:b/>
        </w:rPr>
      </w:pPr>
      <w:r>
        <w:rPr>
          <w:rFonts w:cs="Arial"/>
          <w:b/>
        </w:rPr>
        <w:t>Antecedentes y justificación:</w:t>
      </w:r>
    </w:p>
    <w:p>
      <w:pPr>
        <w:pStyle w:val="Prrafodelista"/>
        <w:spacing w:after="0"/>
        <w:jc w:val="both"/>
        <w:rPr>
          <w:rFonts w:cs="Arial"/>
        </w:rPr>
      </w:pPr>
    </w:p>
    <w:p>
      <w:pPr>
        <w:spacing w:after="0"/>
        <w:contextualSpacing/>
        <w:jc w:val="both"/>
        <w:rPr>
          <w:rFonts w:cs="Arial"/>
        </w:rPr>
      </w:pPr>
      <w:r>
        <w:rPr>
          <w:rFonts w:cs="Arial"/>
        </w:rPr>
        <w:t>Desde 1991, encontramos dispuesto en nuestra Constitución Política en los artículos 64 y siguientes, que al Estado le corresponde el deber de promover el acceso progresivo a la propiedad de la tierra de los trabajadores agrarios, otorgándole la potestad de reglamentar condiciones especiales en crédito agropecuario, con el fin de impulsar el desarrollo integral de las actividades agrícolas, pecuarias, pesqueras, forestales y agroindustriales.</w:t>
      </w:r>
    </w:p>
    <w:p>
      <w:pPr>
        <w:spacing w:after="0"/>
        <w:contextualSpacing/>
        <w:jc w:val="both"/>
        <w:rPr>
          <w:rFonts w:cs="Arial"/>
        </w:rPr>
      </w:pPr>
    </w:p>
    <w:p>
      <w:pPr>
        <w:contextualSpacing/>
        <w:jc w:val="both"/>
      </w:pPr>
      <w:r>
        <w:t>Según el informe de Desarrollo Humano (2011</w:t>
      </w:r>
      <w:r>
        <w:rPr>
          <w:i/>
        </w:rPr>
        <w:t>) “La tenencia de la tierra en Colombia es quizás el componente más importante de la estructura agraria y el que más afecta el desarrollo humano en el sector rural. Se define como el sistema de relaciones jurídico-políticas de dominio de la tierra y de los recursos, sea para uso económico o para sustentar poderes políticos.”</w:t>
      </w:r>
    </w:p>
    <w:p>
      <w:pPr>
        <w:spacing w:after="0"/>
        <w:contextualSpacing/>
        <w:jc w:val="both"/>
        <w:rPr>
          <w:rFonts w:cs="Arial"/>
        </w:rPr>
      </w:pPr>
    </w:p>
    <w:p>
      <w:pPr>
        <w:spacing w:after="0"/>
        <w:contextualSpacing/>
        <w:jc w:val="both"/>
        <w:rPr>
          <w:rFonts w:cs="Arial"/>
        </w:rPr>
      </w:pPr>
      <w:r>
        <w:rPr>
          <w:rFonts w:cs="Arial"/>
        </w:rPr>
        <w:t>El Gobierno Nacional a través de la Misión para la transformación del Campo Colombiano, presentó en 2014 un informe en el cual se evidenció la necesidad de crear normas que faciliten la formalización de la propiedad rural.</w:t>
      </w:r>
    </w:p>
    <w:p>
      <w:pPr>
        <w:spacing w:after="0"/>
        <w:contextualSpacing/>
        <w:jc w:val="both"/>
        <w:rPr>
          <w:rFonts w:cs="Arial"/>
        </w:rPr>
      </w:pPr>
    </w:p>
    <w:p>
      <w:pPr>
        <w:spacing w:after="0"/>
        <w:contextualSpacing/>
        <w:jc w:val="both"/>
        <w:rPr>
          <w:rFonts w:cs="Arial"/>
        </w:rPr>
      </w:pPr>
      <w:r>
        <w:rPr>
          <w:rFonts w:cs="Arial"/>
        </w:rPr>
        <w:t>Por su lado, la Corte Constitucional en el año 1995 mediante Sentencia C-595, señaló que</w:t>
      </w:r>
      <w:r>
        <w:t xml:space="preserve"> </w:t>
      </w:r>
      <w:r>
        <w:rPr>
          <w:rFonts w:cs="Arial"/>
          <w:i/>
        </w:rPr>
        <w:t xml:space="preserve">“si bien es cierto el Estado tiene el deber de promover el acceso progresivo a la propiedad de la tierra, especialmente, a quienes trabajan, no es menos cierto que tal fin no se logra únicamente con la adjudicación de tierras baldías, que es una forma de hacerlo, sino también con otras políticas, como por ejemplo, la concesión de créditos a largo plazo y con facilidades de pago; la creación de subsidios para la compra de tierras, el fomento de las actividades agrícolas, </w:t>
      </w:r>
      <w:proofErr w:type="spellStart"/>
      <w:r>
        <w:rPr>
          <w:rFonts w:cs="Arial"/>
          <w:i/>
        </w:rPr>
        <w:t>etc</w:t>
      </w:r>
      <w:proofErr w:type="spellEnd"/>
      <w:r>
        <w:rPr>
          <w:rFonts w:cs="Arial"/>
          <w:i/>
        </w:rPr>
        <w:t>, que también buscan esa finalidad.”</w:t>
      </w:r>
      <w:r>
        <w:rPr>
          <w:rFonts w:cs="Arial"/>
        </w:rPr>
        <w:t xml:space="preserve"> </w:t>
      </w:r>
    </w:p>
    <w:p>
      <w:pPr>
        <w:spacing w:after="0"/>
        <w:contextualSpacing/>
        <w:jc w:val="both"/>
        <w:rPr>
          <w:rFonts w:cs="Arial"/>
        </w:rPr>
      </w:pPr>
    </w:p>
    <w:p>
      <w:pPr>
        <w:spacing w:after="0"/>
        <w:contextualSpacing/>
        <w:jc w:val="both"/>
        <w:rPr>
          <w:rFonts w:cs="Arial"/>
        </w:rPr>
      </w:pPr>
      <w:r>
        <w:rPr>
          <w:rFonts w:cs="Arial"/>
        </w:rPr>
        <w:t xml:space="preserve">Ahora bien, adicional a los preceptos constitucionales, en el Acuerdo Final se retoman estos compromisos, incluyendo en el Punto N° 1 de la Reforma Rural </w:t>
      </w:r>
      <w:r>
        <w:rPr>
          <w:rFonts w:cs="Arial"/>
        </w:rPr>
        <w:lastRenderedPageBreak/>
        <w:t>integral, en el aparte de las medidas de transformación estructural del campo, la adopción de normas que estimulen la formalización de la tierra. Dentro de los principios de la reforma agraria propuesta, expresamente se menciona la regularización de la propiedad que propende por la legalización de la posesión y de la propiedad de la tierra, garantizando los derechos de los legítimos poseedores y dueños, sin que esto afecte el derecho constitucional a la propiedad privada.</w:t>
      </w:r>
    </w:p>
    <w:p>
      <w:pPr>
        <w:spacing w:after="0"/>
        <w:contextualSpacing/>
        <w:jc w:val="both"/>
        <w:rPr>
          <w:rFonts w:cs="Arial"/>
        </w:rPr>
      </w:pPr>
    </w:p>
    <w:p>
      <w:pPr>
        <w:spacing w:after="0"/>
        <w:contextualSpacing/>
        <w:jc w:val="both"/>
        <w:rPr>
          <w:rFonts w:cs="Arial"/>
        </w:rPr>
      </w:pPr>
      <w:r>
        <w:rPr>
          <w:rFonts w:cs="Arial"/>
        </w:rPr>
        <w:t>El numeral 1.1.5 del Acuerdo dispone entre los aspectos que buscan la formalización masiva de la pequeña y mediana propiedad rural - “Regularizar los derechos de propiedad de los propietarios, ocupantes y poseedores de buena fe, siempre que no haya despojo o mala fe”.</w:t>
      </w:r>
    </w:p>
    <w:p>
      <w:pPr>
        <w:contextualSpacing/>
        <w:jc w:val="both"/>
      </w:pPr>
    </w:p>
    <w:p>
      <w:pPr>
        <w:contextualSpacing/>
        <w:jc w:val="both"/>
      </w:pPr>
      <w:r>
        <w:t xml:space="preserve">Según cifras del censo catastral el número de predios rurales inscritos a 1 de enero de 2013 son 3.946.376, de estos 1.466.591 tienen título de propiedad, en esta cifra no se incluyen los demás derechos de tenencia que hoy existen como la posesión, la ocupación o nuevas mejoras, teniendo como resultado que aproximadamente entre el 40 y 50% de las propiedades rurales actualmente se encuentran en la informalidad. </w:t>
      </w:r>
    </w:p>
    <w:p>
      <w:pPr>
        <w:contextualSpacing/>
        <w:jc w:val="both"/>
      </w:pPr>
    </w:p>
    <w:p>
      <w:pPr>
        <w:contextualSpacing/>
        <w:jc w:val="both"/>
      </w:pPr>
      <w:r>
        <w:t xml:space="preserve">Según el Marco de Evaluación de la Gobernanza de la Tierra en su análisis en Colombia, algunas de las principales causas de la informalidad en el registro de la propiedad inmueble rural, consisten en: </w:t>
      </w:r>
    </w:p>
    <w:p>
      <w:pPr>
        <w:contextualSpacing/>
        <w:jc w:val="both"/>
      </w:pPr>
    </w:p>
    <w:p>
      <w:pPr>
        <w:contextualSpacing/>
        <w:jc w:val="both"/>
      </w:pPr>
      <w:r>
        <w:t>a. Informalidad en la tenencia de la tierra rural al no contar los poseedores de tierras con un título registrado ni inventariado en el registro de instrumentos públicos, debido en gran parte a un alto grado de desconocimiento de la población sobre los diferentes tipos de derechos sobre la tierra, sus implicaciones y la importancia de formalizar los derechos de propiedad en el registro de instrumentos públicos.</w:t>
      </w:r>
    </w:p>
    <w:p>
      <w:pPr>
        <w:contextualSpacing/>
        <w:jc w:val="both"/>
      </w:pPr>
      <w:r>
        <w:t xml:space="preserve"> </w:t>
      </w:r>
    </w:p>
    <w:p>
      <w:pPr>
        <w:contextualSpacing/>
        <w:jc w:val="both"/>
      </w:pPr>
      <w:r>
        <w:t>b. Falta de liquidación de las sucesiones, por lo que en las bases de datos del catastro y la oficina de registros públicos, sigue apareciendo el propietario anterior, requiriéndose la adjudicación de los predios a los herederos.</w:t>
      </w:r>
    </w:p>
    <w:p>
      <w:pPr>
        <w:contextualSpacing/>
        <w:jc w:val="both"/>
      </w:pPr>
    </w:p>
    <w:p>
      <w:pPr>
        <w:contextualSpacing/>
        <w:jc w:val="both"/>
      </w:pPr>
    </w:p>
    <w:p>
      <w:pPr>
        <w:contextualSpacing/>
        <w:jc w:val="both"/>
      </w:pPr>
      <w:r>
        <w:t xml:space="preserve">Con base en la información catastral del año 2014, la UPRA realizó un ejercicio de Estimación de Índice de Informalidad (el cual se anexa) en el que se presentó la siguiente relación del índice de informalidad por departamento: </w:t>
      </w:r>
    </w:p>
    <w:p>
      <w:pPr>
        <w:spacing w:before="0" w:after="0"/>
        <w:jc w:val="center"/>
        <w:rPr>
          <w:rFonts w:ascii="Century Gothic" w:eastAsiaTheme="minorHAnsi" w:hAnsi="Century Gothic" w:cstheme="minorBidi"/>
          <w:lang w:val="es-ES" w:eastAsia="en-US"/>
        </w:rPr>
      </w:pPr>
    </w:p>
    <w:tbl>
      <w:tblPr>
        <w:tblW w:w="7480" w:type="dxa"/>
        <w:jc w:val="center"/>
        <w:tblCellMar>
          <w:left w:w="70" w:type="dxa"/>
          <w:right w:w="70" w:type="dxa"/>
        </w:tblCellMar>
        <w:tblLook w:val="04A0" w:firstRow="1" w:lastRow="0" w:firstColumn="1" w:lastColumn="0" w:noHBand="0" w:noVBand="1"/>
      </w:tblPr>
      <w:tblGrid>
        <w:gridCol w:w="3309"/>
        <w:gridCol w:w="1119"/>
        <w:gridCol w:w="1638"/>
        <w:gridCol w:w="1433"/>
      </w:tblGrid>
      <w:tr>
        <w:trPr>
          <w:trHeight w:val="900"/>
          <w:tblHeader/>
          <w:jc w:val="center"/>
        </w:trPr>
        <w:tc>
          <w:tcPr>
            <w:tcW w:w="3309" w:type="dxa"/>
            <w:tcBorders>
              <w:top w:val="single" w:sz="4" w:space="0" w:color="auto"/>
              <w:left w:val="single" w:sz="4" w:space="0" w:color="auto"/>
              <w:bottom w:val="single" w:sz="4" w:space="0" w:color="auto"/>
              <w:right w:val="single" w:sz="4" w:space="0" w:color="auto"/>
            </w:tcBorders>
            <w:shd w:val="clear" w:color="000000" w:fill="92D050"/>
            <w:vAlign w:val="center"/>
            <w:hideMark/>
          </w:tcPr>
          <w:p>
            <w:pPr>
              <w:spacing w:before="0" w:after="0"/>
              <w:jc w:val="center"/>
              <w:rPr>
                <w:rFonts w:ascii="Calibri" w:hAnsi="Calibri"/>
                <w:b/>
                <w:bCs/>
                <w:sz w:val="22"/>
                <w:szCs w:val="22"/>
                <w:lang w:eastAsia="es-CO"/>
              </w:rPr>
            </w:pPr>
            <w:r>
              <w:rPr>
                <w:rFonts w:ascii="Calibri" w:hAnsi="Calibri"/>
                <w:b/>
                <w:bCs/>
                <w:sz w:val="22"/>
                <w:szCs w:val="22"/>
                <w:lang w:eastAsia="es-CO"/>
              </w:rPr>
              <w:t>Departamento</w:t>
            </w:r>
          </w:p>
        </w:tc>
        <w:tc>
          <w:tcPr>
            <w:tcW w:w="1119" w:type="dxa"/>
            <w:tcBorders>
              <w:top w:val="single" w:sz="4" w:space="0" w:color="auto"/>
              <w:left w:val="nil"/>
              <w:bottom w:val="single" w:sz="4" w:space="0" w:color="auto"/>
              <w:right w:val="single" w:sz="4" w:space="0" w:color="auto"/>
            </w:tcBorders>
            <w:shd w:val="clear" w:color="000000" w:fill="92D050"/>
            <w:vAlign w:val="center"/>
            <w:hideMark/>
          </w:tcPr>
          <w:p>
            <w:pPr>
              <w:spacing w:before="0" w:after="0"/>
              <w:jc w:val="center"/>
              <w:rPr>
                <w:rFonts w:ascii="Calibri" w:hAnsi="Calibri"/>
                <w:b/>
                <w:bCs/>
                <w:sz w:val="22"/>
                <w:szCs w:val="22"/>
                <w:lang w:eastAsia="es-CO"/>
              </w:rPr>
            </w:pPr>
            <w:r>
              <w:rPr>
                <w:rFonts w:ascii="Calibri" w:hAnsi="Calibri"/>
                <w:b/>
                <w:bCs/>
                <w:sz w:val="22"/>
                <w:szCs w:val="22"/>
                <w:lang w:eastAsia="es-CO"/>
              </w:rPr>
              <w:t>Total de Predios en Catastro</w:t>
            </w:r>
          </w:p>
        </w:tc>
        <w:tc>
          <w:tcPr>
            <w:tcW w:w="1638" w:type="dxa"/>
            <w:tcBorders>
              <w:top w:val="single" w:sz="4" w:space="0" w:color="auto"/>
              <w:left w:val="nil"/>
              <w:bottom w:val="single" w:sz="4" w:space="0" w:color="auto"/>
              <w:right w:val="single" w:sz="4" w:space="0" w:color="auto"/>
            </w:tcBorders>
            <w:shd w:val="clear" w:color="000000" w:fill="92D050"/>
            <w:vAlign w:val="center"/>
            <w:hideMark/>
          </w:tcPr>
          <w:p>
            <w:pPr>
              <w:spacing w:before="0" w:after="0"/>
              <w:jc w:val="center"/>
              <w:rPr>
                <w:rFonts w:ascii="Calibri" w:hAnsi="Calibri"/>
                <w:b/>
                <w:bCs/>
                <w:sz w:val="22"/>
                <w:szCs w:val="22"/>
                <w:lang w:eastAsia="es-CO"/>
              </w:rPr>
            </w:pPr>
            <w:r>
              <w:rPr>
                <w:rFonts w:ascii="Calibri" w:hAnsi="Calibri"/>
                <w:b/>
                <w:bCs/>
                <w:sz w:val="22"/>
                <w:szCs w:val="22"/>
                <w:lang w:eastAsia="es-CO"/>
              </w:rPr>
              <w:t>Total de Predios Presuntos Informales</w:t>
            </w:r>
          </w:p>
        </w:tc>
        <w:tc>
          <w:tcPr>
            <w:tcW w:w="1414" w:type="dxa"/>
            <w:tcBorders>
              <w:top w:val="single" w:sz="4" w:space="0" w:color="auto"/>
              <w:left w:val="nil"/>
              <w:bottom w:val="single" w:sz="4" w:space="0" w:color="auto"/>
              <w:right w:val="single" w:sz="4" w:space="0" w:color="auto"/>
            </w:tcBorders>
            <w:shd w:val="clear" w:color="000000" w:fill="92D050"/>
            <w:vAlign w:val="center"/>
            <w:hideMark/>
          </w:tcPr>
          <w:p>
            <w:pPr>
              <w:spacing w:before="0" w:after="0"/>
              <w:jc w:val="center"/>
              <w:rPr>
                <w:rFonts w:ascii="Calibri" w:hAnsi="Calibri"/>
                <w:b/>
                <w:bCs/>
                <w:sz w:val="22"/>
                <w:szCs w:val="22"/>
                <w:lang w:eastAsia="es-CO"/>
              </w:rPr>
            </w:pPr>
            <w:r>
              <w:rPr>
                <w:rFonts w:ascii="Calibri" w:hAnsi="Calibri"/>
                <w:b/>
                <w:bCs/>
                <w:sz w:val="22"/>
                <w:szCs w:val="22"/>
                <w:lang w:eastAsia="es-CO"/>
              </w:rPr>
              <w:t>Índice de Informalidad*</w:t>
            </w:r>
          </w:p>
        </w:tc>
      </w:tr>
      <w:tr>
        <w:trPr>
          <w:trHeight w:val="145"/>
          <w:jc w:val="center"/>
        </w:trPr>
        <w:tc>
          <w:tcPr>
            <w:tcW w:w="3309" w:type="dxa"/>
            <w:tcBorders>
              <w:top w:val="nil"/>
              <w:left w:val="single" w:sz="4" w:space="0" w:color="auto"/>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AMAZONAS</w:t>
            </w:r>
          </w:p>
        </w:tc>
        <w:tc>
          <w:tcPr>
            <w:tcW w:w="1119"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616</w:t>
            </w:r>
          </w:p>
        </w:tc>
        <w:tc>
          <w:tcPr>
            <w:tcW w:w="1638"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81</w:t>
            </w:r>
          </w:p>
        </w:tc>
        <w:tc>
          <w:tcPr>
            <w:tcW w:w="1414"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13,15%</w:t>
            </w:r>
          </w:p>
        </w:tc>
      </w:tr>
      <w:tr>
        <w:trPr>
          <w:trHeight w:val="300"/>
          <w:jc w:val="center"/>
        </w:trPr>
        <w:tc>
          <w:tcPr>
            <w:tcW w:w="3309" w:type="dxa"/>
            <w:tcBorders>
              <w:top w:val="nil"/>
              <w:left w:val="single" w:sz="4" w:space="0" w:color="auto"/>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ANTIOQUIA</w:t>
            </w:r>
          </w:p>
        </w:tc>
        <w:tc>
          <w:tcPr>
            <w:tcW w:w="1119"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419.457</w:t>
            </w:r>
          </w:p>
        </w:tc>
        <w:tc>
          <w:tcPr>
            <w:tcW w:w="1638"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188.006</w:t>
            </w:r>
          </w:p>
        </w:tc>
        <w:tc>
          <w:tcPr>
            <w:tcW w:w="1414"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44,82%</w:t>
            </w:r>
          </w:p>
        </w:tc>
      </w:tr>
      <w:tr>
        <w:trPr>
          <w:trHeight w:val="300"/>
          <w:jc w:val="center"/>
        </w:trPr>
        <w:tc>
          <w:tcPr>
            <w:tcW w:w="3309" w:type="dxa"/>
            <w:tcBorders>
              <w:top w:val="nil"/>
              <w:left w:val="single" w:sz="4" w:space="0" w:color="auto"/>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ARAUCA</w:t>
            </w:r>
          </w:p>
        </w:tc>
        <w:tc>
          <w:tcPr>
            <w:tcW w:w="1119"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21.306</w:t>
            </w:r>
          </w:p>
        </w:tc>
        <w:tc>
          <w:tcPr>
            <w:tcW w:w="1638"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10.377</w:t>
            </w:r>
          </w:p>
        </w:tc>
        <w:tc>
          <w:tcPr>
            <w:tcW w:w="1414"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48,70%</w:t>
            </w:r>
          </w:p>
        </w:tc>
      </w:tr>
      <w:tr>
        <w:trPr>
          <w:trHeight w:val="300"/>
          <w:jc w:val="center"/>
        </w:trPr>
        <w:tc>
          <w:tcPr>
            <w:tcW w:w="3309" w:type="dxa"/>
            <w:tcBorders>
              <w:top w:val="nil"/>
              <w:left w:val="single" w:sz="4" w:space="0" w:color="auto"/>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ATLÁNTICO</w:t>
            </w:r>
          </w:p>
        </w:tc>
        <w:tc>
          <w:tcPr>
            <w:tcW w:w="1119"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39.034</w:t>
            </w:r>
          </w:p>
        </w:tc>
        <w:tc>
          <w:tcPr>
            <w:tcW w:w="1638"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23.683</w:t>
            </w:r>
          </w:p>
        </w:tc>
        <w:tc>
          <w:tcPr>
            <w:tcW w:w="1414"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60,67%</w:t>
            </w:r>
          </w:p>
        </w:tc>
      </w:tr>
      <w:tr>
        <w:trPr>
          <w:trHeight w:val="300"/>
          <w:jc w:val="center"/>
        </w:trPr>
        <w:tc>
          <w:tcPr>
            <w:tcW w:w="3309" w:type="dxa"/>
            <w:tcBorders>
              <w:top w:val="nil"/>
              <w:left w:val="single" w:sz="4" w:space="0" w:color="auto"/>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lastRenderedPageBreak/>
              <w:t>BOLÍVAR</w:t>
            </w:r>
          </w:p>
        </w:tc>
        <w:tc>
          <w:tcPr>
            <w:tcW w:w="1119"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65.534</w:t>
            </w:r>
          </w:p>
        </w:tc>
        <w:tc>
          <w:tcPr>
            <w:tcW w:w="1638"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47.151</w:t>
            </w:r>
          </w:p>
        </w:tc>
        <w:tc>
          <w:tcPr>
            <w:tcW w:w="1414"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71,95%</w:t>
            </w:r>
          </w:p>
        </w:tc>
      </w:tr>
      <w:tr>
        <w:trPr>
          <w:trHeight w:val="300"/>
          <w:jc w:val="center"/>
        </w:trPr>
        <w:tc>
          <w:tcPr>
            <w:tcW w:w="3309" w:type="dxa"/>
            <w:tcBorders>
              <w:top w:val="nil"/>
              <w:left w:val="single" w:sz="4" w:space="0" w:color="auto"/>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BOYACÁ</w:t>
            </w:r>
          </w:p>
        </w:tc>
        <w:tc>
          <w:tcPr>
            <w:tcW w:w="1119"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546.837</w:t>
            </w:r>
          </w:p>
        </w:tc>
        <w:tc>
          <w:tcPr>
            <w:tcW w:w="1638"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324.503</w:t>
            </w:r>
          </w:p>
        </w:tc>
        <w:tc>
          <w:tcPr>
            <w:tcW w:w="1414"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59,34%</w:t>
            </w:r>
          </w:p>
        </w:tc>
      </w:tr>
      <w:tr>
        <w:trPr>
          <w:trHeight w:val="300"/>
          <w:jc w:val="center"/>
        </w:trPr>
        <w:tc>
          <w:tcPr>
            <w:tcW w:w="3309" w:type="dxa"/>
            <w:tcBorders>
              <w:top w:val="nil"/>
              <w:left w:val="single" w:sz="4" w:space="0" w:color="auto"/>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CALDAS</w:t>
            </w:r>
          </w:p>
        </w:tc>
        <w:tc>
          <w:tcPr>
            <w:tcW w:w="1119"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83.918</w:t>
            </w:r>
          </w:p>
        </w:tc>
        <w:tc>
          <w:tcPr>
            <w:tcW w:w="1638"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38.986</w:t>
            </w:r>
          </w:p>
        </w:tc>
        <w:tc>
          <w:tcPr>
            <w:tcW w:w="1414"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46,46%</w:t>
            </w:r>
          </w:p>
        </w:tc>
      </w:tr>
      <w:tr>
        <w:trPr>
          <w:trHeight w:val="300"/>
          <w:jc w:val="center"/>
        </w:trPr>
        <w:tc>
          <w:tcPr>
            <w:tcW w:w="3309" w:type="dxa"/>
            <w:tcBorders>
              <w:top w:val="nil"/>
              <w:left w:val="single" w:sz="4" w:space="0" w:color="auto"/>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CAQUETÁ</w:t>
            </w:r>
          </w:p>
        </w:tc>
        <w:tc>
          <w:tcPr>
            <w:tcW w:w="1119"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47.369</w:t>
            </w:r>
          </w:p>
        </w:tc>
        <w:tc>
          <w:tcPr>
            <w:tcW w:w="1638"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25.734</w:t>
            </w:r>
          </w:p>
        </w:tc>
        <w:tc>
          <w:tcPr>
            <w:tcW w:w="1414"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54,33%</w:t>
            </w:r>
          </w:p>
        </w:tc>
      </w:tr>
      <w:tr>
        <w:trPr>
          <w:trHeight w:val="300"/>
          <w:jc w:val="center"/>
        </w:trPr>
        <w:tc>
          <w:tcPr>
            <w:tcW w:w="3309" w:type="dxa"/>
            <w:tcBorders>
              <w:top w:val="nil"/>
              <w:left w:val="single" w:sz="4" w:space="0" w:color="auto"/>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CASANARE</w:t>
            </w:r>
          </w:p>
        </w:tc>
        <w:tc>
          <w:tcPr>
            <w:tcW w:w="1119"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46.136</w:t>
            </w:r>
          </w:p>
        </w:tc>
        <w:tc>
          <w:tcPr>
            <w:tcW w:w="1638"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30.299</w:t>
            </w:r>
          </w:p>
        </w:tc>
        <w:tc>
          <w:tcPr>
            <w:tcW w:w="1414"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65,67%</w:t>
            </w:r>
          </w:p>
        </w:tc>
      </w:tr>
      <w:tr>
        <w:trPr>
          <w:trHeight w:val="300"/>
          <w:jc w:val="center"/>
        </w:trPr>
        <w:tc>
          <w:tcPr>
            <w:tcW w:w="3309" w:type="dxa"/>
            <w:tcBorders>
              <w:top w:val="nil"/>
              <w:left w:val="single" w:sz="4" w:space="0" w:color="auto"/>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CAUCA</w:t>
            </w:r>
          </w:p>
        </w:tc>
        <w:tc>
          <w:tcPr>
            <w:tcW w:w="1119"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218.279</w:t>
            </w:r>
          </w:p>
        </w:tc>
        <w:tc>
          <w:tcPr>
            <w:tcW w:w="1638"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150.340</w:t>
            </w:r>
          </w:p>
        </w:tc>
        <w:tc>
          <w:tcPr>
            <w:tcW w:w="1414"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68,88%</w:t>
            </w:r>
          </w:p>
        </w:tc>
      </w:tr>
      <w:tr>
        <w:trPr>
          <w:trHeight w:val="300"/>
          <w:jc w:val="center"/>
        </w:trPr>
        <w:tc>
          <w:tcPr>
            <w:tcW w:w="3309" w:type="dxa"/>
            <w:tcBorders>
              <w:top w:val="nil"/>
              <w:left w:val="single" w:sz="4" w:space="0" w:color="auto"/>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CESAR</w:t>
            </w:r>
          </w:p>
        </w:tc>
        <w:tc>
          <w:tcPr>
            <w:tcW w:w="1119"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43.163</w:t>
            </w:r>
          </w:p>
        </w:tc>
        <w:tc>
          <w:tcPr>
            <w:tcW w:w="1638"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24.945</w:t>
            </w:r>
          </w:p>
        </w:tc>
        <w:tc>
          <w:tcPr>
            <w:tcW w:w="1414"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57,79%</w:t>
            </w:r>
          </w:p>
        </w:tc>
      </w:tr>
      <w:tr>
        <w:trPr>
          <w:trHeight w:val="300"/>
          <w:jc w:val="center"/>
        </w:trPr>
        <w:tc>
          <w:tcPr>
            <w:tcW w:w="3309" w:type="dxa"/>
            <w:tcBorders>
              <w:top w:val="nil"/>
              <w:left w:val="single" w:sz="4" w:space="0" w:color="auto"/>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CHOCÓ</w:t>
            </w:r>
          </w:p>
        </w:tc>
        <w:tc>
          <w:tcPr>
            <w:tcW w:w="1119"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7.054</w:t>
            </w:r>
          </w:p>
        </w:tc>
        <w:tc>
          <w:tcPr>
            <w:tcW w:w="1638"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4.826</w:t>
            </w:r>
          </w:p>
        </w:tc>
        <w:tc>
          <w:tcPr>
            <w:tcW w:w="1414"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68,42%</w:t>
            </w:r>
          </w:p>
        </w:tc>
      </w:tr>
      <w:tr>
        <w:trPr>
          <w:trHeight w:val="300"/>
          <w:jc w:val="center"/>
        </w:trPr>
        <w:tc>
          <w:tcPr>
            <w:tcW w:w="3309" w:type="dxa"/>
            <w:tcBorders>
              <w:top w:val="nil"/>
              <w:left w:val="single" w:sz="4" w:space="0" w:color="auto"/>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CÓRDOBA</w:t>
            </w:r>
          </w:p>
        </w:tc>
        <w:tc>
          <w:tcPr>
            <w:tcW w:w="1119"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128.398</w:t>
            </w:r>
          </w:p>
        </w:tc>
        <w:tc>
          <w:tcPr>
            <w:tcW w:w="1638"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82.163</w:t>
            </w:r>
          </w:p>
        </w:tc>
        <w:tc>
          <w:tcPr>
            <w:tcW w:w="1414"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63,99%</w:t>
            </w:r>
          </w:p>
        </w:tc>
      </w:tr>
      <w:tr>
        <w:trPr>
          <w:trHeight w:val="300"/>
          <w:jc w:val="center"/>
        </w:trPr>
        <w:tc>
          <w:tcPr>
            <w:tcW w:w="3309" w:type="dxa"/>
            <w:tcBorders>
              <w:top w:val="nil"/>
              <w:left w:val="single" w:sz="4" w:space="0" w:color="auto"/>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CUNDINAMARCA</w:t>
            </w:r>
          </w:p>
        </w:tc>
        <w:tc>
          <w:tcPr>
            <w:tcW w:w="1119"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553.793</w:t>
            </w:r>
          </w:p>
        </w:tc>
        <w:tc>
          <w:tcPr>
            <w:tcW w:w="1638"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264.515</w:t>
            </w:r>
          </w:p>
        </w:tc>
        <w:tc>
          <w:tcPr>
            <w:tcW w:w="1414"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47,76%</w:t>
            </w:r>
          </w:p>
        </w:tc>
      </w:tr>
      <w:tr>
        <w:trPr>
          <w:trHeight w:val="300"/>
          <w:jc w:val="center"/>
        </w:trPr>
        <w:tc>
          <w:tcPr>
            <w:tcW w:w="3309" w:type="dxa"/>
            <w:tcBorders>
              <w:top w:val="nil"/>
              <w:left w:val="single" w:sz="4" w:space="0" w:color="auto"/>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GUAINÍA</w:t>
            </w:r>
          </w:p>
        </w:tc>
        <w:tc>
          <w:tcPr>
            <w:tcW w:w="1119"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158</w:t>
            </w:r>
          </w:p>
        </w:tc>
        <w:tc>
          <w:tcPr>
            <w:tcW w:w="1638"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73</w:t>
            </w:r>
          </w:p>
        </w:tc>
        <w:tc>
          <w:tcPr>
            <w:tcW w:w="1414"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46,20%</w:t>
            </w:r>
          </w:p>
        </w:tc>
      </w:tr>
      <w:tr>
        <w:trPr>
          <w:trHeight w:val="300"/>
          <w:jc w:val="center"/>
        </w:trPr>
        <w:tc>
          <w:tcPr>
            <w:tcW w:w="3309" w:type="dxa"/>
            <w:tcBorders>
              <w:top w:val="nil"/>
              <w:left w:val="single" w:sz="4" w:space="0" w:color="auto"/>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GUAVIARE</w:t>
            </w:r>
          </w:p>
        </w:tc>
        <w:tc>
          <w:tcPr>
            <w:tcW w:w="1119"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5.568</w:t>
            </w:r>
          </w:p>
        </w:tc>
        <w:tc>
          <w:tcPr>
            <w:tcW w:w="1638"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2.150</w:t>
            </w:r>
          </w:p>
        </w:tc>
        <w:tc>
          <w:tcPr>
            <w:tcW w:w="1414"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38,61%</w:t>
            </w:r>
          </w:p>
        </w:tc>
      </w:tr>
      <w:tr>
        <w:trPr>
          <w:trHeight w:val="300"/>
          <w:jc w:val="center"/>
        </w:trPr>
        <w:tc>
          <w:tcPr>
            <w:tcW w:w="3309" w:type="dxa"/>
            <w:tcBorders>
              <w:top w:val="nil"/>
              <w:left w:val="single" w:sz="4" w:space="0" w:color="auto"/>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HUILA</w:t>
            </w:r>
          </w:p>
        </w:tc>
        <w:tc>
          <w:tcPr>
            <w:tcW w:w="1119"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129.177</w:t>
            </w:r>
          </w:p>
        </w:tc>
        <w:tc>
          <w:tcPr>
            <w:tcW w:w="1638"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61.616</w:t>
            </w:r>
          </w:p>
        </w:tc>
        <w:tc>
          <w:tcPr>
            <w:tcW w:w="1414"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47,70%</w:t>
            </w:r>
          </w:p>
        </w:tc>
      </w:tr>
      <w:tr>
        <w:trPr>
          <w:trHeight w:val="300"/>
          <w:jc w:val="center"/>
        </w:trPr>
        <w:tc>
          <w:tcPr>
            <w:tcW w:w="3309" w:type="dxa"/>
            <w:tcBorders>
              <w:top w:val="nil"/>
              <w:left w:val="single" w:sz="4" w:space="0" w:color="auto"/>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LA GUAJIRA</w:t>
            </w:r>
          </w:p>
        </w:tc>
        <w:tc>
          <w:tcPr>
            <w:tcW w:w="1119"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17.387</w:t>
            </w:r>
          </w:p>
        </w:tc>
        <w:tc>
          <w:tcPr>
            <w:tcW w:w="1638"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12.886</w:t>
            </w:r>
          </w:p>
        </w:tc>
        <w:tc>
          <w:tcPr>
            <w:tcW w:w="1414"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74,11%</w:t>
            </w:r>
          </w:p>
        </w:tc>
      </w:tr>
      <w:tr>
        <w:trPr>
          <w:trHeight w:val="300"/>
          <w:jc w:val="center"/>
        </w:trPr>
        <w:tc>
          <w:tcPr>
            <w:tcW w:w="3309" w:type="dxa"/>
            <w:tcBorders>
              <w:top w:val="nil"/>
              <w:left w:val="single" w:sz="4" w:space="0" w:color="auto"/>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MAGDALENA</w:t>
            </w:r>
          </w:p>
        </w:tc>
        <w:tc>
          <w:tcPr>
            <w:tcW w:w="1119"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63.273</w:t>
            </w:r>
          </w:p>
        </w:tc>
        <w:tc>
          <w:tcPr>
            <w:tcW w:w="1638"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31.792</w:t>
            </w:r>
          </w:p>
        </w:tc>
        <w:tc>
          <w:tcPr>
            <w:tcW w:w="1414"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50,25%</w:t>
            </w:r>
          </w:p>
        </w:tc>
      </w:tr>
      <w:tr>
        <w:trPr>
          <w:trHeight w:val="300"/>
          <w:jc w:val="center"/>
        </w:trPr>
        <w:tc>
          <w:tcPr>
            <w:tcW w:w="3309" w:type="dxa"/>
            <w:tcBorders>
              <w:top w:val="nil"/>
              <w:left w:val="single" w:sz="4" w:space="0" w:color="auto"/>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META</w:t>
            </w:r>
          </w:p>
        </w:tc>
        <w:tc>
          <w:tcPr>
            <w:tcW w:w="1119"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84.956</w:t>
            </w:r>
          </w:p>
        </w:tc>
        <w:tc>
          <w:tcPr>
            <w:tcW w:w="1638"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41.246</w:t>
            </w:r>
          </w:p>
        </w:tc>
        <w:tc>
          <w:tcPr>
            <w:tcW w:w="1414"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48,55%</w:t>
            </w:r>
          </w:p>
        </w:tc>
      </w:tr>
      <w:tr>
        <w:trPr>
          <w:trHeight w:val="300"/>
          <w:jc w:val="center"/>
        </w:trPr>
        <w:tc>
          <w:tcPr>
            <w:tcW w:w="3309" w:type="dxa"/>
            <w:tcBorders>
              <w:top w:val="nil"/>
              <w:left w:val="single" w:sz="4" w:space="0" w:color="auto"/>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NARIÑO</w:t>
            </w:r>
          </w:p>
        </w:tc>
        <w:tc>
          <w:tcPr>
            <w:tcW w:w="1119"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295.392</w:t>
            </w:r>
          </w:p>
        </w:tc>
        <w:tc>
          <w:tcPr>
            <w:tcW w:w="1638"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196.641</w:t>
            </w:r>
          </w:p>
        </w:tc>
        <w:tc>
          <w:tcPr>
            <w:tcW w:w="1414"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66,57%</w:t>
            </w:r>
          </w:p>
        </w:tc>
      </w:tr>
      <w:tr>
        <w:trPr>
          <w:trHeight w:val="300"/>
          <w:jc w:val="center"/>
        </w:trPr>
        <w:tc>
          <w:tcPr>
            <w:tcW w:w="3309" w:type="dxa"/>
            <w:tcBorders>
              <w:top w:val="nil"/>
              <w:left w:val="single" w:sz="4" w:space="0" w:color="auto"/>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NORTE DE SANTANDER</w:t>
            </w:r>
          </w:p>
        </w:tc>
        <w:tc>
          <w:tcPr>
            <w:tcW w:w="1119"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89.942</w:t>
            </w:r>
          </w:p>
        </w:tc>
        <w:tc>
          <w:tcPr>
            <w:tcW w:w="1638"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53.704</w:t>
            </w:r>
          </w:p>
        </w:tc>
        <w:tc>
          <w:tcPr>
            <w:tcW w:w="1414"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59,71%</w:t>
            </w:r>
          </w:p>
        </w:tc>
      </w:tr>
      <w:tr>
        <w:trPr>
          <w:trHeight w:val="300"/>
          <w:jc w:val="center"/>
        </w:trPr>
        <w:tc>
          <w:tcPr>
            <w:tcW w:w="3309" w:type="dxa"/>
            <w:tcBorders>
              <w:top w:val="nil"/>
              <w:left w:val="single" w:sz="4" w:space="0" w:color="auto"/>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PUTUMAYO</w:t>
            </w:r>
          </w:p>
        </w:tc>
        <w:tc>
          <w:tcPr>
            <w:tcW w:w="1119"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47.027</w:t>
            </w:r>
          </w:p>
        </w:tc>
        <w:tc>
          <w:tcPr>
            <w:tcW w:w="1638"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37.074</w:t>
            </w:r>
          </w:p>
        </w:tc>
        <w:tc>
          <w:tcPr>
            <w:tcW w:w="1414"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78,84%</w:t>
            </w:r>
          </w:p>
        </w:tc>
      </w:tr>
      <w:tr>
        <w:trPr>
          <w:trHeight w:val="300"/>
          <w:jc w:val="center"/>
        </w:trPr>
        <w:tc>
          <w:tcPr>
            <w:tcW w:w="3309" w:type="dxa"/>
            <w:tcBorders>
              <w:top w:val="nil"/>
              <w:left w:val="single" w:sz="4" w:space="0" w:color="auto"/>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QUINDÍO</w:t>
            </w:r>
          </w:p>
        </w:tc>
        <w:tc>
          <w:tcPr>
            <w:tcW w:w="1119"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22.913</w:t>
            </w:r>
          </w:p>
        </w:tc>
        <w:tc>
          <w:tcPr>
            <w:tcW w:w="1638"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6.263</w:t>
            </w:r>
          </w:p>
        </w:tc>
        <w:tc>
          <w:tcPr>
            <w:tcW w:w="1414"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27,33%</w:t>
            </w:r>
          </w:p>
        </w:tc>
      </w:tr>
      <w:tr>
        <w:trPr>
          <w:trHeight w:val="300"/>
          <w:jc w:val="center"/>
        </w:trPr>
        <w:tc>
          <w:tcPr>
            <w:tcW w:w="3309" w:type="dxa"/>
            <w:tcBorders>
              <w:top w:val="nil"/>
              <w:left w:val="single" w:sz="4" w:space="0" w:color="auto"/>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RISARALDA</w:t>
            </w:r>
          </w:p>
        </w:tc>
        <w:tc>
          <w:tcPr>
            <w:tcW w:w="1119"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54.177</w:t>
            </w:r>
          </w:p>
        </w:tc>
        <w:tc>
          <w:tcPr>
            <w:tcW w:w="1638"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21.659</w:t>
            </w:r>
          </w:p>
        </w:tc>
        <w:tc>
          <w:tcPr>
            <w:tcW w:w="1414"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39,98%</w:t>
            </w:r>
          </w:p>
        </w:tc>
      </w:tr>
      <w:tr>
        <w:trPr>
          <w:trHeight w:val="600"/>
          <w:jc w:val="center"/>
        </w:trPr>
        <w:tc>
          <w:tcPr>
            <w:tcW w:w="3309" w:type="dxa"/>
            <w:tcBorders>
              <w:top w:val="nil"/>
              <w:left w:val="single" w:sz="4" w:space="0" w:color="auto"/>
              <w:bottom w:val="single" w:sz="4" w:space="0" w:color="auto"/>
              <w:right w:val="single" w:sz="4" w:space="0" w:color="auto"/>
            </w:tcBorders>
            <w:shd w:val="clear" w:color="auto" w:fill="auto"/>
            <w:vAlign w:val="bottom"/>
            <w:hideMark/>
          </w:tcPr>
          <w:p>
            <w:pPr>
              <w:spacing w:before="0" w:after="0"/>
              <w:jc w:val="center"/>
              <w:rPr>
                <w:rFonts w:ascii="Calibri" w:hAnsi="Calibri"/>
                <w:sz w:val="22"/>
                <w:szCs w:val="22"/>
                <w:lang w:eastAsia="es-CO"/>
              </w:rPr>
            </w:pPr>
            <w:r>
              <w:rPr>
                <w:rFonts w:ascii="Calibri" w:hAnsi="Calibri"/>
                <w:sz w:val="22"/>
                <w:szCs w:val="22"/>
                <w:lang w:eastAsia="es-CO"/>
              </w:rPr>
              <w:t>SAN ANDRÉS PROVIDENCIA Y SANTA CATALINA</w:t>
            </w:r>
          </w:p>
        </w:tc>
        <w:tc>
          <w:tcPr>
            <w:tcW w:w="1119" w:type="dxa"/>
            <w:tcBorders>
              <w:top w:val="nil"/>
              <w:left w:val="nil"/>
              <w:bottom w:val="single" w:sz="4" w:space="0" w:color="auto"/>
              <w:right w:val="single" w:sz="4" w:space="0" w:color="auto"/>
            </w:tcBorders>
            <w:shd w:val="clear" w:color="auto" w:fill="auto"/>
            <w:noWrap/>
            <w:vAlign w:val="center"/>
            <w:hideMark/>
          </w:tcPr>
          <w:p>
            <w:pPr>
              <w:spacing w:before="0" w:after="0"/>
              <w:jc w:val="center"/>
              <w:rPr>
                <w:rFonts w:ascii="Calibri" w:hAnsi="Calibri"/>
                <w:sz w:val="22"/>
                <w:szCs w:val="22"/>
                <w:lang w:eastAsia="es-CO"/>
              </w:rPr>
            </w:pPr>
            <w:r>
              <w:rPr>
                <w:rFonts w:ascii="Calibri" w:hAnsi="Calibri"/>
                <w:sz w:val="22"/>
                <w:szCs w:val="22"/>
                <w:lang w:eastAsia="es-CO"/>
              </w:rPr>
              <w:t>12.946</w:t>
            </w:r>
          </w:p>
        </w:tc>
        <w:tc>
          <w:tcPr>
            <w:tcW w:w="1638" w:type="dxa"/>
            <w:tcBorders>
              <w:top w:val="nil"/>
              <w:left w:val="nil"/>
              <w:bottom w:val="single" w:sz="4" w:space="0" w:color="auto"/>
              <w:right w:val="single" w:sz="4" w:space="0" w:color="auto"/>
            </w:tcBorders>
            <w:shd w:val="clear" w:color="auto" w:fill="auto"/>
            <w:noWrap/>
            <w:vAlign w:val="center"/>
            <w:hideMark/>
          </w:tcPr>
          <w:p>
            <w:pPr>
              <w:spacing w:before="0" w:after="0"/>
              <w:jc w:val="center"/>
              <w:rPr>
                <w:rFonts w:ascii="Calibri" w:hAnsi="Calibri"/>
                <w:sz w:val="22"/>
                <w:szCs w:val="22"/>
                <w:lang w:eastAsia="es-CO"/>
              </w:rPr>
            </w:pPr>
            <w:r>
              <w:rPr>
                <w:rFonts w:ascii="Calibri" w:hAnsi="Calibri"/>
                <w:sz w:val="22"/>
                <w:szCs w:val="22"/>
                <w:lang w:eastAsia="es-CO"/>
              </w:rPr>
              <w:t>5.216</w:t>
            </w:r>
          </w:p>
        </w:tc>
        <w:tc>
          <w:tcPr>
            <w:tcW w:w="1414" w:type="dxa"/>
            <w:tcBorders>
              <w:top w:val="nil"/>
              <w:left w:val="nil"/>
              <w:bottom w:val="single" w:sz="4" w:space="0" w:color="auto"/>
              <w:right w:val="single" w:sz="4" w:space="0" w:color="auto"/>
            </w:tcBorders>
            <w:shd w:val="clear" w:color="auto" w:fill="auto"/>
            <w:noWrap/>
            <w:vAlign w:val="center"/>
            <w:hideMark/>
          </w:tcPr>
          <w:p>
            <w:pPr>
              <w:spacing w:before="0" w:after="0"/>
              <w:jc w:val="center"/>
              <w:rPr>
                <w:rFonts w:ascii="Calibri" w:hAnsi="Calibri"/>
                <w:sz w:val="22"/>
                <w:szCs w:val="22"/>
                <w:lang w:eastAsia="es-CO"/>
              </w:rPr>
            </w:pPr>
            <w:r>
              <w:rPr>
                <w:rFonts w:ascii="Calibri" w:hAnsi="Calibri"/>
                <w:sz w:val="22"/>
                <w:szCs w:val="22"/>
                <w:lang w:eastAsia="es-CO"/>
              </w:rPr>
              <w:t>40,29%</w:t>
            </w:r>
          </w:p>
        </w:tc>
      </w:tr>
      <w:tr>
        <w:trPr>
          <w:trHeight w:val="300"/>
          <w:jc w:val="center"/>
        </w:trPr>
        <w:tc>
          <w:tcPr>
            <w:tcW w:w="3309" w:type="dxa"/>
            <w:tcBorders>
              <w:top w:val="nil"/>
              <w:left w:val="single" w:sz="4" w:space="0" w:color="auto"/>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SANTANDER</w:t>
            </w:r>
          </w:p>
        </w:tc>
        <w:tc>
          <w:tcPr>
            <w:tcW w:w="1119"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231.865</w:t>
            </w:r>
          </w:p>
        </w:tc>
        <w:tc>
          <w:tcPr>
            <w:tcW w:w="1638"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112.673</w:t>
            </w:r>
          </w:p>
        </w:tc>
        <w:tc>
          <w:tcPr>
            <w:tcW w:w="1414"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48,59%</w:t>
            </w:r>
          </w:p>
        </w:tc>
      </w:tr>
      <w:tr>
        <w:trPr>
          <w:trHeight w:val="300"/>
          <w:jc w:val="center"/>
        </w:trPr>
        <w:tc>
          <w:tcPr>
            <w:tcW w:w="3309" w:type="dxa"/>
            <w:tcBorders>
              <w:top w:val="nil"/>
              <w:left w:val="single" w:sz="4" w:space="0" w:color="auto"/>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SUCRE</w:t>
            </w:r>
          </w:p>
        </w:tc>
        <w:tc>
          <w:tcPr>
            <w:tcW w:w="1119"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51.908</w:t>
            </w:r>
          </w:p>
        </w:tc>
        <w:tc>
          <w:tcPr>
            <w:tcW w:w="1638"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30.481</w:t>
            </w:r>
          </w:p>
        </w:tc>
        <w:tc>
          <w:tcPr>
            <w:tcW w:w="1414"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58,72%</w:t>
            </w:r>
          </w:p>
        </w:tc>
      </w:tr>
      <w:tr>
        <w:trPr>
          <w:trHeight w:val="300"/>
          <w:jc w:val="center"/>
        </w:trPr>
        <w:tc>
          <w:tcPr>
            <w:tcW w:w="3309" w:type="dxa"/>
            <w:tcBorders>
              <w:top w:val="nil"/>
              <w:left w:val="single" w:sz="4" w:space="0" w:color="auto"/>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TOLIMA</w:t>
            </w:r>
          </w:p>
        </w:tc>
        <w:tc>
          <w:tcPr>
            <w:tcW w:w="1119"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181.934</w:t>
            </w:r>
          </w:p>
        </w:tc>
        <w:tc>
          <w:tcPr>
            <w:tcW w:w="1638"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102.581</w:t>
            </w:r>
          </w:p>
        </w:tc>
        <w:tc>
          <w:tcPr>
            <w:tcW w:w="1414"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56,38%</w:t>
            </w:r>
          </w:p>
        </w:tc>
      </w:tr>
      <w:tr>
        <w:trPr>
          <w:trHeight w:val="300"/>
          <w:jc w:val="center"/>
        </w:trPr>
        <w:tc>
          <w:tcPr>
            <w:tcW w:w="3309" w:type="dxa"/>
            <w:tcBorders>
              <w:top w:val="nil"/>
              <w:left w:val="single" w:sz="4" w:space="0" w:color="auto"/>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VALLE DEL CAUCA</w:t>
            </w:r>
          </w:p>
        </w:tc>
        <w:tc>
          <w:tcPr>
            <w:tcW w:w="1119"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175.828</w:t>
            </w:r>
          </w:p>
        </w:tc>
        <w:tc>
          <w:tcPr>
            <w:tcW w:w="1638"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70.028</w:t>
            </w:r>
          </w:p>
        </w:tc>
        <w:tc>
          <w:tcPr>
            <w:tcW w:w="1414"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39,83%</w:t>
            </w:r>
          </w:p>
        </w:tc>
      </w:tr>
      <w:tr>
        <w:trPr>
          <w:trHeight w:val="300"/>
          <w:jc w:val="center"/>
        </w:trPr>
        <w:tc>
          <w:tcPr>
            <w:tcW w:w="3309" w:type="dxa"/>
            <w:tcBorders>
              <w:top w:val="nil"/>
              <w:left w:val="single" w:sz="4" w:space="0" w:color="auto"/>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VAUPÉS</w:t>
            </w:r>
          </w:p>
        </w:tc>
        <w:tc>
          <w:tcPr>
            <w:tcW w:w="1119"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250</w:t>
            </w:r>
          </w:p>
        </w:tc>
        <w:tc>
          <w:tcPr>
            <w:tcW w:w="1638"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236</w:t>
            </w:r>
          </w:p>
        </w:tc>
        <w:tc>
          <w:tcPr>
            <w:tcW w:w="1414"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94,40%</w:t>
            </w:r>
          </w:p>
        </w:tc>
      </w:tr>
      <w:tr>
        <w:trPr>
          <w:trHeight w:val="300"/>
          <w:jc w:val="center"/>
        </w:trPr>
        <w:tc>
          <w:tcPr>
            <w:tcW w:w="3309" w:type="dxa"/>
            <w:tcBorders>
              <w:top w:val="nil"/>
              <w:left w:val="single" w:sz="4" w:space="0" w:color="auto"/>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VICHADA</w:t>
            </w:r>
          </w:p>
        </w:tc>
        <w:tc>
          <w:tcPr>
            <w:tcW w:w="1119"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5.610</w:t>
            </w:r>
          </w:p>
        </w:tc>
        <w:tc>
          <w:tcPr>
            <w:tcW w:w="1638"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2.859</w:t>
            </w:r>
          </w:p>
        </w:tc>
        <w:tc>
          <w:tcPr>
            <w:tcW w:w="1414" w:type="dxa"/>
            <w:tcBorders>
              <w:top w:val="nil"/>
              <w:left w:val="nil"/>
              <w:bottom w:val="single" w:sz="4" w:space="0" w:color="auto"/>
              <w:right w:val="single" w:sz="4" w:space="0" w:color="auto"/>
            </w:tcBorders>
            <w:shd w:val="clear" w:color="auto" w:fill="auto"/>
            <w:noWrap/>
            <w:vAlign w:val="bottom"/>
            <w:hideMark/>
          </w:tcPr>
          <w:p>
            <w:pPr>
              <w:spacing w:before="0" w:after="0"/>
              <w:jc w:val="center"/>
              <w:rPr>
                <w:rFonts w:ascii="Calibri" w:hAnsi="Calibri"/>
                <w:sz w:val="22"/>
                <w:szCs w:val="22"/>
                <w:lang w:eastAsia="es-CO"/>
              </w:rPr>
            </w:pPr>
            <w:r>
              <w:rPr>
                <w:rFonts w:ascii="Calibri" w:hAnsi="Calibri"/>
                <w:sz w:val="22"/>
                <w:szCs w:val="22"/>
                <w:lang w:eastAsia="es-CO"/>
              </w:rPr>
              <w:t>50,96%</w:t>
            </w:r>
          </w:p>
        </w:tc>
      </w:tr>
      <w:tr>
        <w:trPr>
          <w:trHeight w:val="300"/>
          <w:jc w:val="center"/>
        </w:trPr>
        <w:tc>
          <w:tcPr>
            <w:tcW w:w="3309" w:type="dxa"/>
            <w:tcBorders>
              <w:top w:val="nil"/>
              <w:left w:val="single" w:sz="4" w:space="0" w:color="auto"/>
              <w:bottom w:val="single" w:sz="4" w:space="0" w:color="auto"/>
              <w:right w:val="single" w:sz="4" w:space="0" w:color="auto"/>
            </w:tcBorders>
            <w:shd w:val="clear" w:color="000000" w:fill="92D050"/>
            <w:noWrap/>
            <w:vAlign w:val="bottom"/>
            <w:hideMark/>
          </w:tcPr>
          <w:p>
            <w:pPr>
              <w:spacing w:before="0" w:after="0"/>
              <w:jc w:val="center"/>
              <w:rPr>
                <w:rFonts w:ascii="Calibri" w:hAnsi="Calibri"/>
                <w:b/>
                <w:bCs/>
                <w:sz w:val="22"/>
                <w:szCs w:val="22"/>
                <w:lang w:eastAsia="es-CO"/>
              </w:rPr>
            </w:pPr>
            <w:r>
              <w:rPr>
                <w:rFonts w:ascii="Calibri" w:hAnsi="Calibri"/>
                <w:b/>
                <w:bCs/>
                <w:sz w:val="22"/>
                <w:szCs w:val="22"/>
                <w:lang w:eastAsia="es-CO"/>
              </w:rPr>
              <w:t>Total</w:t>
            </w:r>
          </w:p>
        </w:tc>
        <w:tc>
          <w:tcPr>
            <w:tcW w:w="1119" w:type="dxa"/>
            <w:tcBorders>
              <w:top w:val="nil"/>
              <w:left w:val="nil"/>
              <w:bottom w:val="single" w:sz="4" w:space="0" w:color="auto"/>
              <w:right w:val="single" w:sz="4" w:space="0" w:color="auto"/>
            </w:tcBorders>
            <w:shd w:val="clear" w:color="000000" w:fill="92D050"/>
            <w:noWrap/>
            <w:vAlign w:val="bottom"/>
            <w:hideMark/>
          </w:tcPr>
          <w:p>
            <w:pPr>
              <w:spacing w:before="0" w:after="0"/>
              <w:jc w:val="center"/>
              <w:rPr>
                <w:rFonts w:ascii="Calibri" w:hAnsi="Calibri"/>
                <w:b/>
                <w:bCs/>
                <w:sz w:val="22"/>
                <w:szCs w:val="22"/>
                <w:lang w:eastAsia="es-CO"/>
              </w:rPr>
            </w:pPr>
            <w:r>
              <w:rPr>
                <w:rFonts w:ascii="Calibri" w:hAnsi="Calibri"/>
                <w:b/>
                <w:bCs/>
                <w:sz w:val="22"/>
                <w:szCs w:val="22"/>
                <w:lang w:eastAsia="es-CO"/>
              </w:rPr>
              <w:t>3.691.205</w:t>
            </w:r>
          </w:p>
        </w:tc>
        <w:tc>
          <w:tcPr>
            <w:tcW w:w="1638" w:type="dxa"/>
            <w:tcBorders>
              <w:top w:val="nil"/>
              <w:left w:val="nil"/>
              <w:bottom w:val="single" w:sz="4" w:space="0" w:color="auto"/>
              <w:right w:val="single" w:sz="4" w:space="0" w:color="auto"/>
            </w:tcBorders>
            <w:shd w:val="clear" w:color="000000" w:fill="92D050"/>
            <w:noWrap/>
            <w:vAlign w:val="bottom"/>
            <w:hideMark/>
          </w:tcPr>
          <w:p>
            <w:pPr>
              <w:spacing w:before="0" w:after="0"/>
              <w:jc w:val="center"/>
              <w:rPr>
                <w:rFonts w:ascii="Calibri" w:hAnsi="Calibri"/>
                <w:b/>
                <w:bCs/>
                <w:sz w:val="22"/>
                <w:szCs w:val="22"/>
                <w:lang w:eastAsia="es-CO"/>
              </w:rPr>
            </w:pPr>
            <w:r>
              <w:rPr>
                <w:rFonts w:ascii="Calibri" w:hAnsi="Calibri"/>
                <w:b/>
                <w:bCs/>
                <w:sz w:val="22"/>
                <w:szCs w:val="22"/>
                <w:lang w:eastAsia="es-CO"/>
              </w:rPr>
              <w:t>2.004.787</w:t>
            </w:r>
          </w:p>
        </w:tc>
        <w:tc>
          <w:tcPr>
            <w:tcW w:w="1414" w:type="dxa"/>
            <w:tcBorders>
              <w:top w:val="nil"/>
              <w:left w:val="nil"/>
              <w:bottom w:val="single" w:sz="4" w:space="0" w:color="auto"/>
              <w:right w:val="single" w:sz="4" w:space="0" w:color="auto"/>
            </w:tcBorders>
            <w:shd w:val="clear" w:color="000000" w:fill="92D050"/>
            <w:noWrap/>
            <w:vAlign w:val="bottom"/>
            <w:hideMark/>
          </w:tcPr>
          <w:p>
            <w:pPr>
              <w:spacing w:before="0" w:after="0"/>
              <w:jc w:val="center"/>
              <w:rPr>
                <w:rFonts w:ascii="Calibri" w:hAnsi="Calibri"/>
                <w:b/>
                <w:bCs/>
                <w:sz w:val="22"/>
                <w:szCs w:val="22"/>
                <w:lang w:eastAsia="es-CO"/>
              </w:rPr>
            </w:pPr>
            <w:r>
              <w:rPr>
                <w:rFonts w:ascii="Calibri" w:hAnsi="Calibri"/>
                <w:b/>
                <w:bCs/>
                <w:sz w:val="22"/>
                <w:szCs w:val="22"/>
                <w:lang w:eastAsia="es-CO"/>
              </w:rPr>
              <w:t>54,31%</w:t>
            </w:r>
          </w:p>
        </w:tc>
      </w:tr>
    </w:tbl>
    <w:p>
      <w:pPr>
        <w:tabs>
          <w:tab w:val="left" w:pos="8665"/>
        </w:tabs>
        <w:spacing w:before="0" w:after="0"/>
        <w:jc w:val="center"/>
        <w:rPr>
          <w:rFonts w:asciiTheme="minorHAnsi" w:eastAsiaTheme="minorHAnsi" w:hAnsiTheme="minorHAnsi" w:cstheme="minorBidi"/>
          <w:b/>
          <w:sz w:val="18"/>
          <w:szCs w:val="18"/>
          <w:lang w:val="es-ES_tradnl" w:eastAsia="en-US"/>
        </w:rPr>
      </w:pPr>
      <w:r>
        <w:rPr>
          <w:rFonts w:asciiTheme="minorHAnsi" w:eastAsiaTheme="minorHAnsi" w:hAnsiTheme="minorHAnsi" w:cstheme="minorBidi"/>
          <w:b/>
          <w:sz w:val="18"/>
          <w:szCs w:val="18"/>
          <w:lang w:val="es-ES_tradnl" w:eastAsia="en-US"/>
        </w:rPr>
        <w:t xml:space="preserve">*Índice calculado con base en la información predial de la base en los registro 1 y 2 del catastro para predios rurales. </w:t>
      </w:r>
    </w:p>
    <w:p>
      <w:pPr>
        <w:tabs>
          <w:tab w:val="left" w:pos="8665"/>
        </w:tabs>
        <w:spacing w:before="0" w:after="0"/>
        <w:rPr>
          <w:rFonts w:asciiTheme="minorHAnsi" w:eastAsiaTheme="minorHAnsi" w:hAnsiTheme="minorHAnsi" w:cstheme="minorBidi"/>
          <w:lang w:val="es-ES_tradnl" w:eastAsia="en-US"/>
        </w:rPr>
      </w:pPr>
    </w:p>
    <w:p>
      <w:pPr>
        <w:tabs>
          <w:tab w:val="left" w:pos="8665"/>
        </w:tabs>
        <w:spacing w:before="0" w:after="0"/>
        <w:rPr>
          <w:rFonts w:eastAsiaTheme="minorHAnsi" w:cs="Arial"/>
          <w:lang w:val="es-ES_tradnl" w:eastAsia="en-US"/>
        </w:rPr>
      </w:pPr>
    </w:p>
    <w:p>
      <w:pPr>
        <w:tabs>
          <w:tab w:val="left" w:pos="8665"/>
        </w:tabs>
        <w:spacing w:before="0" w:after="0"/>
        <w:rPr>
          <w:rFonts w:eastAsiaTheme="minorHAnsi" w:cs="Arial"/>
          <w:lang w:val="es-ES_tradnl" w:eastAsia="en-US"/>
        </w:rPr>
      </w:pPr>
      <w:r>
        <w:rPr>
          <w:rFonts w:eastAsiaTheme="minorHAnsi" w:cs="Arial"/>
          <w:lang w:val="es-ES_tradnl" w:eastAsia="en-US"/>
        </w:rPr>
        <w:t>Estos predios representados geográficamente generan el siguiente mapa de informalidad:</w:t>
      </w:r>
    </w:p>
    <w:p>
      <w:pPr>
        <w:tabs>
          <w:tab w:val="left" w:pos="8665"/>
        </w:tabs>
        <w:spacing w:before="0" w:after="0"/>
        <w:rPr>
          <w:rFonts w:eastAsiaTheme="minorHAnsi" w:cs="Arial"/>
          <w:lang w:val="es-ES_tradnl" w:eastAsia="en-US"/>
        </w:rPr>
      </w:pPr>
    </w:p>
    <w:p>
      <w:pPr>
        <w:tabs>
          <w:tab w:val="left" w:pos="8665"/>
        </w:tabs>
        <w:spacing w:before="0" w:after="0"/>
        <w:jc w:val="center"/>
        <w:rPr>
          <w:rFonts w:asciiTheme="minorHAnsi" w:eastAsiaTheme="minorHAnsi" w:hAnsiTheme="minorHAnsi" w:cstheme="minorBidi"/>
          <w:lang w:val="es-ES_tradnl" w:eastAsia="en-US"/>
        </w:rPr>
      </w:pPr>
      <w:r>
        <w:rPr>
          <w:rFonts w:asciiTheme="minorHAnsi" w:eastAsiaTheme="minorHAnsi" w:hAnsiTheme="minorHAnsi" w:cstheme="minorBidi"/>
          <w:noProof/>
          <w:lang w:eastAsia="es-CO"/>
        </w:rPr>
        <w:lastRenderedPageBreak/>
        <w:drawing>
          <wp:anchor distT="0" distB="0" distL="114300" distR="114300" simplePos="0" relativeHeight="251659264" behindDoc="0" locked="0" layoutInCell="1" allowOverlap="1">
            <wp:simplePos x="0" y="0"/>
            <wp:positionH relativeFrom="column">
              <wp:posOffset>3472256</wp:posOffset>
            </wp:positionH>
            <wp:positionV relativeFrom="paragraph">
              <wp:posOffset>369062</wp:posOffset>
            </wp:positionV>
            <wp:extent cx="1340188" cy="107533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0188" cy="107533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lang w:eastAsia="es-CO"/>
        </w:rPr>
        <w:drawing>
          <wp:inline distT="0" distB="0" distL="0" distR="0">
            <wp:extent cx="3908143" cy="4967021"/>
            <wp:effectExtent l="0" t="0" r="0" b="508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12009" cy="4971935"/>
                    </a:xfrm>
                    <a:prstGeom prst="rect">
                      <a:avLst/>
                    </a:prstGeom>
                  </pic:spPr>
                </pic:pic>
              </a:graphicData>
            </a:graphic>
          </wp:inline>
        </w:drawing>
      </w:r>
    </w:p>
    <w:p>
      <w:pPr>
        <w:contextualSpacing/>
        <w:jc w:val="both"/>
      </w:pPr>
    </w:p>
    <w:p>
      <w:pPr>
        <w:contextualSpacing/>
        <w:jc w:val="both"/>
      </w:pPr>
    </w:p>
    <w:p>
      <w:pPr>
        <w:contextualSpacing/>
        <w:jc w:val="both"/>
      </w:pPr>
    </w:p>
    <w:p>
      <w:pPr>
        <w:contextualSpacing/>
        <w:jc w:val="both"/>
      </w:pPr>
    </w:p>
    <w:p>
      <w:pPr>
        <w:contextualSpacing/>
        <w:jc w:val="both"/>
      </w:pPr>
    </w:p>
    <w:p>
      <w:pPr>
        <w:contextualSpacing/>
        <w:jc w:val="both"/>
      </w:pPr>
      <w:r>
        <w:t xml:space="preserve">En aras de resolver esta problemática, el Ministerio de Agricultura y Desarrollo Rural – MADR, creó el Programa de Formalización de la Propiedad Rural, </w:t>
      </w:r>
      <w:r>
        <w:rPr>
          <w:rFonts w:cs="Arial"/>
        </w:rPr>
        <w:t>con el objetivo de promover el acceso a la propiedad de los predios rurales y mejorar la calidad de vida de los campesinos, impulsando y coordinando acciones para apoyar las gestiones tendientes a formalizar el derecho de dominio de predios rurales privados, el saneamiento de títulos que conlleven la falsa tradición y para acompañar a los interesados en la realización de trámites administrativos, notariales y registrales no cumplidos oportunamente.</w:t>
      </w:r>
    </w:p>
    <w:p>
      <w:pPr>
        <w:spacing w:after="0"/>
        <w:contextualSpacing/>
        <w:jc w:val="both"/>
        <w:rPr>
          <w:rFonts w:cs="Arial"/>
        </w:rPr>
      </w:pPr>
    </w:p>
    <w:p>
      <w:pPr>
        <w:spacing w:after="0"/>
        <w:contextualSpacing/>
        <w:jc w:val="both"/>
        <w:rPr>
          <w:rFonts w:cs="Arial"/>
        </w:rPr>
      </w:pPr>
      <w:r>
        <w:rPr>
          <w:rFonts w:cs="Arial"/>
        </w:rPr>
        <w:t xml:space="preserve">Programa que, en el mismo sentido que lo señaló la Corte Constitucional, requiere ser complementado con otras políticas, como lo es a través del instrumento del crédito. </w:t>
      </w:r>
    </w:p>
    <w:p>
      <w:pPr>
        <w:spacing w:after="0"/>
        <w:contextualSpacing/>
        <w:jc w:val="both"/>
        <w:rPr>
          <w:rFonts w:cs="Arial"/>
        </w:rPr>
      </w:pPr>
    </w:p>
    <w:p>
      <w:pPr>
        <w:spacing w:after="0"/>
        <w:jc w:val="both"/>
        <w:rPr>
          <w:rFonts w:cs="Arial"/>
        </w:rPr>
      </w:pPr>
      <w:r>
        <w:rPr>
          <w:rFonts w:cs="Arial"/>
        </w:rPr>
        <w:lastRenderedPageBreak/>
        <w:t>De acuerdo con la necesidad descrita, y analizadas las disposiciones que regulan la materia, la normatividad vigente permite al Sistema Nacional de Crédito Agropecuario, en cumplimiento de uno de sus objetivos principales, como es la formulación de la política de crédito para el sector agropecuario, facilitar la legalización y formalización de la propiedad rural, para facilitar su acceso al crédito de fomento.</w:t>
      </w:r>
    </w:p>
    <w:p>
      <w:pPr>
        <w:jc w:val="both"/>
        <w:rPr>
          <w:sz w:val="22"/>
          <w:szCs w:val="22"/>
        </w:rPr>
      </w:pPr>
    </w:p>
    <w:sectPr>
      <w:footerReference w:type="even" r:id="rId10"/>
      <w:footerReference w:type="default" r:id="rId11"/>
      <w:pgSz w:w="12242" w:h="15842" w:code="1"/>
      <w:pgMar w:top="1418" w:right="1701" w:bottom="1418" w:left="1701" w:header="851" w:footer="709" w:gutter="0"/>
      <w:paperSrc w:first="11" w:other="1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n-e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Piedepgina"/>
      <w:jc w:val="right"/>
      <w:rPr>
        <w:sz w:val="20"/>
        <w:szCs w:val="20"/>
      </w:rPr>
    </w:pPr>
    <w:r>
      <w:rPr>
        <w:sz w:val="20"/>
        <w:szCs w:val="20"/>
      </w:rPr>
      <w:fldChar w:fldCharType="begin"/>
    </w:r>
    <w:r>
      <w:rPr>
        <w:sz w:val="20"/>
        <w:szCs w:val="20"/>
      </w:rPr>
      <w:instrText>PAGE   \* MERGEFORMAT</w:instrText>
    </w:r>
    <w:r>
      <w:rPr>
        <w:sz w:val="20"/>
        <w:szCs w:val="20"/>
      </w:rPr>
      <w:fldChar w:fldCharType="separate"/>
    </w:r>
    <w:r>
      <w:rPr>
        <w:noProof/>
        <w:sz w:val="20"/>
        <w:szCs w:val="20"/>
        <w:lang w:val="es-ES"/>
      </w:rPr>
      <w:t>4</w:t>
    </w:r>
    <w:r>
      <w:rPr>
        <w:sz w:val="20"/>
        <w:szCs w:val="20"/>
      </w:rPr>
      <w:fldChar w:fldCharType="end"/>
    </w:r>
  </w:p>
  <w:p>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74DDD"/>
    <w:multiLevelType w:val="hybridMultilevel"/>
    <w:tmpl w:val="32CABADC"/>
    <w:lvl w:ilvl="0" w:tplc="64DE375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B62463"/>
    <w:multiLevelType w:val="hybridMultilevel"/>
    <w:tmpl w:val="8C90E9A8"/>
    <w:lvl w:ilvl="0" w:tplc="99A26DDC">
      <w:start w:val="1"/>
      <w:numFmt w:val="decimal"/>
      <w:lvlText w:val="%1)"/>
      <w:lvlJc w:val="left"/>
      <w:pPr>
        <w:ind w:left="705" w:hanging="705"/>
      </w:pPr>
      <w:rPr>
        <w:rFonts w:hint="default"/>
        <w:sz w:val="22"/>
        <w:szCs w:val="22"/>
      </w:rPr>
    </w:lvl>
    <w:lvl w:ilvl="1" w:tplc="6FD0E3E6">
      <w:start w:val="3"/>
      <w:numFmt w:val="bullet"/>
      <w:lvlText w:val="•"/>
      <w:lvlJc w:val="left"/>
      <w:pPr>
        <w:ind w:left="1080" w:hanging="360"/>
      </w:pPr>
      <w:rPr>
        <w:rFonts w:ascii="Calibri" w:eastAsia="Times New Roman" w:hAnsi="Calibri" w:cs="Times New Roman"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073F24F6"/>
    <w:multiLevelType w:val="hybridMultilevel"/>
    <w:tmpl w:val="74FA2E46"/>
    <w:lvl w:ilvl="0" w:tplc="240A0001">
      <w:start w:val="1"/>
      <w:numFmt w:val="bullet"/>
      <w:lvlText w:val=""/>
      <w:lvlJc w:val="left"/>
      <w:pPr>
        <w:tabs>
          <w:tab w:val="num" w:pos="1068"/>
        </w:tabs>
        <w:ind w:left="1068" w:hanging="360"/>
      </w:pPr>
      <w:rPr>
        <w:rFonts w:ascii="Symbol" w:hAnsi="Symbol" w:hint="default"/>
      </w:rPr>
    </w:lvl>
    <w:lvl w:ilvl="1" w:tplc="240A0003" w:tentative="1">
      <w:start w:val="1"/>
      <w:numFmt w:val="bullet"/>
      <w:lvlText w:val="o"/>
      <w:lvlJc w:val="left"/>
      <w:pPr>
        <w:ind w:left="348" w:hanging="360"/>
      </w:pPr>
      <w:rPr>
        <w:rFonts w:ascii="Courier New" w:hAnsi="Courier New" w:cs="Courier New" w:hint="default"/>
      </w:rPr>
    </w:lvl>
    <w:lvl w:ilvl="2" w:tplc="240A0005" w:tentative="1">
      <w:start w:val="1"/>
      <w:numFmt w:val="bullet"/>
      <w:lvlText w:val=""/>
      <w:lvlJc w:val="left"/>
      <w:pPr>
        <w:ind w:left="1068" w:hanging="360"/>
      </w:pPr>
      <w:rPr>
        <w:rFonts w:ascii="Wingdings" w:hAnsi="Wingdings" w:hint="default"/>
      </w:rPr>
    </w:lvl>
    <w:lvl w:ilvl="3" w:tplc="240A0001" w:tentative="1">
      <w:start w:val="1"/>
      <w:numFmt w:val="bullet"/>
      <w:lvlText w:val=""/>
      <w:lvlJc w:val="left"/>
      <w:pPr>
        <w:ind w:left="1788" w:hanging="360"/>
      </w:pPr>
      <w:rPr>
        <w:rFonts w:ascii="Symbol" w:hAnsi="Symbol" w:hint="default"/>
      </w:rPr>
    </w:lvl>
    <w:lvl w:ilvl="4" w:tplc="240A0003" w:tentative="1">
      <w:start w:val="1"/>
      <w:numFmt w:val="bullet"/>
      <w:lvlText w:val="o"/>
      <w:lvlJc w:val="left"/>
      <w:pPr>
        <w:ind w:left="2508" w:hanging="360"/>
      </w:pPr>
      <w:rPr>
        <w:rFonts w:ascii="Courier New" w:hAnsi="Courier New" w:cs="Courier New" w:hint="default"/>
      </w:rPr>
    </w:lvl>
    <w:lvl w:ilvl="5" w:tplc="240A0005" w:tentative="1">
      <w:start w:val="1"/>
      <w:numFmt w:val="bullet"/>
      <w:lvlText w:val=""/>
      <w:lvlJc w:val="left"/>
      <w:pPr>
        <w:ind w:left="3228" w:hanging="360"/>
      </w:pPr>
      <w:rPr>
        <w:rFonts w:ascii="Wingdings" w:hAnsi="Wingdings" w:hint="default"/>
      </w:rPr>
    </w:lvl>
    <w:lvl w:ilvl="6" w:tplc="240A0001" w:tentative="1">
      <w:start w:val="1"/>
      <w:numFmt w:val="bullet"/>
      <w:lvlText w:val=""/>
      <w:lvlJc w:val="left"/>
      <w:pPr>
        <w:ind w:left="3948" w:hanging="360"/>
      </w:pPr>
      <w:rPr>
        <w:rFonts w:ascii="Symbol" w:hAnsi="Symbol" w:hint="default"/>
      </w:rPr>
    </w:lvl>
    <w:lvl w:ilvl="7" w:tplc="240A0003" w:tentative="1">
      <w:start w:val="1"/>
      <w:numFmt w:val="bullet"/>
      <w:lvlText w:val="o"/>
      <w:lvlJc w:val="left"/>
      <w:pPr>
        <w:ind w:left="4668" w:hanging="360"/>
      </w:pPr>
      <w:rPr>
        <w:rFonts w:ascii="Courier New" w:hAnsi="Courier New" w:cs="Courier New" w:hint="default"/>
      </w:rPr>
    </w:lvl>
    <w:lvl w:ilvl="8" w:tplc="240A0005" w:tentative="1">
      <w:start w:val="1"/>
      <w:numFmt w:val="bullet"/>
      <w:lvlText w:val=""/>
      <w:lvlJc w:val="left"/>
      <w:pPr>
        <w:ind w:left="5388" w:hanging="360"/>
      </w:pPr>
      <w:rPr>
        <w:rFonts w:ascii="Wingdings" w:hAnsi="Wingdings" w:hint="default"/>
      </w:rPr>
    </w:lvl>
  </w:abstractNum>
  <w:abstractNum w:abstractNumId="3" w15:restartNumberingAfterBreak="0">
    <w:nsid w:val="0B531734"/>
    <w:multiLevelType w:val="hybridMultilevel"/>
    <w:tmpl w:val="842CF150"/>
    <w:lvl w:ilvl="0" w:tplc="F8F4504A">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E202306"/>
    <w:multiLevelType w:val="hybridMultilevel"/>
    <w:tmpl w:val="D098CEDA"/>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E806722"/>
    <w:multiLevelType w:val="hybridMultilevel"/>
    <w:tmpl w:val="B0A4F1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40B1D84"/>
    <w:multiLevelType w:val="hybridMultilevel"/>
    <w:tmpl w:val="7DD8453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48A219A"/>
    <w:multiLevelType w:val="hybridMultilevel"/>
    <w:tmpl w:val="7B2A93A2"/>
    <w:lvl w:ilvl="0" w:tplc="240A0019">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4C33DFC"/>
    <w:multiLevelType w:val="hybridMultilevel"/>
    <w:tmpl w:val="C568DD0E"/>
    <w:lvl w:ilvl="0" w:tplc="78BAD9C4">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89F3A15"/>
    <w:multiLevelType w:val="hybridMultilevel"/>
    <w:tmpl w:val="CBFAE1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B8C0D5B"/>
    <w:multiLevelType w:val="hybridMultilevel"/>
    <w:tmpl w:val="12744616"/>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1" w15:restartNumberingAfterBreak="0">
    <w:nsid w:val="1F524D66"/>
    <w:multiLevelType w:val="hybridMultilevel"/>
    <w:tmpl w:val="968853D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1C528D5"/>
    <w:multiLevelType w:val="hybridMultilevel"/>
    <w:tmpl w:val="ED58F1CC"/>
    <w:lvl w:ilvl="0" w:tplc="B9E881CE">
      <w:start w:val="20"/>
      <w:numFmt w:val="bullet"/>
      <w:lvlText w:val="-"/>
      <w:lvlJc w:val="left"/>
      <w:pPr>
        <w:ind w:left="720" w:hanging="360"/>
      </w:pPr>
      <w:rPr>
        <w:rFonts w:ascii="Arial" w:eastAsia="Times New Roman"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4B57E82"/>
    <w:multiLevelType w:val="hybridMultilevel"/>
    <w:tmpl w:val="35580332"/>
    <w:lvl w:ilvl="0" w:tplc="240A0001">
      <w:start w:val="1"/>
      <w:numFmt w:val="bullet"/>
      <w:lvlText w:val=""/>
      <w:lvlJc w:val="left"/>
      <w:pPr>
        <w:tabs>
          <w:tab w:val="num" w:pos="720"/>
        </w:tabs>
        <w:ind w:left="720" w:hanging="360"/>
      </w:pPr>
      <w:rPr>
        <w:rFonts w:ascii="Symbol" w:hAnsi="Symbol" w:hint="default"/>
      </w:rPr>
    </w:lvl>
    <w:lvl w:ilvl="1" w:tplc="C19861BC">
      <w:start w:val="1"/>
      <w:numFmt w:val="bullet"/>
      <w:lvlText w:val=""/>
      <w:lvlJc w:val="left"/>
      <w:pPr>
        <w:tabs>
          <w:tab w:val="num" w:pos="1440"/>
        </w:tabs>
        <w:ind w:left="1440" w:hanging="360"/>
      </w:pPr>
      <w:rPr>
        <w:rFonts w:ascii="Wingdings" w:hAnsi="Wingdings" w:hint="default"/>
      </w:rPr>
    </w:lvl>
    <w:lvl w:ilvl="2" w:tplc="240A0001">
      <w:start w:val="1"/>
      <w:numFmt w:val="bullet"/>
      <w:lvlText w:val=""/>
      <w:lvlJc w:val="left"/>
      <w:pPr>
        <w:tabs>
          <w:tab w:val="num" w:pos="2160"/>
        </w:tabs>
        <w:ind w:left="2160" w:hanging="360"/>
      </w:pPr>
      <w:rPr>
        <w:rFonts w:ascii="Symbol" w:hAnsi="Symbol" w:hint="default"/>
      </w:rPr>
    </w:lvl>
    <w:lvl w:ilvl="3" w:tplc="9AF65AC0" w:tentative="1">
      <w:start w:val="1"/>
      <w:numFmt w:val="bullet"/>
      <w:lvlText w:val=""/>
      <w:lvlJc w:val="left"/>
      <w:pPr>
        <w:tabs>
          <w:tab w:val="num" w:pos="2880"/>
        </w:tabs>
        <w:ind w:left="2880" w:hanging="360"/>
      </w:pPr>
      <w:rPr>
        <w:rFonts w:ascii="Wingdings" w:hAnsi="Wingdings" w:hint="default"/>
      </w:rPr>
    </w:lvl>
    <w:lvl w:ilvl="4" w:tplc="FD86A55E" w:tentative="1">
      <w:start w:val="1"/>
      <w:numFmt w:val="bullet"/>
      <w:lvlText w:val=""/>
      <w:lvlJc w:val="left"/>
      <w:pPr>
        <w:tabs>
          <w:tab w:val="num" w:pos="3600"/>
        </w:tabs>
        <w:ind w:left="3600" w:hanging="360"/>
      </w:pPr>
      <w:rPr>
        <w:rFonts w:ascii="Wingdings" w:hAnsi="Wingdings" w:hint="default"/>
      </w:rPr>
    </w:lvl>
    <w:lvl w:ilvl="5" w:tplc="92344ABA" w:tentative="1">
      <w:start w:val="1"/>
      <w:numFmt w:val="bullet"/>
      <w:lvlText w:val=""/>
      <w:lvlJc w:val="left"/>
      <w:pPr>
        <w:tabs>
          <w:tab w:val="num" w:pos="4320"/>
        </w:tabs>
        <w:ind w:left="4320" w:hanging="360"/>
      </w:pPr>
      <w:rPr>
        <w:rFonts w:ascii="Wingdings" w:hAnsi="Wingdings" w:hint="default"/>
      </w:rPr>
    </w:lvl>
    <w:lvl w:ilvl="6" w:tplc="5430373E" w:tentative="1">
      <w:start w:val="1"/>
      <w:numFmt w:val="bullet"/>
      <w:lvlText w:val=""/>
      <w:lvlJc w:val="left"/>
      <w:pPr>
        <w:tabs>
          <w:tab w:val="num" w:pos="5040"/>
        </w:tabs>
        <w:ind w:left="5040" w:hanging="360"/>
      </w:pPr>
      <w:rPr>
        <w:rFonts w:ascii="Wingdings" w:hAnsi="Wingdings" w:hint="default"/>
      </w:rPr>
    </w:lvl>
    <w:lvl w:ilvl="7" w:tplc="C2745EF2" w:tentative="1">
      <w:start w:val="1"/>
      <w:numFmt w:val="bullet"/>
      <w:lvlText w:val=""/>
      <w:lvlJc w:val="left"/>
      <w:pPr>
        <w:tabs>
          <w:tab w:val="num" w:pos="5760"/>
        </w:tabs>
        <w:ind w:left="5760" w:hanging="360"/>
      </w:pPr>
      <w:rPr>
        <w:rFonts w:ascii="Wingdings" w:hAnsi="Wingdings" w:hint="default"/>
      </w:rPr>
    </w:lvl>
    <w:lvl w:ilvl="8" w:tplc="EDC8C79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7A3524"/>
    <w:multiLevelType w:val="hybridMultilevel"/>
    <w:tmpl w:val="C49C2C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B4F20B5"/>
    <w:multiLevelType w:val="hybridMultilevel"/>
    <w:tmpl w:val="E6F4BE9E"/>
    <w:lvl w:ilvl="0" w:tplc="4A308CA6">
      <w:start w:val="1"/>
      <w:numFmt w:val="decimal"/>
      <w:lvlText w:val="%1."/>
      <w:lvlJc w:val="left"/>
      <w:pPr>
        <w:ind w:left="720" w:hanging="360"/>
      </w:pPr>
      <w:rPr>
        <w:b/>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DC653B0"/>
    <w:multiLevelType w:val="hybridMultilevel"/>
    <w:tmpl w:val="932C7E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F3C5C70"/>
    <w:multiLevelType w:val="hybridMultilevel"/>
    <w:tmpl w:val="FD6CD2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FBD1202"/>
    <w:multiLevelType w:val="hybridMultilevel"/>
    <w:tmpl w:val="02E20D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294155C"/>
    <w:multiLevelType w:val="hybridMultilevel"/>
    <w:tmpl w:val="D90890B6"/>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0" w15:restartNumberingAfterBreak="0">
    <w:nsid w:val="3437675D"/>
    <w:multiLevelType w:val="hybridMultilevel"/>
    <w:tmpl w:val="736EDE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6010AA2"/>
    <w:multiLevelType w:val="hybridMultilevel"/>
    <w:tmpl w:val="36BE91C4"/>
    <w:lvl w:ilvl="0" w:tplc="0C0A001B">
      <w:start w:val="1"/>
      <w:numFmt w:val="lowerRoman"/>
      <w:lvlText w:val="%1."/>
      <w:lvlJc w:val="righ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2" w15:restartNumberingAfterBreak="0">
    <w:nsid w:val="375A37B1"/>
    <w:multiLevelType w:val="hybridMultilevel"/>
    <w:tmpl w:val="8544F5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B0560AE"/>
    <w:multiLevelType w:val="hybridMultilevel"/>
    <w:tmpl w:val="782228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D4303D5"/>
    <w:multiLevelType w:val="hybridMultilevel"/>
    <w:tmpl w:val="65828D66"/>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5" w15:restartNumberingAfterBreak="0">
    <w:nsid w:val="40181A87"/>
    <w:multiLevelType w:val="hybridMultilevel"/>
    <w:tmpl w:val="F8F800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45956E0"/>
    <w:multiLevelType w:val="multilevel"/>
    <w:tmpl w:val="223841D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66E2CFA"/>
    <w:multiLevelType w:val="hybridMultilevel"/>
    <w:tmpl w:val="35BE0716"/>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8" w15:restartNumberingAfterBreak="0">
    <w:nsid w:val="4C830557"/>
    <w:multiLevelType w:val="hybridMultilevel"/>
    <w:tmpl w:val="3858DAF2"/>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9" w15:restartNumberingAfterBreak="0">
    <w:nsid w:val="4CD423DE"/>
    <w:multiLevelType w:val="multilevel"/>
    <w:tmpl w:val="28885D64"/>
    <w:lvl w:ilvl="0">
      <w:start w:val="1"/>
      <w:numFmt w:val="decimal"/>
      <w:pStyle w:val="Ttulo1"/>
      <w:lvlText w:val="%1."/>
      <w:lvlJc w:val="left"/>
      <w:pPr>
        <w:ind w:left="720" w:hanging="360"/>
      </w:pPr>
    </w:lvl>
    <w:lvl w:ilvl="1">
      <w:start w:val="2"/>
      <w:numFmt w:val="decimal"/>
      <w:isLgl/>
      <w:lvlText w:val="%1.%2"/>
      <w:lvlJc w:val="left"/>
      <w:pPr>
        <w:ind w:left="1056" w:hanging="48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728" w:hanging="72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312" w:hanging="1440"/>
      </w:pPr>
      <w:rPr>
        <w:rFonts w:hint="default"/>
      </w:rPr>
    </w:lvl>
    <w:lvl w:ilvl="8">
      <w:start w:val="1"/>
      <w:numFmt w:val="decimal"/>
      <w:isLgl/>
      <w:lvlText w:val="%1.%2.%3.%4.%5.%6.%7.%8.%9"/>
      <w:lvlJc w:val="left"/>
      <w:pPr>
        <w:ind w:left="3888" w:hanging="1800"/>
      </w:pPr>
      <w:rPr>
        <w:rFonts w:hint="default"/>
      </w:rPr>
    </w:lvl>
  </w:abstractNum>
  <w:abstractNum w:abstractNumId="30" w15:restartNumberingAfterBreak="0">
    <w:nsid w:val="4F500374"/>
    <w:multiLevelType w:val="hybridMultilevel"/>
    <w:tmpl w:val="076273BC"/>
    <w:lvl w:ilvl="0" w:tplc="B9E881CE">
      <w:start w:val="20"/>
      <w:numFmt w:val="bullet"/>
      <w:lvlText w:val="-"/>
      <w:lvlJc w:val="left"/>
      <w:pPr>
        <w:ind w:left="720" w:hanging="360"/>
      </w:pPr>
      <w:rPr>
        <w:rFonts w:ascii="Arial" w:eastAsia="Times New Roman"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0A80710"/>
    <w:multiLevelType w:val="hybridMultilevel"/>
    <w:tmpl w:val="5BBA611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2" w15:restartNumberingAfterBreak="0">
    <w:nsid w:val="58690AEB"/>
    <w:multiLevelType w:val="hybridMultilevel"/>
    <w:tmpl w:val="43AC8194"/>
    <w:lvl w:ilvl="0" w:tplc="80F0029A">
      <w:start w:val="1"/>
      <w:numFmt w:val="decimal"/>
      <w:pStyle w:val="Ttulo3"/>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8C67CF5"/>
    <w:multiLevelType w:val="hybridMultilevel"/>
    <w:tmpl w:val="3DC89F0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EEA11BB"/>
    <w:multiLevelType w:val="hybridMultilevel"/>
    <w:tmpl w:val="82CEA34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0DE73FC"/>
    <w:multiLevelType w:val="hybridMultilevel"/>
    <w:tmpl w:val="C10A3D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3784941"/>
    <w:multiLevelType w:val="hybridMultilevel"/>
    <w:tmpl w:val="A7AAA59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3BB5255"/>
    <w:multiLevelType w:val="hybridMultilevel"/>
    <w:tmpl w:val="9CD62C9C"/>
    <w:lvl w:ilvl="0" w:tplc="5F6AD248">
      <w:start w:val="1"/>
      <w:numFmt w:val="lowerLetter"/>
      <w:lvlText w:val="%1)"/>
      <w:lvlJc w:val="left"/>
      <w:pPr>
        <w:ind w:left="1083" w:hanging="375"/>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8" w15:restartNumberingAfterBreak="0">
    <w:nsid w:val="676436E4"/>
    <w:multiLevelType w:val="hybridMultilevel"/>
    <w:tmpl w:val="EC2269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82A626F"/>
    <w:multiLevelType w:val="hybridMultilevel"/>
    <w:tmpl w:val="62B06B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BDE7915"/>
    <w:multiLevelType w:val="hybridMultilevel"/>
    <w:tmpl w:val="B9A208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1203004"/>
    <w:multiLevelType w:val="multilevel"/>
    <w:tmpl w:val="A0682A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29C278E"/>
    <w:multiLevelType w:val="hybridMultilevel"/>
    <w:tmpl w:val="5C76867C"/>
    <w:lvl w:ilvl="0" w:tplc="DACC871E">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54519E0"/>
    <w:multiLevelType w:val="hybridMultilevel"/>
    <w:tmpl w:val="3158873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9"/>
  </w:num>
  <w:num w:numId="2">
    <w:abstractNumId w:val="32"/>
  </w:num>
  <w:num w:numId="3">
    <w:abstractNumId w:val="31"/>
  </w:num>
  <w:num w:numId="4">
    <w:abstractNumId w:val="37"/>
  </w:num>
  <w:num w:numId="5">
    <w:abstractNumId w:val="30"/>
  </w:num>
  <w:num w:numId="6">
    <w:abstractNumId w:val="39"/>
  </w:num>
  <w:num w:numId="7">
    <w:abstractNumId w:val="22"/>
  </w:num>
  <w:num w:numId="8">
    <w:abstractNumId w:val="35"/>
  </w:num>
  <w:num w:numId="9">
    <w:abstractNumId w:val="40"/>
  </w:num>
  <w:num w:numId="10">
    <w:abstractNumId w:val="26"/>
  </w:num>
  <w:num w:numId="11">
    <w:abstractNumId w:val="4"/>
  </w:num>
  <w:num w:numId="12">
    <w:abstractNumId w:val="43"/>
  </w:num>
  <w:num w:numId="13">
    <w:abstractNumId w:val="6"/>
  </w:num>
  <w:num w:numId="14">
    <w:abstractNumId w:val="36"/>
  </w:num>
  <w:num w:numId="15">
    <w:abstractNumId w:val="1"/>
  </w:num>
  <w:num w:numId="16">
    <w:abstractNumId w:val="9"/>
  </w:num>
  <w:num w:numId="17">
    <w:abstractNumId w:val="2"/>
  </w:num>
  <w:num w:numId="18">
    <w:abstractNumId w:val="13"/>
  </w:num>
  <w:num w:numId="19">
    <w:abstractNumId w:val="28"/>
  </w:num>
  <w:num w:numId="20">
    <w:abstractNumId w:val="15"/>
  </w:num>
  <w:num w:numId="21">
    <w:abstractNumId w:val="14"/>
  </w:num>
  <w:num w:numId="22">
    <w:abstractNumId w:val="17"/>
  </w:num>
  <w:num w:numId="23">
    <w:abstractNumId w:val="5"/>
  </w:num>
  <w:num w:numId="24">
    <w:abstractNumId w:val="23"/>
  </w:num>
  <w:num w:numId="25">
    <w:abstractNumId w:val="38"/>
  </w:num>
  <w:num w:numId="26">
    <w:abstractNumId w:val="18"/>
  </w:num>
  <w:num w:numId="27">
    <w:abstractNumId w:val="11"/>
  </w:num>
  <w:num w:numId="28">
    <w:abstractNumId w:val="41"/>
  </w:num>
  <w:num w:numId="29">
    <w:abstractNumId w:val="10"/>
  </w:num>
  <w:num w:numId="30">
    <w:abstractNumId w:val="19"/>
  </w:num>
  <w:num w:numId="31">
    <w:abstractNumId w:val="24"/>
  </w:num>
  <w:num w:numId="32">
    <w:abstractNumId w:val="27"/>
  </w:num>
  <w:num w:numId="33">
    <w:abstractNumId w:val="32"/>
  </w:num>
  <w:num w:numId="34">
    <w:abstractNumId w:val="16"/>
  </w:num>
  <w:num w:numId="35">
    <w:abstractNumId w:val="20"/>
  </w:num>
  <w:num w:numId="36">
    <w:abstractNumId w:val="33"/>
  </w:num>
  <w:num w:numId="37">
    <w:abstractNumId w:val="12"/>
  </w:num>
  <w:num w:numId="38">
    <w:abstractNumId w:val="34"/>
  </w:num>
  <w:num w:numId="39">
    <w:abstractNumId w:val="7"/>
  </w:num>
  <w:num w:numId="40">
    <w:abstractNumId w:val="0"/>
  </w:num>
  <w:num w:numId="41">
    <w:abstractNumId w:val="42"/>
  </w:num>
  <w:num w:numId="42">
    <w:abstractNumId w:val="21"/>
  </w:num>
  <w:num w:numId="43">
    <w:abstractNumId w:val="25"/>
  </w:num>
  <w:num w:numId="44">
    <w:abstractNumId w:val="8"/>
  </w:num>
  <w:num w:numId="45">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570458-34C8-4349-9998-C031582CE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after="120"/>
    </w:pPr>
    <w:rPr>
      <w:rFonts w:ascii="Arial" w:eastAsia="Times New Roman" w:hAnsi="Arial"/>
      <w:sz w:val="24"/>
      <w:szCs w:val="24"/>
      <w:lang w:eastAsia="es-ES"/>
    </w:rPr>
  </w:style>
  <w:style w:type="paragraph" w:styleId="Ttulo1">
    <w:name w:val="heading 1"/>
    <w:basedOn w:val="Normal"/>
    <w:next w:val="Normal"/>
    <w:link w:val="Ttulo1Car"/>
    <w:qFormat/>
    <w:pPr>
      <w:keepNext/>
      <w:numPr>
        <w:numId w:val="1"/>
      </w:numPr>
      <w:spacing w:before="240" w:after="240"/>
      <w:jc w:val="both"/>
      <w:outlineLvl w:val="0"/>
    </w:pPr>
    <w:rPr>
      <w:b/>
      <w:bCs/>
      <w:lang w:val="es-ES"/>
    </w:rPr>
  </w:style>
  <w:style w:type="paragraph" w:styleId="Ttulo2">
    <w:name w:val="heading 2"/>
    <w:basedOn w:val="Normal"/>
    <w:next w:val="Normal"/>
    <w:link w:val="Ttulo2Car"/>
    <w:autoRedefine/>
    <w:unhideWhenUsed/>
    <w:qFormat/>
    <w:pPr>
      <w:keepNext/>
      <w:keepLines/>
      <w:spacing w:before="280" w:after="260" w:line="276" w:lineRule="auto"/>
      <w:jc w:val="both"/>
      <w:outlineLvl w:val="1"/>
    </w:pPr>
    <w:rPr>
      <w:rFonts w:cs="Arial"/>
      <w:b/>
      <w:bCs/>
      <w:sz w:val="22"/>
      <w:szCs w:val="22"/>
    </w:rPr>
  </w:style>
  <w:style w:type="paragraph" w:styleId="Ttulo3">
    <w:name w:val="heading 3"/>
    <w:basedOn w:val="Normal"/>
    <w:next w:val="Normal"/>
    <w:link w:val="Ttulo3Car"/>
    <w:autoRedefine/>
    <w:uiPriority w:val="9"/>
    <w:unhideWhenUsed/>
    <w:qFormat/>
    <w:pPr>
      <w:keepNext/>
      <w:keepLines/>
      <w:numPr>
        <w:numId w:val="2"/>
      </w:numPr>
      <w:spacing w:before="320" w:after="240"/>
      <w:jc w:val="both"/>
      <w:outlineLvl w:val="2"/>
    </w:pPr>
    <w:rPr>
      <w:b/>
      <w:bCs/>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Times New Roman" w:hAnsi="Arial"/>
      <w:b/>
      <w:bCs/>
      <w:sz w:val="24"/>
      <w:szCs w:val="24"/>
      <w:lang w:val="es-ES" w:eastAsia="es-ES"/>
    </w:rPr>
  </w:style>
  <w:style w:type="paragraph" w:styleId="Textoindependiente2">
    <w:name w:val="Body Text 2"/>
    <w:basedOn w:val="Normal"/>
    <w:link w:val="Textoindependiente2Car"/>
    <w:pPr>
      <w:jc w:val="center"/>
    </w:pPr>
    <w:rPr>
      <w:lang w:val="es-ES"/>
    </w:rPr>
  </w:style>
  <w:style w:type="character" w:customStyle="1" w:styleId="Textoindependiente2Car">
    <w:name w:val="Texto independiente 2 Car"/>
    <w:link w:val="Textoindependiente2"/>
    <w:rPr>
      <w:rFonts w:ascii="Arial" w:eastAsia="Times New Roman" w:hAnsi="Arial" w:cs="Times New Roman"/>
      <w:sz w:val="24"/>
      <w:szCs w:val="24"/>
      <w:lang w:val="es-ES" w:eastAsia="es-ES"/>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Pr>
      <w:rFonts w:ascii="Arial" w:eastAsia="Times New Roman" w:hAnsi="Arial" w:cs="Times New Roman"/>
      <w:sz w:val="24"/>
      <w:szCs w:val="24"/>
      <w:lang w:eastAsia="es-ES"/>
    </w:rPr>
  </w:style>
  <w:style w:type="character" w:styleId="Nmerodepgina">
    <w:name w:val="page number"/>
    <w:basedOn w:val="Fuentedeprrafopredeter"/>
  </w:style>
  <w:style w:type="paragraph" w:styleId="Encabezado">
    <w:name w:val="header"/>
    <w:basedOn w:val="Normal"/>
    <w:link w:val="EncabezadoCar"/>
    <w:pPr>
      <w:tabs>
        <w:tab w:val="center" w:pos="4252"/>
        <w:tab w:val="right" w:pos="8504"/>
      </w:tabs>
    </w:pPr>
  </w:style>
  <w:style w:type="character" w:customStyle="1" w:styleId="EncabezadoCar">
    <w:name w:val="Encabezado Car"/>
    <w:link w:val="Encabezado"/>
    <w:rPr>
      <w:rFonts w:ascii="Arial" w:eastAsia="Times New Roman" w:hAnsi="Arial" w:cs="Times New Roman"/>
      <w:sz w:val="24"/>
      <w:szCs w:val="24"/>
      <w:lang w:eastAsia="es-ES"/>
    </w:rPr>
  </w:style>
  <w:style w:type="paragraph" w:customStyle="1" w:styleId="cuerpotexto">
    <w:name w:val="cuerpotexto"/>
    <w:basedOn w:val="Normal"/>
    <w:pPr>
      <w:autoSpaceDE w:val="0"/>
      <w:autoSpaceDN w:val="0"/>
      <w:spacing w:before="45" w:after="45" w:line="240" w:lineRule="atLeast"/>
      <w:ind w:firstLine="283"/>
      <w:jc w:val="both"/>
    </w:pPr>
    <w:rPr>
      <w:rFonts w:ascii="Times" w:hAnsi="Times" w:cs="Times"/>
      <w:color w:val="000000"/>
      <w:sz w:val="22"/>
      <w:szCs w:val="22"/>
      <w:lang w:val="es-ES"/>
    </w:rPr>
  </w:style>
  <w:style w:type="paragraph" w:styleId="Textoindependiente">
    <w:name w:val="Body Text"/>
    <w:basedOn w:val="Normal"/>
    <w:link w:val="TextoindependienteCar"/>
    <w:uiPriority w:val="99"/>
    <w:unhideWhenUsed/>
  </w:style>
  <w:style w:type="character" w:customStyle="1" w:styleId="TextoindependienteCar">
    <w:name w:val="Texto independiente Car"/>
    <w:link w:val="Textoindependiente"/>
    <w:uiPriority w:val="99"/>
    <w:rPr>
      <w:rFonts w:ascii="Arial" w:eastAsia="Times New Roman" w:hAnsi="Arial" w:cs="Times New Roman"/>
      <w:sz w:val="24"/>
      <w:szCs w:val="24"/>
      <w:lang w:eastAsia="es-ES"/>
    </w:rPr>
  </w:style>
  <w:style w:type="paragraph" w:customStyle="1" w:styleId="Default">
    <w:name w:val="Default"/>
    <w:pPr>
      <w:autoSpaceDE w:val="0"/>
      <w:autoSpaceDN w:val="0"/>
      <w:adjustRightInd w:val="0"/>
    </w:pPr>
    <w:rPr>
      <w:rFonts w:ascii="Arial" w:hAnsi="Arial" w:cs="Arial"/>
      <w:color w:val="000000"/>
      <w:sz w:val="24"/>
      <w:szCs w:val="24"/>
      <w:lang w:eastAsia="en-US"/>
    </w:rPr>
  </w:style>
  <w:style w:type="paragraph" w:styleId="Prrafodelista">
    <w:name w:val="List Paragraph"/>
    <w:basedOn w:val="Normal"/>
    <w:uiPriority w:val="34"/>
    <w:qFormat/>
    <w:pPr>
      <w:ind w:left="708"/>
    </w:p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link w:val="Textodeglobo"/>
    <w:uiPriority w:val="99"/>
    <w:semiHidden/>
    <w:rPr>
      <w:rFonts w:ascii="Tahoma" w:eastAsia="Times New Roman" w:hAnsi="Tahoma" w:cs="Tahoma"/>
      <w:sz w:val="16"/>
      <w:szCs w:val="16"/>
      <w:lang w:eastAsia="es-ES"/>
    </w:rPr>
  </w:style>
  <w:style w:type="paragraph" w:styleId="NormalWeb">
    <w:name w:val="Normal (Web)"/>
    <w:basedOn w:val="Normal"/>
    <w:uiPriority w:val="99"/>
    <w:unhideWhenUsed/>
    <w:pPr>
      <w:spacing w:before="100" w:beforeAutospacing="1" w:after="100" w:afterAutospacing="1"/>
    </w:pPr>
    <w:rPr>
      <w:rFonts w:ascii="Times New Roman" w:hAnsi="Times New Roman"/>
      <w:lang w:eastAsia="es-CO"/>
    </w:rPr>
  </w:style>
  <w:style w:type="character" w:customStyle="1" w:styleId="apple-converted-space">
    <w:name w:val="apple-converted-space"/>
    <w:basedOn w:val="Fuentedeprrafopredeter"/>
  </w:style>
  <w:style w:type="character" w:styleId="Refdecomentario">
    <w:name w:val="annotation reference"/>
    <w:uiPriority w:val="99"/>
    <w:semiHidden/>
    <w:unhideWhenUsed/>
    <w:rPr>
      <w:sz w:val="16"/>
      <w:szCs w:val="16"/>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link w:val="Textocomentario"/>
    <w:uiPriority w:val="99"/>
    <w:rPr>
      <w:rFonts w:ascii="Arial" w:eastAsia="Times New Roman" w:hAnsi="Arial"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link w:val="Asuntodelcomentario"/>
    <w:uiPriority w:val="99"/>
    <w:semiHidden/>
    <w:rPr>
      <w:rFonts w:ascii="Arial" w:eastAsia="Times New Roman" w:hAnsi="Arial" w:cs="Times New Roman"/>
      <w:b/>
      <w:bCs/>
      <w:sz w:val="20"/>
      <w:szCs w:val="20"/>
      <w:lang w:eastAsia="es-ES"/>
    </w:rPr>
  </w:style>
  <w:style w:type="paragraph" w:customStyle="1" w:styleId="p2">
    <w:name w:val="p2"/>
    <w:basedOn w:val="Normal"/>
    <w:pPr>
      <w:widowControl w:val="0"/>
      <w:tabs>
        <w:tab w:val="left" w:pos="170"/>
      </w:tabs>
      <w:autoSpaceDE w:val="0"/>
      <w:autoSpaceDN w:val="0"/>
      <w:adjustRightInd w:val="0"/>
      <w:spacing w:line="240" w:lineRule="atLeast"/>
      <w:ind w:left="754"/>
      <w:jc w:val="both"/>
    </w:pPr>
    <w:rPr>
      <w:rFonts w:ascii="Times New Roman" w:hAnsi="Times New Roman"/>
      <w:lang w:val="en-US"/>
    </w:rPr>
  </w:style>
  <w:style w:type="character" w:customStyle="1" w:styleId="Ttulo2Car">
    <w:name w:val="Título 2 Car"/>
    <w:link w:val="Ttulo2"/>
    <w:rPr>
      <w:rFonts w:ascii="Arial" w:eastAsia="Times New Roman" w:hAnsi="Arial" w:cs="Arial"/>
      <w:b/>
      <w:bCs/>
      <w:sz w:val="22"/>
      <w:szCs w:val="22"/>
      <w:lang w:eastAsia="es-ES"/>
    </w:rPr>
  </w:style>
  <w:style w:type="character" w:customStyle="1" w:styleId="Ttulo3Car">
    <w:name w:val="Título 3 Car"/>
    <w:link w:val="Ttulo3"/>
    <w:uiPriority w:val="9"/>
    <w:rPr>
      <w:rFonts w:ascii="Arial" w:eastAsia="Times New Roman" w:hAnsi="Arial"/>
      <w:b/>
      <w:bCs/>
      <w:sz w:val="22"/>
      <w:szCs w:val="24"/>
      <w:lang w:eastAsia="es-ES"/>
    </w:rPr>
  </w:style>
  <w:style w:type="paragraph" w:customStyle="1" w:styleId="Epgrafe1">
    <w:name w:val="Epígrafe1"/>
    <w:basedOn w:val="Normal"/>
    <w:next w:val="Normal"/>
    <w:autoRedefine/>
    <w:uiPriority w:val="35"/>
    <w:qFormat/>
    <w:pPr>
      <w:shd w:val="clear" w:color="auto" w:fill="FFFFFF"/>
      <w:spacing w:before="0" w:after="0" w:line="0" w:lineRule="atLeast"/>
      <w:ind w:left="18"/>
      <w:jc w:val="center"/>
    </w:pPr>
    <w:rPr>
      <w:rFonts w:ascii="Calibri" w:hAnsi="Calibri" w:cs="Arial"/>
      <w:b/>
      <w:bCs/>
      <w:color w:val="000000"/>
      <w:spacing w:val="-8"/>
      <w:sz w:val="20"/>
      <w:szCs w:val="20"/>
      <w:lang w:val="es-ES_tradnl"/>
    </w:rPr>
  </w:style>
  <w:style w:type="paragraph" w:styleId="Textonotapie">
    <w:name w:val="footnote text"/>
    <w:basedOn w:val="Normal"/>
    <w:link w:val="TextonotapieCar"/>
    <w:autoRedefine/>
    <w:uiPriority w:val="99"/>
    <w:pPr>
      <w:spacing w:before="100"/>
      <w:jc w:val="both"/>
    </w:pPr>
    <w:rPr>
      <w:rFonts w:eastAsia="Calibri" w:cs="Arial"/>
      <w:sz w:val="20"/>
      <w:szCs w:val="22"/>
      <w:lang w:val="es-ES_tradnl"/>
    </w:rPr>
  </w:style>
  <w:style w:type="character" w:customStyle="1" w:styleId="TextonotapieCar">
    <w:name w:val="Texto nota pie Car"/>
    <w:link w:val="Textonotapie"/>
    <w:uiPriority w:val="99"/>
    <w:rPr>
      <w:rFonts w:ascii="Arial" w:hAnsi="Arial" w:cs="Arial"/>
      <w:szCs w:val="22"/>
      <w:lang w:val="es-ES_tradnl" w:eastAsia="es-ES"/>
    </w:rPr>
  </w:style>
  <w:style w:type="paragraph" w:styleId="TtulodeTDC">
    <w:name w:val="TOC Heading"/>
    <w:basedOn w:val="Ttulo1"/>
    <w:next w:val="Normal"/>
    <w:uiPriority w:val="39"/>
    <w:unhideWhenUsed/>
    <w:qFormat/>
    <w:pPr>
      <w:keepLines/>
      <w:spacing w:before="480" w:line="276" w:lineRule="auto"/>
      <w:jc w:val="left"/>
      <w:outlineLvl w:val="9"/>
    </w:pPr>
    <w:rPr>
      <w:rFonts w:ascii="Cambria" w:hAnsi="Cambria"/>
      <w:color w:val="365F91"/>
      <w:sz w:val="28"/>
      <w:szCs w:val="28"/>
      <w:lang w:val="es-CO" w:eastAsia="es-CO"/>
    </w:rPr>
  </w:style>
  <w:style w:type="paragraph" w:styleId="TDC1">
    <w:name w:val="toc 1"/>
    <w:basedOn w:val="Normal"/>
    <w:next w:val="Normal"/>
    <w:autoRedefine/>
    <w:uiPriority w:val="39"/>
    <w:unhideWhenUsed/>
    <w:pPr>
      <w:spacing w:before="100" w:after="100"/>
      <w:jc w:val="both"/>
    </w:pPr>
    <w:rPr>
      <w:rFonts w:ascii="Calibri" w:hAnsi="Calibri"/>
      <w:szCs w:val="20"/>
      <w:lang w:val="es-ES_tradnl"/>
    </w:rPr>
  </w:style>
  <w:style w:type="paragraph" w:styleId="TDC2">
    <w:name w:val="toc 2"/>
    <w:basedOn w:val="Normal"/>
    <w:next w:val="Normal"/>
    <w:autoRedefine/>
    <w:uiPriority w:val="39"/>
    <w:unhideWhenUsed/>
    <w:pPr>
      <w:spacing w:before="100" w:after="100"/>
      <w:ind w:left="240"/>
      <w:jc w:val="both"/>
    </w:pPr>
    <w:rPr>
      <w:rFonts w:ascii="Calibri" w:hAnsi="Calibri"/>
      <w:szCs w:val="20"/>
      <w:lang w:val="es-ES_tradnl"/>
    </w:rPr>
  </w:style>
  <w:style w:type="character" w:styleId="Hipervnculo">
    <w:name w:val="Hyperlink"/>
    <w:uiPriority w:val="99"/>
    <w:unhideWhenUsed/>
    <w:rPr>
      <w:color w:val="0000FF"/>
      <w:u w:val="single"/>
    </w:rPr>
  </w:style>
  <w:style w:type="character" w:styleId="Refdenotaalpie">
    <w:name w:val="footnote reference"/>
    <w:uiPriority w:val="99"/>
    <w:unhideWhenUsed/>
    <w:rPr>
      <w:vertAlign w:val="superscript"/>
    </w:rPr>
  </w:style>
  <w:style w:type="paragraph" w:customStyle="1" w:styleId="c5">
    <w:name w:val="c5"/>
    <w:basedOn w:val="Normal"/>
    <w:pPr>
      <w:autoSpaceDE w:val="0"/>
      <w:autoSpaceDN w:val="0"/>
      <w:spacing w:line="240" w:lineRule="atLeast"/>
      <w:jc w:val="center"/>
    </w:pPr>
    <w:rPr>
      <w:rFonts w:ascii="Times New Roman" w:hAnsi="Times New Roman"/>
      <w:sz w:val="22"/>
      <w:lang w:val="es-ES"/>
    </w:rPr>
  </w:style>
  <w:style w:type="paragraph" w:styleId="TDC3">
    <w:name w:val="toc 3"/>
    <w:basedOn w:val="Normal"/>
    <w:next w:val="Normal"/>
    <w:autoRedefine/>
    <w:uiPriority w:val="39"/>
    <w:unhideWhenUsed/>
    <w:pPr>
      <w:spacing w:after="100"/>
      <w:ind w:left="440"/>
      <w:jc w:val="both"/>
    </w:pPr>
    <w:rPr>
      <w:sz w:val="22"/>
      <w:lang w:val="es-ES"/>
    </w:rPr>
  </w:style>
  <w:style w:type="table" w:customStyle="1" w:styleId="Tabladelista7concolores-nfasis61">
    <w:name w:val="Tabla de lista 7 con colores - Énfasis 61"/>
    <w:basedOn w:val="Tablanormal"/>
    <w:uiPriority w:val="52"/>
    <w:rPr>
      <w:color w:val="538135"/>
      <w:sz w:val="22"/>
      <w:szCs w:val="22"/>
      <w:lang w:eastAsia="en-US"/>
    </w:rPr>
    <w:tblPr>
      <w:tblStyleRowBandSize w:val="1"/>
      <w:tblStyleColBandSize w:val="1"/>
    </w:tblPr>
    <w:tblStylePr w:type="firstRow">
      <w:rPr>
        <w:rFonts w:ascii="+mn-ea" w:eastAsia="Times New Roman" w:hAnsi="+mn-ea" w:cs="Times New Roman"/>
        <w:i/>
        <w:iCs/>
        <w:sz w:val="26"/>
      </w:rPr>
      <w:tblPr/>
      <w:tcPr>
        <w:tcBorders>
          <w:bottom w:val="single" w:sz="4" w:space="0" w:color="70AD47"/>
        </w:tcBorders>
        <w:shd w:val="clear" w:color="auto" w:fill="FFFFFF"/>
      </w:tcPr>
    </w:tblStylePr>
    <w:tblStylePr w:type="lastRow">
      <w:rPr>
        <w:rFonts w:ascii="+mn-ea" w:eastAsia="Times New Roman" w:hAnsi="+mn-ea" w:cs="Times New Roman"/>
        <w:i/>
        <w:iCs/>
        <w:sz w:val="26"/>
      </w:rPr>
      <w:tblPr/>
      <w:tcPr>
        <w:tcBorders>
          <w:top w:val="single" w:sz="4" w:space="0" w:color="70AD47"/>
        </w:tcBorders>
        <w:shd w:val="clear" w:color="auto" w:fill="FFFFFF"/>
      </w:tcPr>
    </w:tblStylePr>
    <w:tblStylePr w:type="firstCol">
      <w:pPr>
        <w:jc w:val="right"/>
      </w:pPr>
      <w:rPr>
        <w:rFonts w:ascii="+mn-ea" w:eastAsia="Times New Roman" w:hAnsi="+mn-ea" w:cs="Times New Roman"/>
        <w:i/>
        <w:iCs/>
        <w:sz w:val="26"/>
      </w:rPr>
      <w:tblPr/>
      <w:tcPr>
        <w:tcBorders>
          <w:right w:val="single" w:sz="4" w:space="0" w:color="70AD47"/>
        </w:tcBorders>
        <w:shd w:val="clear" w:color="auto" w:fill="FFFFFF"/>
      </w:tcPr>
    </w:tblStylePr>
    <w:tblStylePr w:type="lastCol">
      <w:rPr>
        <w:rFonts w:ascii="+mn-ea" w:eastAsia="Times New Roman" w:hAnsi="+mn-ea"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n">
    <w:name w:val="Revision"/>
    <w:hidden/>
    <w:uiPriority w:val="99"/>
    <w:semiHidden/>
    <w:rPr>
      <w:rFonts w:ascii="Arial" w:eastAsia="Times New Roman" w:hAnsi="Arial"/>
      <w:sz w:val="24"/>
      <w:szCs w:val="24"/>
      <w:lang w:eastAsia="es-ES"/>
    </w:rPr>
  </w:style>
  <w:style w:type="paragraph" w:customStyle="1" w:styleId="CM18">
    <w:name w:val="CM18"/>
    <w:basedOn w:val="Default"/>
    <w:next w:val="Default"/>
    <w:uiPriority w:val="99"/>
    <w:rPr>
      <w:color w:val="auto"/>
      <w:lang w:eastAsia="es-CO"/>
    </w:rPr>
  </w:style>
  <w:style w:type="paragraph" w:styleId="Descripcin">
    <w:name w:val="caption"/>
    <w:basedOn w:val="Normal"/>
    <w:next w:val="Normal"/>
    <w:autoRedefine/>
    <w:uiPriority w:val="35"/>
    <w:qFormat/>
    <w:pPr>
      <w:shd w:val="clear" w:color="auto" w:fill="FFFFFF"/>
      <w:spacing w:after="360"/>
      <w:ind w:left="17"/>
      <w:jc w:val="center"/>
    </w:pPr>
    <w:rPr>
      <w:rFonts w:ascii="Calibri" w:hAnsi="Calibri" w:cs="Arial"/>
      <w:b/>
      <w:bCs/>
      <w:color w:val="000000"/>
      <w:spacing w:val="-8"/>
      <w:sz w:val="20"/>
      <w:szCs w:val="20"/>
      <w:lang w:val="es-ES_tradnl"/>
    </w:rPr>
  </w:style>
  <w:style w:type="table" w:styleId="Tablaconcuadrcula">
    <w:name w:val="Table Grid"/>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96742">
      <w:bodyDiv w:val="1"/>
      <w:marLeft w:val="0"/>
      <w:marRight w:val="0"/>
      <w:marTop w:val="0"/>
      <w:marBottom w:val="0"/>
      <w:divBdr>
        <w:top w:val="none" w:sz="0" w:space="0" w:color="auto"/>
        <w:left w:val="none" w:sz="0" w:space="0" w:color="auto"/>
        <w:bottom w:val="none" w:sz="0" w:space="0" w:color="auto"/>
        <w:right w:val="none" w:sz="0" w:space="0" w:color="auto"/>
      </w:divBdr>
    </w:div>
    <w:div w:id="159783464">
      <w:bodyDiv w:val="1"/>
      <w:marLeft w:val="0"/>
      <w:marRight w:val="0"/>
      <w:marTop w:val="0"/>
      <w:marBottom w:val="0"/>
      <w:divBdr>
        <w:top w:val="none" w:sz="0" w:space="0" w:color="auto"/>
        <w:left w:val="none" w:sz="0" w:space="0" w:color="auto"/>
        <w:bottom w:val="none" w:sz="0" w:space="0" w:color="auto"/>
        <w:right w:val="none" w:sz="0" w:space="0" w:color="auto"/>
      </w:divBdr>
    </w:div>
    <w:div w:id="174534561">
      <w:bodyDiv w:val="1"/>
      <w:marLeft w:val="0"/>
      <w:marRight w:val="0"/>
      <w:marTop w:val="0"/>
      <w:marBottom w:val="0"/>
      <w:divBdr>
        <w:top w:val="none" w:sz="0" w:space="0" w:color="auto"/>
        <w:left w:val="none" w:sz="0" w:space="0" w:color="auto"/>
        <w:bottom w:val="none" w:sz="0" w:space="0" w:color="auto"/>
        <w:right w:val="none" w:sz="0" w:space="0" w:color="auto"/>
      </w:divBdr>
    </w:div>
    <w:div w:id="209155239">
      <w:bodyDiv w:val="1"/>
      <w:marLeft w:val="0"/>
      <w:marRight w:val="0"/>
      <w:marTop w:val="0"/>
      <w:marBottom w:val="0"/>
      <w:divBdr>
        <w:top w:val="none" w:sz="0" w:space="0" w:color="auto"/>
        <w:left w:val="none" w:sz="0" w:space="0" w:color="auto"/>
        <w:bottom w:val="none" w:sz="0" w:space="0" w:color="auto"/>
        <w:right w:val="none" w:sz="0" w:space="0" w:color="auto"/>
      </w:divBdr>
    </w:div>
    <w:div w:id="296692630">
      <w:bodyDiv w:val="1"/>
      <w:marLeft w:val="0"/>
      <w:marRight w:val="0"/>
      <w:marTop w:val="0"/>
      <w:marBottom w:val="0"/>
      <w:divBdr>
        <w:top w:val="none" w:sz="0" w:space="0" w:color="auto"/>
        <w:left w:val="none" w:sz="0" w:space="0" w:color="auto"/>
        <w:bottom w:val="none" w:sz="0" w:space="0" w:color="auto"/>
        <w:right w:val="none" w:sz="0" w:space="0" w:color="auto"/>
      </w:divBdr>
    </w:div>
    <w:div w:id="315379459">
      <w:bodyDiv w:val="1"/>
      <w:marLeft w:val="0"/>
      <w:marRight w:val="0"/>
      <w:marTop w:val="0"/>
      <w:marBottom w:val="0"/>
      <w:divBdr>
        <w:top w:val="none" w:sz="0" w:space="0" w:color="auto"/>
        <w:left w:val="none" w:sz="0" w:space="0" w:color="auto"/>
        <w:bottom w:val="none" w:sz="0" w:space="0" w:color="auto"/>
        <w:right w:val="none" w:sz="0" w:space="0" w:color="auto"/>
      </w:divBdr>
    </w:div>
    <w:div w:id="363795144">
      <w:bodyDiv w:val="1"/>
      <w:marLeft w:val="0"/>
      <w:marRight w:val="0"/>
      <w:marTop w:val="0"/>
      <w:marBottom w:val="0"/>
      <w:divBdr>
        <w:top w:val="none" w:sz="0" w:space="0" w:color="auto"/>
        <w:left w:val="none" w:sz="0" w:space="0" w:color="auto"/>
        <w:bottom w:val="none" w:sz="0" w:space="0" w:color="auto"/>
        <w:right w:val="none" w:sz="0" w:space="0" w:color="auto"/>
      </w:divBdr>
    </w:div>
    <w:div w:id="426460199">
      <w:bodyDiv w:val="1"/>
      <w:marLeft w:val="0"/>
      <w:marRight w:val="0"/>
      <w:marTop w:val="0"/>
      <w:marBottom w:val="0"/>
      <w:divBdr>
        <w:top w:val="none" w:sz="0" w:space="0" w:color="auto"/>
        <w:left w:val="none" w:sz="0" w:space="0" w:color="auto"/>
        <w:bottom w:val="none" w:sz="0" w:space="0" w:color="auto"/>
        <w:right w:val="none" w:sz="0" w:space="0" w:color="auto"/>
      </w:divBdr>
    </w:div>
    <w:div w:id="465240268">
      <w:bodyDiv w:val="1"/>
      <w:marLeft w:val="0"/>
      <w:marRight w:val="0"/>
      <w:marTop w:val="0"/>
      <w:marBottom w:val="0"/>
      <w:divBdr>
        <w:top w:val="none" w:sz="0" w:space="0" w:color="auto"/>
        <w:left w:val="none" w:sz="0" w:space="0" w:color="auto"/>
        <w:bottom w:val="none" w:sz="0" w:space="0" w:color="auto"/>
        <w:right w:val="none" w:sz="0" w:space="0" w:color="auto"/>
      </w:divBdr>
    </w:div>
    <w:div w:id="496848453">
      <w:bodyDiv w:val="1"/>
      <w:marLeft w:val="0"/>
      <w:marRight w:val="0"/>
      <w:marTop w:val="0"/>
      <w:marBottom w:val="0"/>
      <w:divBdr>
        <w:top w:val="none" w:sz="0" w:space="0" w:color="auto"/>
        <w:left w:val="none" w:sz="0" w:space="0" w:color="auto"/>
        <w:bottom w:val="none" w:sz="0" w:space="0" w:color="auto"/>
        <w:right w:val="none" w:sz="0" w:space="0" w:color="auto"/>
      </w:divBdr>
    </w:div>
    <w:div w:id="511921205">
      <w:bodyDiv w:val="1"/>
      <w:marLeft w:val="0"/>
      <w:marRight w:val="0"/>
      <w:marTop w:val="0"/>
      <w:marBottom w:val="0"/>
      <w:divBdr>
        <w:top w:val="none" w:sz="0" w:space="0" w:color="auto"/>
        <w:left w:val="none" w:sz="0" w:space="0" w:color="auto"/>
        <w:bottom w:val="none" w:sz="0" w:space="0" w:color="auto"/>
        <w:right w:val="none" w:sz="0" w:space="0" w:color="auto"/>
      </w:divBdr>
    </w:div>
    <w:div w:id="713584114">
      <w:bodyDiv w:val="1"/>
      <w:marLeft w:val="0"/>
      <w:marRight w:val="0"/>
      <w:marTop w:val="0"/>
      <w:marBottom w:val="0"/>
      <w:divBdr>
        <w:top w:val="none" w:sz="0" w:space="0" w:color="auto"/>
        <w:left w:val="none" w:sz="0" w:space="0" w:color="auto"/>
        <w:bottom w:val="none" w:sz="0" w:space="0" w:color="auto"/>
        <w:right w:val="none" w:sz="0" w:space="0" w:color="auto"/>
      </w:divBdr>
    </w:div>
    <w:div w:id="1117020748">
      <w:bodyDiv w:val="1"/>
      <w:marLeft w:val="0"/>
      <w:marRight w:val="0"/>
      <w:marTop w:val="0"/>
      <w:marBottom w:val="0"/>
      <w:divBdr>
        <w:top w:val="none" w:sz="0" w:space="0" w:color="auto"/>
        <w:left w:val="none" w:sz="0" w:space="0" w:color="auto"/>
        <w:bottom w:val="none" w:sz="0" w:space="0" w:color="auto"/>
        <w:right w:val="none" w:sz="0" w:space="0" w:color="auto"/>
      </w:divBdr>
      <w:divsChild>
        <w:div w:id="44916638">
          <w:marLeft w:val="446"/>
          <w:marRight w:val="0"/>
          <w:marTop w:val="0"/>
          <w:marBottom w:val="0"/>
          <w:divBdr>
            <w:top w:val="none" w:sz="0" w:space="0" w:color="auto"/>
            <w:left w:val="none" w:sz="0" w:space="0" w:color="auto"/>
            <w:bottom w:val="none" w:sz="0" w:space="0" w:color="auto"/>
            <w:right w:val="none" w:sz="0" w:space="0" w:color="auto"/>
          </w:divBdr>
        </w:div>
        <w:div w:id="716393856">
          <w:marLeft w:val="446"/>
          <w:marRight w:val="0"/>
          <w:marTop w:val="0"/>
          <w:marBottom w:val="0"/>
          <w:divBdr>
            <w:top w:val="none" w:sz="0" w:space="0" w:color="auto"/>
            <w:left w:val="none" w:sz="0" w:space="0" w:color="auto"/>
            <w:bottom w:val="none" w:sz="0" w:space="0" w:color="auto"/>
            <w:right w:val="none" w:sz="0" w:space="0" w:color="auto"/>
          </w:divBdr>
        </w:div>
        <w:div w:id="760445751">
          <w:marLeft w:val="446"/>
          <w:marRight w:val="0"/>
          <w:marTop w:val="0"/>
          <w:marBottom w:val="0"/>
          <w:divBdr>
            <w:top w:val="none" w:sz="0" w:space="0" w:color="auto"/>
            <w:left w:val="none" w:sz="0" w:space="0" w:color="auto"/>
            <w:bottom w:val="none" w:sz="0" w:space="0" w:color="auto"/>
            <w:right w:val="none" w:sz="0" w:space="0" w:color="auto"/>
          </w:divBdr>
        </w:div>
        <w:div w:id="1082727306">
          <w:marLeft w:val="446"/>
          <w:marRight w:val="0"/>
          <w:marTop w:val="0"/>
          <w:marBottom w:val="0"/>
          <w:divBdr>
            <w:top w:val="none" w:sz="0" w:space="0" w:color="auto"/>
            <w:left w:val="none" w:sz="0" w:space="0" w:color="auto"/>
            <w:bottom w:val="none" w:sz="0" w:space="0" w:color="auto"/>
            <w:right w:val="none" w:sz="0" w:space="0" w:color="auto"/>
          </w:divBdr>
        </w:div>
        <w:div w:id="1255437288">
          <w:marLeft w:val="446"/>
          <w:marRight w:val="0"/>
          <w:marTop w:val="0"/>
          <w:marBottom w:val="0"/>
          <w:divBdr>
            <w:top w:val="none" w:sz="0" w:space="0" w:color="auto"/>
            <w:left w:val="none" w:sz="0" w:space="0" w:color="auto"/>
            <w:bottom w:val="none" w:sz="0" w:space="0" w:color="auto"/>
            <w:right w:val="none" w:sz="0" w:space="0" w:color="auto"/>
          </w:divBdr>
        </w:div>
        <w:div w:id="1700547496">
          <w:marLeft w:val="446"/>
          <w:marRight w:val="0"/>
          <w:marTop w:val="0"/>
          <w:marBottom w:val="0"/>
          <w:divBdr>
            <w:top w:val="none" w:sz="0" w:space="0" w:color="auto"/>
            <w:left w:val="none" w:sz="0" w:space="0" w:color="auto"/>
            <w:bottom w:val="none" w:sz="0" w:space="0" w:color="auto"/>
            <w:right w:val="none" w:sz="0" w:space="0" w:color="auto"/>
          </w:divBdr>
        </w:div>
        <w:div w:id="1797327982">
          <w:marLeft w:val="446"/>
          <w:marRight w:val="0"/>
          <w:marTop w:val="0"/>
          <w:marBottom w:val="0"/>
          <w:divBdr>
            <w:top w:val="none" w:sz="0" w:space="0" w:color="auto"/>
            <w:left w:val="none" w:sz="0" w:space="0" w:color="auto"/>
            <w:bottom w:val="none" w:sz="0" w:space="0" w:color="auto"/>
            <w:right w:val="none" w:sz="0" w:space="0" w:color="auto"/>
          </w:divBdr>
        </w:div>
      </w:divsChild>
    </w:div>
    <w:div w:id="1627276444">
      <w:bodyDiv w:val="1"/>
      <w:marLeft w:val="0"/>
      <w:marRight w:val="0"/>
      <w:marTop w:val="0"/>
      <w:marBottom w:val="0"/>
      <w:divBdr>
        <w:top w:val="none" w:sz="0" w:space="0" w:color="auto"/>
        <w:left w:val="none" w:sz="0" w:space="0" w:color="auto"/>
        <w:bottom w:val="none" w:sz="0" w:space="0" w:color="auto"/>
        <w:right w:val="none" w:sz="0" w:space="0" w:color="auto"/>
      </w:divBdr>
    </w:div>
    <w:div w:id="1649629059">
      <w:bodyDiv w:val="1"/>
      <w:marLeft w:val="0"/>
      <w:marRight w:val="0"/>
      <w:marTop w:val="0"/>
      <w:marBottom w:val="0"/>
      <w:divBdr>
        <w:top w:val="none" w:sz="0" w:space="0" w:color="auto"/>
        <w:left w:val="none" w:sz="0" w:space="0" w:color="auto"/>
        <w:bottom w:val="none" w:sz="0" w:space="0" w:color="auto"/>
        <w:right w:val="none" w:sz="0" w:space="0" w:color="auto"/>
      </w:divBdr>
    </w:div>
    <w:div w:id="1707950508">
      <w:bodyDiv w:val="1"/>
      <w:marLeft w:val="0"/>
      <w:marRight w:val="0"/>
      <w:marTop w:val="0"/>
      <w:marBottom w:val="0"/>
      <w:divBdr>
        <w:top w:val="none" w:sz="0" w:space="0" w:color="auto"/>
        <w:left w:val="none" w:sz="0" w:space="0" w:color="auto"/>
        <w:bottom w:val="none" w:sz="0" w:space="0" w:color="auto"/>
        <w:right w:val="none" w:sz="0" w:space="0" w:color="auto"/>
      </w:divBdr>
    </w:div>
    <w:div w:id="1784497592">
      <w:bodyDiv w:val="1"/>
      <w:marLeft w:val="0"/>
      <w:marRight w:val="0"/>
      <w:marTop w:val="0"/>
      <w:marBottom w:val="0"/>
      <w:divBdr>
        <w:top w:val="none" w:sz="0" w:space="0" w:color="auto"/>
        <w:left w:val="none" w:sz="0" w:space="0" w:color="auto"/>
        <w:bottom w:val="none" w:sz="0" w:space="0" w:color="auto"/>
        <w:right w:val="none" w:sz="0" w:space="0" w:color="auto"/>
      </w:divBdr>
    </w:div>
    <w:div w:id="1835219369">
      <w:bodyDiv w:val="1"/>
      <w:marLeft w:val="0"/>
      <w:marRight w:val="0"/>
      <w:marTop w:val="0"/>
      <w:marBottom w:val="0"/>
      <w:divBdr>
        <w:top w:val="none" w:sz="0" w:space="0" w:color="auto"/>
        <w:left w:val="none" w:sz="0" w:space="0" w:color="auto"/>
        <w:bottom w:val="none" w:sz="0" w:space="0" w:color="auto"/>
        <w:right w:val="none" w:sz="0" w:space="0" w:color="auto"/>
      </w:divBdr>
    </w:div>
    <w:div w:id="1857040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3A8985-F459-46B6-8FF8-6F2A93775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1142</TotalTime>
  <Pages>8</Pages>
  <Words>1981</Words>
  <Characters>10899</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ldanderino</dc:creator>
  <cp:lastModifiedBy>Nancy Esperanza Montaña Molina</cp:lastModifiedBy>
  <cp:revision>11</cp:revision>
  <cp:lastPrinted>2017-07-11T19:34:00Z</cp:lastPrinted>
  <dcterms:created xsi:type="dcterms:W3CDTF">2017-08-17T21:29:00Z</dcterms:created>
  <dcterms:modified xsi:type="dcterms:W3CDTF">2017-08-24T19:26:00Z</dcterms:modified>
</cp:coreProperties>
</file>