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C1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sz w:val="22"/>
          <w:szCs w:val="22"/>
        </w:rPr>
        <w:tab/>
      </w:r>
      <w:r w:rsidRPr="003E6840">
        <w:rPr>
          <w:rFonts w:ascii="Arial" w:hAnsi="Arial" w:cs="Arial"/>
          <w:b/>
          <w:sz w:val="22"/>
          <w:szCs w:val="22"/>
        </w:rPr>
        <w:t>REPUBLICA DE COLOMBIA</w:t>
      </w: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>COMISIÓN NACIONAL DE CRÉDITO AGROPECUARIO</w:t>
      </w: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>RESOLUCIÓN No. ____ DE 2019</w:t>
      </w: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>(</w:t>
      </w:r>
      <w:r w:rsidR="00B95365" w:rsidRPr="003E6840">
        <w:rPr>
          <w:rFonts w:ascii="Arial" w:hAnsi="Arial" w:cs="Arial"/>
          <w:b/>
          <w:sz w:val="22"/>
          <w:szCs w:val="22"/>
        </w:rPr>
        <w:t>Junio</w:t>
      </w:r>
      <w:r w:rsidRPr="003E6840">
        <w:rPr>
          <w:rFonts w:ascii="Arial" w:hAnsi="Arial" w:cs="Arial"/>
          <w:b/>
          <w:sz w:val="22"/>
          <w:szCs w:val="22"/>
        </w:rPr>
        <w:t xml:space="preserve"> </w:t>
      </w:r>
      <w:r w:rsidR="00342A03" w:rsidRPr="003E6840">
        <w:rPr>
          <w:rFonts w:ascii="Arial" w:hAnsi="Arial" w:cs="Arial"/>
          <w:b/>
          <w:sz w:val="22"/>
          <w:szCs w:val="22"/>
        </w:rPr>
        <w:t>11</w:t>
      </w:r>
      <w:r w:rsidRPr="003E6840">
        <w:rPr>
          <w:rFonts w:ascii="Arial" w:hAnsi="Arial" w:cs="Arial"/>
          <w:b/>
          <w:sz w:val="22"/>
          <w:szCs w:val="22"/>
        </w:rPr>
        <w:t>)</w:t>
      </w: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</w:p>
    <w:p w:rsidR="00E90D1E" w:rsidRPr="003E6840" w:rsidRDefault="00E90D1E" w:rsidP="00E90D1E">
      <w:pPr>
        <w:jc w:val="center"/>
        <w:rPr>
          <w:rFonts w:ascii="Arial" w:hAnsi="Arial" w:cs="Arial"/>
          <w:sz w:val="22"/>
          <w:szCs w:val="22"/>
        </w:rPr>
      </w:pPr>
    </w:p>
    <w:p w:rsidR="00E90D1E" w:rsidRPr="003E6840" w:rsidRDefault="00E90D1E" w:rsidP="00E90D1E">
      <w:pPr>
        <w:jc w:val="center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sz w:val="22"/>
          <w:szCs w:val="22"/>
        </w:rPr>
        <w:t xml:space="preserve">Por la cual se </w:t>
      </w:r>
      <w:r w:rsidR="00F81F3A">
        <w:rPr>
          <w:rFonts w:ascii="Arial" w:hAnsi="Arial" w:cs="Arial"/>
          <w:sz w:val="22"/>
          <w:szCs w:val="22"/>
        </w:rPr>
        <w:t>modifica la Resolución 12 de 2018 “Por la cual se establece el Plan Anual de ICR y LEC para el Año 2019 y otras disposiciones”</w:t>
      </w:r>
      <w:r w:rsidR="00B95365" w:rsidRPr="003E6840">
        <w:rPr>
          <w:rFonts w:ascii="Arial" w:hAnsi="Arial" w:cs="Arial"/>
          <w:sz w:val="22"/>
          <w:szCs w:val="22"/>
        </w:rPr>
        <w:t>.</w:t>
      </w:r>
    </w:p>
    <w:p w:rsidR="00D353C1" w:rsidRPr="003E6840" w:rsidRDefault="00D353C1" w:rsidP="0072634E">
      <w:pPr>
        <w:jc w:val="both"/>
        <w:rPr>
          <w:rFonts w:ascii="Arial" w:hAnsi="Arial" w:cs="Arial"/>
          <w:sz w:val="22"/>
          <w:szCs w:val="22"/>
        </w:rPr>
      </w:pPr>
    </w:p>
    <w:p w:rsidR="00D353C1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>LA COMISIÓN NACIONAL DE CRÉDITO AGROPECUARIO</w:t>
      </w: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</w:p>
    <w:p w:rsidR="00E90D1E" w:rsidRPr="003E6840" w:rsidRDefault="00E90D1E" w:rsidP="00E90D1E">
      <w:pPr>
        <w:jc w:val="both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sz w:val="22"/>
          <w:szCs w:val="22"/>
        </w:rPr>
        <w:t>En ejercicio de las facultades conferidas por los artículos 218 y 220 del Estatuto Orgánico del Sistema Financiero, las Leyes 16 de 1990, 101 de 1993, 1133 de 2007, 1731 de 2014, el Decreto Ley 2371 de 2015 y los Decretos 1313 de 1990, 1071 de 2015, y</w:t>
      </w:r>
    </w:p>
    <w:p w:rsidR="00E90D1E" w:rsidRPr="003E6840" w:rsidRDefault="00E90D1E" w:rsidP="00E90D1E">
      <w:pPr>
        <w:jc w:val="both"/>
        <w:rPr>
          <w:rFonts w:ascii="Arial" w:hAnsi="Arial" w:cs="Arial"/>
          <w:sz w:val="22"/>
          <w:szCs w:val="22"/>
        </w:rPr>
      </w:pPr>
    </w:p>
    <w:p w:rsidR="00E90D1E" w:rsidRPr="003E6840" w:rsidRDefault="00E90D1E" w:rsidP="00E90D1E">
      <w:pPr>
        <w:jc w:val="center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>CONSIDERANDO</w:t>
      </w:r>
    </w:p>
    <w:p w:rsidR="006E4B69" w:rsidRPr="003E6840" w:rsidRDefault="006E4B69" w:rsidP="00E90D1E">
      <w:pPr>
        <w:jc w:val="both"/>
        <w:rPr>
          <w:rFonts w:ascii="Arial" w:hAnsi="Arial" w:cs="Arial"/>
          <w:b/>
          <w:sz w:val="22"/>
          <w:szCs w:val="22"/>
        </w:rPr>
      </w:pPr>
    </w:p>
    <w:p w:rsidR="00767D2C" w:rsidRPr="003E6840" w:rsidRDefault="00767D2C" w:rsidP="00E90D1E">
      <w:pPr>
        <w:jc w:val="both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 xml:space="preserve">Primero. </w:t>
      </w:r>
      <w:r w:rsidRPr="003E6840">
        <w:rPr>
          <w:rFonts w:ascii="Arial" w:hAnsi="Arial" w:cs="Arial"/>
          <w:sz w:val="22"/>
          <w:szCs w:val="22"/>
        </w:rPr>
        <w:t>Que de acuerdo con lo dispuesto en l</w:t>
      </w:r>
      <w:r w:rsidR="00AF1F3C" w:rsidRPr="003E6840">
        <w:rPr>
          <w:rFonts w:ascii="Arial" w:hAnsi="Arial" w:cs="Arial"/>
          <w:sz w:val="22"/>
          <w:szCs w:val="22"/>
        </w:rPr>
        <w:t xml:space="preserve">os </w:t>
      </w:r>
      <w:r w:rsidR="00E27CA4" w:rsidRPr="003E6840">
        <w:rPr>
          <w:rFonts w:ascii="Arial" w:hAnsi="Arial" w:cs="Arial"/>
          <w:sz w:val="22"/>
          <w:szCs w:val="22"/>
        </w:rPr>
        <w:t xml:space="preserve"> literal</w:t>
      </w:r>
      <w:r w:rsidR="00AF1F3C" w:rsidRPr="003E6840">
        <w:rPr>
          <w:rFonts w:ascii="Arial" w:hAnsi="Arial" w:cs="Arial"/>
          <w:sz w:val="22"/>
          <w:szCs w:val="22"/>
        </w:rPr>
        <w:t xml:space="preserve">es b., c., f. y </w:t>
      </w:r>
      <w:r w:rsidR="00682874" w:rsidRPr="003E6840">
        <w:rPr>
          <w:rFonts w:ascii="Arial" w:hAnsi="Arial" w:cs="Arial"/>
          <w:sz w:val="22"/>
          <w:szCs w:val="22"/>
        </w:rPr>
        <w:t>n</w:t>
      </w:r>
      <w:r w:rsidR="00AF1F3C" w:rsidRPr="003E6840">
        <w:rPr>
          <w:rFonts w:ascii="Arial" w:hAnsi="Arial" w:cs="Arial"/>
          <w:sz w:val="22"/>
          <w:szCs w:val="22"/>
        </w:rPr>
        <w:t>.</w:t>
      </w:r>
      <w:r w:rsidR="00E27CA4" w:rsidRPr="003E6840">
        <w:rPr>
          <w:rFonts w:ascii="Arial" w:hAnsi="Arial" w:cs="Arial"/>
          <w:sz w:val="22"/>
          <w:szCs w:val="22"/>
        </w:rPr>
        <w:t xml:space="preserve"> del</w:t>
      </w:r>
      <w:r w:rsidR="00FB5DF9" w:rsidRPr="003E6840">
        <w:rPr>
          <w:rFonts w:ascii="Arial" w:hAnsi="Arial" w:cs="Arial"/>
          <w:sz w:val="22"/>
          <w:szCs w:val="22"/>
        </w:rPr>
        <w:t xml:space="preserve"> numeral 2) del artículo </w:t>
      </w:r>
      <w:r w:rsidRPr="003E6840">
        <w:rPr>
          <w:rFonts w:ascii="Arial" w:hAnsi="Arial" w:cs="Arial"/>
          <w:sz w:val="22"/>
          <w:szCs w:val="22"/>
        </w:rPr>
        <w:t xml:space="preserve">218 del Estatuto Orgánico del Sistema Financiero, </w:t>
      </w:r>
      <w:r w:rsidR="001D34F5" w:rsidRPr="003E6840">
        <w:rPr>
          <w:rFonts w:ascii="Arial" w:hAnsi="Arial" w:cs="Arial"/>
          <w:sz w:val="22"/>
          <w:szCs w:val="22"/>
        </w:rPr>
        <w:t>en su actual redacción</w:t>
      </w:r>
      <w:r w:rsidRPr="003E6840">
        <w:rPr>
          <w:rFonts w:ascii="Arial" w:hAnsi="Arial" w:cs="Arial"/>
          <w:sz w:val="22"/>
          <w:szCs w:val="22"/>
        </w:rPr>
        <w:t xml:space="preserve">, la Comisión Nacional de Crédito </w:t>
      </w:r>
      <w:r w:rsidR="00F32161" w:rsidRPr="003E6840">
        <w:rPr>
          <w:rFonts w:ascii="Arial" w:hAnsi="Arial" w:cs="Arial"/>
          <w:sz w:val="22"/>
          <w:szCs w:val="22"/>
        </w:rPr>
        <w:t>Agropecuario</w:t>
      </w:r>
      <w:r w:rsidR="007C4286">
        <w:rPr>
          <w:rFonts w:ascii="Arial" w:hAnsi="Arial" w:cs="Arial"/>
          <w:sz w:val="22"/>
          <w:szCs w:val="22"/>
        </w:rPr>
        <w:t xml:space="preserve"> - CNCA</w:t>
      </w:r>
      <w:r w:rsidR="00F32161" w:rsidRPr="003E6840">
        <w:rPr>
          <w:rFonts w:ascii="Arial" w:hAnsi="Arial" w:cs="Arial"/>
          <w:sz w:val="22"/>
          <w:szCs w:val="22"/>
        </w:rPr>
        <w:t xml:space="preserve">, en su condición de organismo rector del financiamiento del sector agropecuario, </w:t>
      </w:r>
      <w:r w:rsidR="00682874" w:rsidRPr="003E6840">
        <w:rPr>
          <w:rFonts w:ascii="Arial" w:hAnsi="Arial" w:cs="Arial"/>
          <w:sz w:val="22"/>
          <w:szCs w:val="22"/>
        </w:rPr>
        <w:t xml:space="preserve">esta </w:t>
      </w:r>
      <w:r w:rsidRPr="003E6840">
        <w:rPr>
          <w:rFonts w:ascii="Arial" w:hAnsi="Arial" w:cs="Arial"/>
          <w:sz w:val="22"/>
          <w:szCs w:val="22"/>
        </w:rPr>
        <w:t>podrá:</w:t>
      </w:r>
    </w:p>
    <w:p w:rsidR="00767D2C" w:rsidRPr="003E6840" w:rsidRDefault="00767D2C" w:rsidP="00E90D1E">
      <w:pPr>
        <w:jc w:val="both"/>
        <w:rPr>
          <w:rFonts w:ascii="Arial" w:hAnsi="Arial" w:cs="Arial"/>
          <w:sz w:val="22"/>
          <w:szCs w:val="22"/>
        </w:rPr>
      </w:pPr>
    </w:p>
    <w:p w:rsidR="00AF1F3C" w:rsidRPr="003E6840" w:rsidRDefault="00F60BD3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>“</w:t>
      </w:r>
      <w:r w:rsidR="00AF1F3C" w:rsidRPr="003E6840">
        <w:rPr>
          <w:rFonts w:ascii="Arial" w:hAnsi="Arial" w:cs="Arial"/>
          <w:i/>
          <w:sz w:val="22"/>
          <w:szCs w:val="22"/>
        </w:rPr>
        <w:t>(…)</w:t>
      </w: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>b. Establecer las actividades, los costos y los porcentajes de estos últimos que podrán ser objeto de financiación por parte de las entidades que integran el Sistema Nacional de Crédito Agropecuario.</w:t>
      </w: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>c. Fijar, dentro de los límites de carácter general que señale la Junta Directiva del Banco de la República, las políticas sobre las tasas de interés que se cobrarán a los usuarios del crédito por parte de las entidades que integran el Sistema Nacional de Crédito Agropecuario.</w:t>
      </w: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>(…)</w:t>
      </w: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>f. Fijar las tasas y márgenes de redescuento de las operaciones que apruebe Finagro.</w:t>
      </w: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 xml:space="preserve">(…)  </w:t>
      </w:r>
    </w:p>
    <w:p w:rsidR="00AF1F3C" w:rsidRPr="003E6840" w:rsidRDefault="00AF1F3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767D2C" w:rsidRPr="003E6840" w:rsidRDefault="00682874" w:rsidP="00E90D1E">
      <w:pPr>
        <w:jc w:val="both"/>
        <w:rPr>
          <w:rFonts w:ascii="Arial" w:hAnsi="Arial" w:cs="Arial"/>
          <w:i/>
          <w:sz w:val="22"/>
          <w:szCs w:val="22"/>
        </w:rPr>
      </w:pPr>
      <w:r w:rsidRPr="003E6840">
        <w:rPr>
          <w:rFonts w:ascii="Arial" w:hAnsi="Arial" w:cs="Arial"/>
          <w:i/>
          <w:sz w:val="22"/>
          <w:szCs w:val="22"/>
        </w:rPr>
        <w:t>n</w:t>
      </w:r>
      <w:r w:rsidR="008B5ED8" w:rsidRPr="003E6840">
        <w:rPr>
          <w:rFonts w:ascii="Arial" w:hAnsi="Arial" w:cs="Arial"/>
          <w:i/>
          <w:sz w:val="22"/>
          <w:szCs w:val="22"/>
        </w:rPr>
        <w:t>.</w:t>
      </w:r>
      <w:r w:rsidR="00F60BD3" w:rsidRPr="003E6840">
        <w:rPr>
          <w:rFonts w:ascii="Arial" w:hAnsi="Arial" w:cs="Arial"/>
          <w:i/>
          <w:sz w:val="22"/>
          <w:szCs w:val="22"/>
        </w:rPr>
        <w:t xml:space="preserve"> </w:t>
      </w:r>
      <w:r w:rsidR="00767D2C" w:rsidRPr="003E6840">
        <w:rPr>
          <w:rFonts w:ascii="Arial" w:hAnsi="Arial" w:cs="Arial"/>
          <w:i/>
          <w:sz w:val="22"/>
          <w:szCs w:val="22"/>
        </w:rPr>
        <w:t xml:space="preserve">Establecer </w:t>
      </w:r>
      <w:r w:rsidRPr="003E6840">
        <w:rPr>
          <w:rFonts w:ascii="Arial" w:hAnsi="Arial" w:cs="Arial"/>
          <w:i/>
          <w:sz w:val="22"/>
          <w:szCs w:val="22"/>
        </w:rPr>
        <w:t>con base en la política trazada por el Ministerio de Agricultura y Desarrollo Rural, los términos y las condiciones financieras de las Líneas Especiales de Crédito- LEC, del Incentivo a la Capitalización Rural – ICR y de otros incentivos o subsidios del Estado que estén relacionados exclusivamente con el crédito y/o riesgo agropecuario rural</w:t>
      </w:r>
      <w:r w:rsidR="00767D2C" w:rsidRPr="003E6840">
        <w:rPr>
          <w:rFonts w:ascii="Arial" w:hAnsi="Arial" w:cs="Arial"/>
          <w:i/>
          <w:sz w:val="22"/>
          <w:szCs w:val="22"/>
        </w:rPr>
        <w:t>.</w:t>
      </w:r>
      <w:r w:rsidR="00CC2B38" w:rsidRPr="003E6840">
        <w:rPr>
          <w:rFonts w:ascii="Arial" w:hAnsi="Arial" w:cs="Arial"/>
          <w:i/>
          <w:sz w:val="22"/>
          <w:szCs w:val="22"/>
        </w:rPr>
        <w:t>”</w:t>
      </w:r>
    </w:p>
    <w:p w:rsidR="00767D2C" w:rsidRPr="003E6840" w:rsidRDefault="00767D2C" w:rsidP="00E90D1E">
      <w:pPr>
        <w:jc w:val="both"/>
        <w:rPr>
          <w:rFonts w:ascii="Arial" w:hAnsi="Arial" w:cs="Arial"/>
          <w:i/>
          <w:sz w:val="22"/>
          <w:szCs w:val="22"/>
        </w:rPr>
      </w:pPr>
    </w:p>
    <w:p w:rsidR="00767D2C" w:rsidRPr="003E6840" w:rsidRDefault="00767D2C" w:rsidP="00E90D1E">
      <w:pPr>
        <w:jc w:val="both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 xml:space="preserve">Segundo. </w:t>
      </w:r>
      <w:r w:rsidRPr="003E6840">
        <w:rPr>
          <w:rFonts w:ascii="Arial" w:hAnsi="Arial" w:cs="Arial"/>
          <w:sz w:val="22"/>
          <w:szCs w:val="22"/>
        </w:rPr>
        <w:t xml:space="preserve">Que </w:t>
      </w:r>
      <w:r w:rsidR="00071417" w:rsidRPr="003E6840">
        <w:rPr>
          <w:rFonts w:ascii="Arial" w:hAnsi="Arial" w:cs="Arial"/>
          <w:sz w:val="22"/>
          <w:szCs w:val="22"/>
        </w:rPr>
        <w:t xml:space="preserve">de acuerdo </w:t>
      </w:r>
      <w:r w:rsidR="0047460F" w:rsidRPr="003E6840">
        <w:rPr>
          <w:rFonts w:ascii="Arial" w:hAnsi="Arial" w:cs="Arial"/>
          <w:sz w:val="22"/>
          <w:szCs w:val="22"/>
        </w:rPr>
        <w:t>con lo dispuesto en el</w:t>
      </w:r>
      <w:r w:rsidR="00DA45D2" w:rsidRPr="003E6840">
        <w:rPr>
          <w:rFonts w:ascii="Arial" w:hAnsi="Arial" w:cs="Arial"/>
          <w:sz w:val="22"/>
          <w:szCs w:val="22"/>
        </w:rPr>
        <w:t xml:space="preserve"> artículo 220 del Estatuto Orgánico del Sistema Financiero, </w:t>
      </w:r>
      <w:r w:rsidR="00DA45D2" w:rsidRPr="003E6840">
        <w:rPr>
          <w:rFonts w:ascii="Arial" w:hAnsi="Arial" w:cs="Arial"/>
          <w:i/>
          <w:sz w:val="22"/>
          <w:szCs w:val="22"/>
        </w:rPr>
        <w:t xml:space="preserve">“La Comisión Nacional de Crédito Agropecuario definirá las líneas de crédito que otorgarán las entidades que integran el Sistema Nacional de Crédito Agropecuario, y las instituciones bancarias y financieras debidamente autorizadas por la </w:t>
      </w:r>
      <w:r w:rsidR="00DA45D2" w:rsidRPr="003E6840">
        <w:rPr>
          <w:rFonts w:ascii="Arial" w:hAnsi="Arial" w:cs="Arial"/>
          <w:i/>
          <w:sz w:val="22"/>
          <w:szCs w:val="22"/>
        </w:rPr>
        <w:lastRenderedPageBreak/>
        <w:t>Superintendencia Bancaria, para conceder créditos con destino al sector agropecuario, afines y similares (…)”.</w:t>
      </w:r>
      <w:r w:rsidR="0047460F" w:rsidRPr="003E6840">
        <w:rPr>
          <w:rFonts w:ascii="Arial" w:hAnsi="Arial" w:cs="Arial"/>
          <w:sz w:val="22"/>
          <w:szCs w:val="22"/>
        </w:rPr>
        <w:t xml:space="preserve"> </w:t>
      </w:r>
    </w:p>
    <w:p w:rsidR="006E4B69" w:rsidRPr="003E6840" w:rsidRDefault="006E4B69" w:rsidP="00E90D1E">
      <w:pPr>
        <w:jc w:val="both"/>
        <w:rPr>
          <w:rFonts w:ascii="Arial" w:hAnsi="Arial" w:cs="Arial"/>
          <w:b/>
          <w:sz w:val="22"/>
          <w:szCs w:val="22"/>
        </w:rPr>
      </w:pPr>
    </w:p>
    <w:p w:rsidR="006439D2" w:rsidRDefault="001D34F5" w:rsidP="009E3066">
      <w:pPr>
        <w:jc w:val="both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 xml:space="preserve">Tercero. </w:t>
      </w:r>
      <w:r w:rsidR="009E3066">
        <w:rPr>
          <w:rFonts w:ascii="Arial" w:hAnsi="Arial" w:cs="Arial"/>
          <w:sz w:val="22"/>
          <w:szCs w:val="22"/>
        </w:rPr>
        <w:t>Que los productores</w:t>
      </w:r>
      <w:r w:rsidR="009E3066" w:rsidRPr="002426D0">
        <w:rPr>
          <w:rFonts w:ascii="Arial" w:hAnsi="Arial" w:cs="Arial"/>
          <w:sz w:val="22"/>
          <w:szCs w:val="22"/>
        </w:rPr>
        <w:t xml:space="preserve"> cafeteros han </w:t>
      </w:r>
      <w:r w:rsidR="009E3066">
        <w:rPr>
          <w:rFonts w:ascii="Arial" w:hAnsi="Arial" w:cs="Arial"/>
          <w:sz w:val="22"/>
          <w:szCs w:val="22"/>
        </w:rPr>
        <w:t>v</w:t>
      </w:r>
      <w:r w:rsidR="00D14191">
        <w:rPr>
          <w:rFonts w:ascii="Arial" w:hAnsi="Arial" w:cs="Arial"/>
          <w:sz w:val="22"/>
          <w:szCs w:val="22"/>
        </w:rPr>
        <w:t>isto disminuidos sus ingresos</w:t>
      </w:r>
      <w:r w:rsidR="009E3066" w:rsidRPr="002426D0">
        <w:rPr>
          <w:rFonts w:ascii="Arial" w:hAnsi="Arial" w:cs="Arial"/>
          <w:sz w:val="22"/>
          <w:szCs w:val="22"/>
        </w:rPr>
        <w:t xml:space="preserve"> desde hace más de seis meses, lo </w:t>
      </w:r>
      <w:r w:rsidR="009E3066">
        <w:rPr>
          <w:rFonts w:ascii="Arial" w:hAnsi="Arial" w:cs="Arial"/>
          <w:sz w:val="22"/>
          <w:szCs w:val="22"/>
        </w:rPr>
        <w:t xml:space="preserve">cual ha </w:t>
      </w:r>
      <w:r w:rsidR="009E3066" w:rsidRPr="002426D0">
        <w:rPr>
          <w:rFonts w:ascii="Arial" w:hAnsi="Arial" w:cs="Arial"/>
          <w:sz w:val="22"/>
          <w:szCs w:val="22"/>
        </w:rPr>
        <w:t>afecta</w:t>
      </w:r>
      <w:r w:rsidR="009E3066">
        <w:rPr>
          <w:rFonts w:ascii="Arial" w:hAnsi="Arial" w:cs="Arial"/>
          <w:sz w:val="22"/>
          <w:szCs w:val="22"/>
        </w:rPr>
        <w:t>do</w:t>
      </w:r>
      <w:r w:rsidR="009E3066" w:rsidRPr="002426D0">
        <w:rPr>
          <w:rFonts w:ascii="Arial" w:hAnsi="Arial" w:cs="Arial"/>
          <w:sz w:val="22"/>
          <w:szCs w:val="22"/>
        </w:rPr>
        <w:t xml:space="preserve"> la rentabilidad de</w:t>
      </w:r>
      <w:r w:rsidR="00156504">
        <w:rPr>
          <w:rFonts w:ascii="Arial" w:hAnsi="Arial" w:cs="Arial"/>
          <w:sz w:val="22"/>
          <w:szCs w:val="22"/>
        </w:rPr>
        <w:t xml:space="preserve"> su actividad </w:t>
      </w:r>
      <w:r w:rsidR="009E3066" w:rsidRPr="002426D0">
        <w:rPr>
          <w:rFonts w:ascii="Arial" w:hAnsi="Arial" w:cs="Arial"/>
          <w:sz w:val="22"/>
          <w:szCs w:val="22"/>
        </w:rPr>
        <w:t xml:space="preserve">y </w:t>
      </w:r>
      <w:r w:rsidR="00270C61">
        <w:rPr>
          <w:rFonts w:ascii="Arial" w:hAnsi="Arial" w:cs="Arial"/>
          <w:sz w:val="22"/>
          <w:szCs w:val="22"/>
        </w:rPr>
        <w:t xml:space="preserve">les </w:t>
      </w:r>
      <w:r w:rsidR="009E3066" w:rsidRPr="002426D0">
        <w:rPr>
          <w:rFonts w:ascii="Arial" w:hAnsi="Arial" w:cs="Arial"/>
          <w:sz w:val="22"/>
          <w:szCs w:val="22"/>
        </w:rPr>
        <w:t xml:space="preserve">dificulta cumplir con las obligaciones derivadas de los créditos que financian la </w:t>
      </w:r>
      <w:r w:rsidR="00270C61">
        <w:rPr>
          <w:rFonts w:ascii="Arial" w:hAnsi="Arial" w:cs="Arial"/>
          <w:sz w:val="22"/>
          <w:szCs w:val="22"/>
        </w:rPr>
        <w:t>misma</w:t>
      </w:r>
      <w:bookmarkStart w:id="0" w:name="_GoBack"/>
      <w:bookmarkEnd w:id="0"/>
      <w:r w:rsidR="009E3066">
        <w:rPr>
          <w:rFonts w:ascii="Arial" w:hAnsi="Arial" w:cs="Arial"/>
          <w:sz w:val="22"/>
          <w:szCs w:val="22"/>
        </w:rPr>
        <w:t xml:space="preserve">. </w:t>
      </w:r>
      <w:r w:rsidR="00676845" w:rsidRPr="003E6840">
        <w:rPr>
          <w:rFonts w:ascii="Arial" w:hAnsi="Arial" w:cs="Arial"/>
          <w:sz w:val="22"/>
          <w:szCs w:val="22"/>
        </w:rPr>
        <w:t xml:space="preserve">Por lo anterior, </w:t>
      </w:r>
      <w:r w:rsidR="006439D2">
        <w:rPr>
          <w:rFonts w:ascii="Arial" w:hAnsi="Arial" w:cs="Arial"/>
          <w:sz w:val="22"/>
          <w:szCs w:val="22"/>
        </w:rPr>
        <w:t>se propone la creación de unas condiciones especiales dentro de la Línea Especial de Crédito General (LEC General) para incentivar el desarrollo de actividades complementarias por parte de productores de café</w:t>
      </w:r>
      <w:r w:rsidR="008608AE">
        <w:rPr>
          <w:rFonts w:ascii="Arial" w:hAnsi="Arial" w:cs="Arial"/>
          <w:sz w:val="22"/>
          <w:szCs w:val="22"/>
        </w:rPr>
        <w:t>,</w:t>
      </w:r>
      <w:r w:rsidR="006439D2">
        <w:rPr>
          <w:rFonts w:ascii="Arial" w:hAnsi="Arial" w:cs="Arial"/>
          <w:sz w:val="22"/>
          <w:szCs w:val="22"/>
        </w:rPr>
        <w:t xml:space="preserve"> con el fin de que puedan mitigar los riesgos de su actividad y tener una fuente alternativa de ingresos.</w:t>
      </w:r>
    </w:p>
    <w:p w:rsidR="00A63C0E" w:rsidRPr="003E6840" w:rsidRDefault="00BA17F2" w:rsidP="00BA17F2">
      <w:pPr>
        <w:tabs>
          <w:tab w:val="left" w:pos="6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0C98" w:rsidRDefault="00A63C0E" w:rsidP="00F34D5F">
      <w:pPr>
        <w:jc w:val="both"/>
        <w:rPr>
          <w:rFonts w:ascii="Arial" w:hAnsi="Arial" w:cs="Arial"/>
          <w:sz w:val="22"/>
          <w:szCs w:val="22"/>
        </w:rPr>
      </w:pPr>
      <w:r w:rsidRPr="000D7FF5">
        <w:rPr>
          <w:rFonts w:ascii="Arial" w:hAnsi="Arial" w:cs="Arial"/>
          <w:b/>
          <w:sz w:val="22"/>
          <w:szCs w:val="22"/>
        </w:rPr>
        <w:t xml:space="preserve">Cuarto. </w:t>
      </w:r>
      <w:r w:rsidR="00A54FDF" w:rsidRPr="000D7FF5">
        <w:rPr>
          <w:rFonts w:ascii="Arial" w:hAnsi="Arial" w:cs="Arial"/>
          <w:sz w:val="22"/>
          <w:szCs w:val="22"/>
        </w:rPr>
        <w:t>Que e</w:t>
      </w:r>
      <w:r w:rsidR="004027C4">
        <w:rPr>
          <w:rFonts w:ascii="Arial" w:hAnsi="Arial" w:cs="Arial"/>
          <w:sz w:val="22"/>
          <w:szCs w:val="22"/>
        </w:rPr>
        <w:t>n coordinación con la política de</w:t>
      </w:r>
      <w:r w:rsidR="004027C4" w:rsidRPr="004C4016">
        <w:rPr>
          <w:rFonts w:ascii="Arial" w:hAnsi="Arial" w:cs="Arial"/>
          <w:sz w:val="22"/>
          <w:szCs w:val="22"/>
        </w:rPr>
        <w:t>l Ministerio de Agricultura y Desarrollo Rural</w:t>
      </w:r>
      <w:r w:rsidR="004027C4">
        <w:rPr>
          <w:rFonts w:ascii="Arial" w:hAnsi="Arial" w:cs="Arial"/>
          <w:sz w:val="22"/>
          <w:szCs w:val="22"/>
        </w:rPr>
        <w:t xml:space="preserve"> -MADR- se </w:t>
      </w:r>
      <w:r w:rsidR="00BA17F2">
        <w:rPr>
          <w:rFonts w:ascii="Arial" w:hAnsi="Arial" w:cs="Arial"/>
          <w:sz w:val="22"/>
          <w:szCs w:val="22"/>
        </w:rPr>
        <w:t xml:space="preserve">considera </w:t>
      </w:r>
      <w:r w:rsidR="00A54FDF" w:rsidRPr="000D7FF5">
        <w:rPr>
          <w:rFonts w:ascii="Arial" w:hAnsi="Arial" w:cs="Arial"/>
          <w:sz w:val="22"/>
          <w:szCs w:val="22"/>
        </w:rPr>
        <w:t>ampliar la LEC General</w:t>
      </w:r>
      <w:r w:rsidR="00A54EB8">
        <w:rPr>
          <w:rFonts w:ascii="Arial" w:hAnsi="Arial" w:cs="Arial"/>
          <w:sz w:val="22"/>
          <w:szCs w:val="22"/>
        </w:rPr>
        <w:t>,</w:t>
      </w:r>
      <w:r w:rsidR="00A54EB8" w:rsidRPr="00A54E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4EB8" w:rsidRPr="000D7FF5">
        <w:rPr>
          <w:rFonts w:ascii="Arial" w:hAnsi="Arial" w:cs="Arial"/>
          <w:color w:val="000000" w:themeColor="text1"/>
          <w:sz w:val="22"/>
          <w:szCs w:val="22"/>
        </w:rPr>
        <w:t xml:space="preserve">contemplada en la Resolución </w:t>
      </w:r>
      <w:r w:rsidR="00F36F1D">
        <w:rPr>
          <w:rFonts w:ascii="Arial" w:hAnsi="Arial" w:cs="Arial"/>
          <w:color w:val="000000" w:themeColor="text1"/>
          <w:sz w:val="22"/>
          <w:szCs w:val="22"/>
        </w:rPr>
        <w:t xml:space="preserve">No. </w:t>
      </w:r>
      <w:r w:rsidR="00A54EB8" w:rsidRPr="000D7FF5">
        <w:rPr>
          <w:rFonts w:ascii="Arial" w:hAnsi="Arial" w:cs="Arial"/>
          <w:color w:val="000000" w:themeColor="text1"/>
          <w:sz w:val="22"/>
          <w:szCs w:val="22"/>
        </w:rPr>
        <w:t>12 de 2018 de la CNCA</w:t>
      </w:r>
      <w:r w:rsidR="00A54EB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54FDF" w:rsidRPr="000D7FF5">
        <w:rPr>
          <w:rFonts w:ascii="Arial" w:hAnsi="Arial" w:cs="Arial"/>
          <w:sz w:val="22"/>
          <w:szCs w:val="22"/>
        </w:rPr>
        <w:t xml:space="preserve">para otorgar un subsidio especial a la tasa de interés, de carácter temporal, para incentivar </w:t>
      </w:r>
      <w:r w:rsidR="00AA46F7">
        <w:rPr>
          <w:rFonts w:ascii="Arial" w:hAnsi="Arial" w:cs="Arial"/>
          <w:sz w:val="22"/>
          <w:szCs w:val="22"/>
        </w:rPr>
        <w:t xml:space="preserve">en los productores cafeteros </w:t>
      </w:r>
      <w:r w:rsidR="00A54FDF" w:rsidRPr="000D7FF5">
        <w:rPr>
          <w:rFonts w:ascii="Arial" w:hAnsi="Arial" w:cs="Arial"/>
          <w:sz w:val="22"/>
          <w:szCs w:val="22"/>
        </w:rPr>
        <w:t xml:space="preserve">el desarrollo de actividades complementarias. </w:t>
      </w:r>
    </w:p>
    <w:p w:rsidR="00F36F1D" w:rsidRDefault="00F36F1D" w:rsidP="00F34D5F">
      <w:pPr>
        <w:jc w:val="both"/>
        <w:rPr>
          <w:rFonts w:ascii="Arial" w:hAnsi="Arial" w:cs="Arial"/>
          <w:b/>
          <w:sz w:val="22"/>
          <w:szCs w:val="22"/>
        </w:rPr>
      </w:pPr>
    </w:p>
    <w:p w:rsidR="00F34D5F" w:rsidRPr="003E6840" w:rsidRDefault="0056121E" w:rsidP="00F34D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Quinto. </w:t>
      </w:r>
      <w:r w:rsidR="00F34D5F" w:rsidRPr="003E6840">
        <w:rPr>
          <w:rFonts w:ascii="Arial" w:hAnsi="Arial" w:cs="Arial"/>
          <w:sz w:val="22"/>
          <w:szCs w:val="22"/>
        </w:rPr>
        <w:t xml:space="preserve">Que el proyecto de Resolución </w:t>
      </w:r>
      <w:r w:rsidR="00F34D5F" w:rsidRPr="003E6840">
        <w:rPr>
          <w:rFonts w:ascii="Arial" w:hAnsi="Arial" w:cs="Arial"/>
          <w:i/>
          <w:sz w:val="22"/>
          <w:szCs w:val="22"/>
        </w:rPr>
        <w:t>“</w:t>
      </w:r>
      <w:r w:rsidR="00D02512" w:rsidRPr="003E6840">
        <w:rPr>
          <w:rFonts w:ascii="Arial" w:hAnsi="Arial" w:cs="Arial"/>
          <w:sz w:val="22"/>
          <w:szCs w:val="22"/>
        </w:rPr>
        <w:t xml:space="preserve">Por la cual se </w:t>
      </w:r>
      <w:r w:rsidR="00D02512">
        <w:rPr>
          <w:rFonts w:ascii="Arial" w:hAnsi="Arial" w:cs="Arial"/>
          <w:sz w:val="22"/>
          <w:szCs w:val="22"/>
        </w:rPr>
        <w:t xml:space="preserve">modifica la Resolución </w:t>
      </w:r>
      <w:r w:rsidR="00F36F1D">
        <w:rPr>
          <w:rFonts w:ascii="Arial" w:hAnsi="Arial" w:cs="Arial"/>
          <w:sz w:val="22"/>
          <w:szCs w:val="22"/>
        </w:rPr>
        <w:t xml:space="preserve">No. </w:t>
      </w:r>
      <w:r w:rsidR="00D02512">
        <w:rPr>
          <w:rFonts w:ascii="Arial" w:hAnsi="Arial" w:cs="Arial"/>
          <w:sz w:val="22"/>
          <w:szCs w:val="22"/>
        </w:rPr>
        <w:t>12 de 2018 “Por la cual se establece el Plan Anual de ICR y LEC para el Año 2019 y otras disposiciones”</w:t>
      </w:r>
      <w:r w:rsidR="00F34D5F" w:rsidRPr="003E6840">
        <w:rPr>
          <w:rFonts w:ascii="Arial" w:hAnsi="Arial" w:cs="Arial"/>
          <w:i/>
          <w:sz w:val="22"/>
          <w:szCs w:val="22"/>
        </w:rPr>
        <w:t xml:space="preserve">, </w:t>
      </w:r>
      <w:r w:rsidR="00F34D5F" w:rsidRPr="003E6840">
        <w:rPr>
          <w:rFonts w:ascii="Arial" w:hAnsi="Arial" w:cs="Arial"/>
          <w:sz w:val="22"/>
          <w:szCs w:val="22"/>
        </w:rPr>
        <w:t xml:space="preserve">estuvo publicado en la página </w:t>
      </w:r>
      <w:r w:rsidR="00464328" w:rsidRPr="003E6840">
        <w:rPr>
          <w:rFonts w:ascii="Arial" w:hAnsi="Arial" w:cs="Arial"/>
          <w:sz w:val="22"/>
          <w:szCs w:val="22"/>
        </w:rPr>
        <w:t>web</w:t>
      </w:r>
      <w:r w:rsidR="00F34D5F" w:rsidRPr="003E6840">
        <w:rPr>
          <w:rFonts w:ascii="Arial" w:hAnsi="Arial" w:cs="Arial"/>
          <w:sz w:val="22"/>
          <w:szCs w:val="22"/>
        </w:rPr>
        <w:t xml:space="preserve"> de FINAGRO para comentarios.</w:t>
      </w:r>
    </w:p>
    <w:p w:rsidR="00F34D5F" w:rsidRPr="003E6840" w:rsidRDefault="00F34D5F" w:rsidP="00F34D5F">
      <w:pPr>
        <w:jc w:val="both"/>
        <w:rPr>
          <w:rFonts w:ascii="Arial" w:hAnsi="Arial" w:cs="Arial"/>
          <w:sz w:val="22"/>
          <w:szCs w:val="22"/>
        </w:rPr>
      </w:pPr>
    </w:p>
    <w:p w:rsidR="00F34D5F" w:rsidRPr="003E6840" w:rsidRDefault="0056121E" w:rsidP="00F34D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</w:t>
      </w:r>
      <w:r w:rsidR="00F34D5F" w:rsidRPr="003E6840">
        <w:rPr>
          <w:rFonts w:ascii="Arial" w:hAnsi="Arial" w:cs="Arial"/>
          <w:b/>
          <w:sz w:val="22"/>
          <w:szCs w:val="22"/>
        </w:rPr>
        <w:t xml:space="preserve">to. </w:t>
      </w:r>
      <w:r w:rsidR="00F34D5F" w:rsidRPr="003E6840">
        <w:rPr>
          <w:rFonts w:ascii="Arial" w:hAnsi="Arial" w:cs="Arial"/>
          <w:sz w:val="22"/>
          <w:szCs w:val="22"/>
        </w:rPr>
        <w:t xml:space="preserve">Que el documento con la justificación jurídica y técnica de la presente </w:t>
      </w:r>
      <w:r w:rsidR="00450D4D">
        <w:rPr>
          <w:rFonts w:ascii="Arial" w:hAnsi="Arial" w:cs="Arial"/>
          <w:sz w:val="22"/>
          <w:szCs w:val="22"/>
        </w:rPr>
        <w:t>r</w:t>
      </w:r>
      <w:r w:rsidR="00F34D5F" w:rsidRPr="003E6840">
        <w:rPr>
          <w:rFonts w:ascii="Arial" w:hAnsi="Arial" w:cs="Arial"/>
          <w:sz w:val="22"/>
          <w:szCs w:val="22"/>
        </w:rPr>
        <w:t>esolución fue presentado para consideración de</w:t>
      </w:r>
      <w:r w:rsidR="00872A96" w:rsidRPr="003E6840">
        <w:rPr>
          <w:rFonts w:ascii="Arial" w:hAnsi="Arial" w:cs="Arial"/>
          <w:sz w:val="22"/>
          <w:szCs w:val="22"/>
        </w:rPr>
        <w:t xml:space="preserve"> </w:t>
      </w:r>
      <w:r w:rsidR="00F34D5F" w:rsidRPr="003E6840">
        <w:rPr>
          <w:rFonts w:ascii="Arial" w:hAnsi="Arial" w:cs="Arial"/>
          <w:sz w:val="22"/>
          <w:szCs w:val="22"/>
        </w:rPr>
        <w:t xml:space="preserve">la CNCA y discutido en la reunión llevada a cabo el día </w:t>
      </w:r>
      <w:r w:rsidR="00342A03" w:rsidRPr="003E6840">
        <w:rPr>
          <w:rFonts w:ascii="Arial" w:hAnsi="Arial" w:cs="Arial"/>
          <w:sz w:val="22"/>
          <w:szCs w:val="22"/>
        </w:rPr>
        <w:t>once</w:t>
      </w:r>
      <w:r w:rsidR="00A2047F" w:rsidRPr="003E6840">
        <w:rPr>
          <w:rFonts w:ascii="Arial" w:hAnsi="Arial" w:cs="Arial"/>
          <w:sz w:val="22"/>
          <w:szCs w:val="22"/>
        </w:rPr>
        <w:t xml:space="preserve"> </w:t>
      </w:r>
      <w:r w:rsidR="00F34D5F" w:rsidRPr="003E6840">
        <w:rPr>
          <w:rFonts w:ascii="Arial" w:hAnsi="Arial" w:cs="Arial"/>
          <w:sz w:val="22"/>
          <w:szCs w:val="22"/>
        </w:rPr>
        <w:t>(</w:t>
      </w:r>
      <w:r w:rsidR="00342A03" w:rsidRPr="003E6840">
        <w:rPr>
          <w:rFonts w:ascii="Arial" w:hAnsi="Arial" w:cs="Arial"/>
          <w:sz w:val="22"/>
          <w:szCs w:val="22"/>
        </w:rPr>
        <w:t>11</w:t>
      </w:r>
      <w:r w:rsidR="00F34D5F" w:rsidRPr="003E6840">
        <w:rPr>
          <w:rFonts w:ascii="Arial" w:hAnsi="Arial" w:cs="Arial"/>
          <w:sz w:val="22"/>
          <w:szCs w:val="22"/>
        </w:rPr>
        <w:t xml:space="preserve">) de </w:t>
      </w:r>
      <w:r w:rsidR="00342A03" w:rsidRPr="003E6840">
        <w:rPr>
          <w:rFonts w:ascii="Arial" w:hAnsi="Arial" w:cs="Arial"/>
          <w:sz w:val="22"/>
          <w:szCs w:val="22"/>
        </w:rPr>
        <w:t>junio</w:t>
      </w:r>
      <w:r w:rsidR="00F34D5F" w:rsidRPr="003E6840">
        <w:rPr>
          <w:rFonts w:ascii="Arial" w:hAnsi="Arial" w:cs="Arial"/>
          <w:sz w:val="22"/>
          <w:szCs w:val="22"/>
        </w:rPr>
        <w:t xml:space="preserve"> de 2019.</w:t>
      </w:r>
    </w:p>
    <w:p w:rsidR="00F34D5F" w:rsidRPr="003E6840" w:rsidRDefault="00F34D5F" w:rsidP="00F34D5F">
      <w:pPr>
        <w:jc w:val="both"/>
        <w:rPr>
          <w:rFonts w:ascii="Arial" w:hAnsi="Arial" w:cs="Arial"/>
          <w:sz w:val="22"/>
          <w:szCs w:val="22"/>
        </w:rPr>
      </w:pPr>
    </w:p>
    <w:p w:rsidR="00F34D5F" w:rsidRPr="003E6840" w:rsidRDefault="00F34D5F" w:rsidP="00F34D5F">
      <w:pPr>
        <w:jc w:val="both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sz w:val="22"/>
          <w:szCs w:val="22"/>
        </w:rPr>
        <w:t>En mérito de lo anterio</w:t>
      </w:r>
      <w:r w:rsidR="0017196A" w:rsidRPr="003E6840">
        <w:rPr>
          <w:rFonts w:ascii="Arial" w:hAnsi="Arial" w:cs="Arial"/>
          <w:sz w:val="22"/>
          <w:szCs w:val="22"/>
        </w:rPr>
        <w:t>r</w:t>
      </w:r>
      <w:r w:rsidRPr="003E6840">
        <w:rPr>
          <w:rFonts w:ascii="Arial" w:hAnsi="Arial" w:cs="Arial"/>
          <w:sz w:val="22"/>
          <w:szCs w:val="22"/>
        </w:rPr>
        <w:t xml:space="preserve">, </w:t>
      </w:r>
    </w:p>
    <w:p w:rsidR="006E4B69" w:rsidRPr="003E6840" w:rsidRDefault="006E4B69" w:rsidP="006E4B69">
      <w:pPr>
        <w:spacing w:line="0" w:lineRule="atLeast"/>
        <w:ind w:left="142" w:right="49"/>
        <w:jc w:val="both"/>
        <w:rPr>
          <w:rFonts w:ascii="Arial" w:hAnsi="Arial" w:cs="Arial"/>
          <w:sz w:val="22"/>
          <w:szCs w:val="22"/>
          <w:lang w:val="es-CO"/>
        </w:rPr>
      </w:pPr>
    </w:p>
    <w:p w:rsidR="006E4B69" w:rsidRPr="003E6840" w:rsidRDefault="006E4B69" w:rsidP="006E4B69">
      <w:pPr>
        <w:spacing w:line="0" w:lineRule="atLeast"/>
        <w:ind w:left="142" w:right="49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E6840">
        <w:rPr>
          <w:rFonts w:ascii="Arial" w:hAnsi="Arial" w:cs="Arial"/>
          <w:b/>
          <w:sz w:val="22"/>
          <w:szCs w:val="22"/>
          <w:lang w:val="es-CO"/>
        </w:rPr>
        <w:t>RESUELVE:</w:t>
      </w:r>
    </w:p>
    <w:p w:rsidR="006E4B69" w:rsidRPr="003E6840" w:rsidRDefault="006E4B69" w:rsidP="006E4B69">
      <w:pPr>
        <w:pStyle w:val="Prrafodelista"/>
        <w:spacing w:line="0" w:lineRule="atLeast"/>
        <w:ind w:right="49"/>
        <w:rPr>
          <w:rFonts w:ascii="Arial" w:hAnsi="Arial" w:cs="Arial"/>
          <w:b/>
          <w:bCs/>
          <w:sz w:val="22"/>
          <w:szCs w:val="22"/>
        </w:rPr>
      </w:pPr>
    </w:p>
    <w:p w:rsidR="005A5700" w:rsidRDefault="006E4B69" w:rsidP="005A5700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 w:rsidRPr="003E6840">
        <w:rPr>
          <w:rFonts w:ascii="Arial" w:hAnsi="Arial" w:cs="Arial"/>
          <w:b/>
          <w:bCs/>
          <w:sz w:val="22"/>
          <w:szCs w:val="22"/>
        </w:rPr>
        <w:t>Artículo 1</w:t>
      </w:r>
      <w:r w:rsidR="0017196A" w:rsidRPr="003E6840">
        <w:rPr>
          <w:rFonts w:ascii="Arial" w:hAnsi="Arial" w:cs="Arial"/>
          <w:b/>
          <w:bCs/>
          <w:sz w:val="22"/>
          <w:szCs w:val="22"/>
        </w:rPr>
        <w:t>o</w:t>
      </w:r>
      <w:r w:rsidRPr="003E6840">
        <w:rPr>
          <w:rFonts w:ascii="Arial" w:hAnsi="Arial" w:cs="Arial"/>
          <w:b/>
          <w:bCs/>
          <w:sz w:val="22"/>
          <w:szCs w:val="22"/>
        </w:rPr>
        <w:t>.-</w:t>
      </w:r>
      <w:r w:rsidR="005A5700">
        <w:rPr>
          <w:rFonts w:ascii="Arial" w:hAnsi="Arial" w:cs="Arial"/>
          <w:b/>
          <w:bCs/>
          <w:sz w:val="22"/>
          <w:szCs w:val="22"/>
        </w:rPr>
        <w:t xml:space="preserve"> </w:t>
      </w:r>
      <w:r w:rsidR="005A5700" w:rsidRPr="00E11C32">
        <w:rPr>
          <w:rFonts w:ascii="Arial" w:eastAsia="Arial" w:hAnsi="Arial" w:cs="Arial"/>
          <w:sz w:val="22"/>
          <w:szCs w:val="22"/>
          <w:lang w:eastAsia="es-CO" w:bidi="es-CO"/>
        </w:rPr>
        <w:t>Modificar el</w:t>
      </w:r>
      <w:r w:rsidR="005A5700">
        <w:rPr>
          <w:rFonts w:ascii="Arial" w:eastAsia="Arial" w:hAnsi="Arial" w:cs="Arial"/>
          <w:sz w:val="22"/>
          <w:szCs w:val="22"/>
          <w:lang w:eastAsia="es-CO" w:bidi="es-CO"/>
        </w:rPr>
        <w:t xml:space="preserve"> literal a. del</w:t>
      </w:r>
      <w:r w:rsidR="005A5700"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 artículo 4</w:t>
      </w:r>
      <w:r w:rsidR="005A5700">
        <w:rPr>
          <w:rFonts w:ascii="Arial" w:eastAsia="Arial" w:hAnsi="Arial" w:cs="Arial"/>
          <w:sz w:val="22"/>
          <w:szCs w:val="22"/>
          <w:lang w:eastAsia="es-CO" w:bidi="es-CO"/>
        </w:rPr>
        <w:t>o.</w:t>
      </w:r>
      <w:r w:rsidR="005A5700"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 </w:t>
      </w:r>
      <w:r w:rsidR="005A5700">
        <w:rPr>
          <w:rFonts w:ascii="Arial" w:eastAsia="Arial" w:hAnsi="Arial" w:cs="Arial"/>
          <w:sz w:val="22"/>
          <w:szCs w:val="22"/>
          <w:lang w:eastAsia="es-CO" w:bidi="es-CO"/>
        </w:rPr>
        <w:t>d</w:t>
      </w:r>
      <w:r w:rsidR="005A5700"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e la </w:t>
      </w:r>
      <w:r w:rsidR="005A5700">
        <w:rPr>
          <w:rFonts w:ascii="Arial" w:eastAsia="Arial" w:hAnsi="Arial" w:cs="Arial"/>
          <w:sz w:val="22"/>
          <w:szCs w:val="22"/>
          <w:lang w:eastAsia="es-CO" w:bidi="es-CO"/>
        </w:rPr>
        <w:t>R</w:t>
      </w:r>
      <w:r w:rsidR="005A5700" w:rsidRPr="00E11C32">
        <w:rPr>
          <w:rFonts w:ascii="Arial" w:eastAsia="Arial" w:hAnsi="Arial" w:cs="Arial"/>
          <w:sz w:val="22"/>
          <w:szCs w:val="22"/>
          <w:lang w:eastAsia="es-CO" w:bidi="es-CO"/>
        </w:rPr>
        <w:t>esolución 12 de</w:t>
      </w:r>
      <w:r w:rsidR="005A5700">
        <w:rPr>
          <w:rFonts w:ascii="Arial" w:eastAsia="Arial" w:hAnsi="Arial" w:cs="Arial"/>
          <w:sz w:val="22"/>
          <w:szCs w:val="22"/>
          <w:lang w:eastAsia="es-CO" w:bidi="es-CO"/>
        </w:rPr>
        <w:t xml:space="preserve"> 2018 de la Comisión Nacional de Crédito Agropecuario, de la siguiente manera:</w:t>
      </w:r>
    </w:p>
    <w:p w:rsidR="005A5700" w:rsidRDefault="005A5700" w:rsidP="005A5700">
      <w:pPr>
        <w:pStyle w:val="c5"/>
        <w:tabs>
          <w:tab w:val="left" w:pos="1479"/>
        </w:tabs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5A5700" w:rsidRPr="002706B4" w:rsidRDefault="005A5700" w:rsidP="005A5700">
      <w:pPr>
        <w:pStyle w:val="Textoindependiente"/>
        <w:spacing w:line="242" w:lineRule="auto"/>
        <w:ind w:right="81"/>
      </w:pPr>
      <w:r w:rsidRPr="004760B3">
        <w:rPr>
          <w:b/>
        </w:rPr>
        <w:t xml:space="preserve"> </w:t>
      </w:r>
      <w:r w:rsidRPr="00362F07">
        <w:t xml:space="preserve">“a. </w:t>
      </w:r>
      <w:r w:rsidRPr="002706B4">
        <w:t>LEC General</w:t>
      </w:r>
    </w:p>
    <w:p w:rsidR="005A5700" w:rsidRPr="002706B4" w:rsidRDefault="005A5700" w:rsidP="005A5700">
      <w:pPr>
        <w:tabs>
          <w:tab w:val="left" w:pos="426"/>
          <w:tab w:val="left" w:pos="1418"/>
        </w:tabs>
        <w:spacing w:line="252" w:lineRule="exact"/>
        <w:ind w:right="81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</w:p>
    <w:p w:rsidR="005A5700" w:rsidRPr="005A5700" w:rsidRDefault="005A5700" w:rsidP="005A5700">
      <w:pPr>
        <w:pStyle w:val="Prrafodelista"/>
        <w:numPr>
          <w:ilvl w:val="0"/>
          <w:numId w:val="8"/>
        </w:numPr>
        <w:tabs>
          <w:tab w:val="left" w:pos="1418"/>
        </w:tabs>
        <w:spacing w:line="252" w:lineRule="exact"/>
        <w:ind w:right="81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 w:rsidRPr="005A5700">
        <w:rPr>
          <w:rFonts w:ascii="Arial" w:eastAsia="Arial" w:hAnsi="Arial" w:cs="Arial"/>
          <w:sz w:val="22"/>
          <w:szCs w:val="22"/>
          <w:lang w:eastAsia="es-CO" w:bidi="es-CO"/>
        </w:rPr>
        <w:t>Condiciones especiales de la LEC Retención de Vientres de Ganado Bovino y Bufalino.</w:t>
      </w:r>
    </w:p>
    <w:p w:rsidR="005A5700" w:rsidRPr="005A5700" w:rsidRDefault="005A5700" w:rsidP="005A5700">
      <w:pPr>
        <w:pStyle w:val="Prrafodelista"/>
        <w:numPr>
          <w:ilvl w:val="0"/>
          <w:numId w:val="8"/>
        </w:numPr>
        <w:tabs>
          <w:tab w:val="left" w:pos="284"/>
          <w:tab w:val="left" w:pos="1418"/>
        </w:tabs>
        <w:spacing w:line="252" w:lineRule="exact"/>
        <w:ind w:right="81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 w:rsidRPr="005A5700">
        <w:rPr>
          <w:rFonts w:ascii="Arial" w:eastAsia="Arial" w:hAnsi="Arial" w:cs="Arial"/>
          <w:sz w:val="22"/>
          <w:szCs w:val="22"/>
          <w:lang w:eastAsia="es-CO" w:bidi="es-CO"/>
        </w:rPr>
        <w:t xml:space="preserve">Condiciones especiales de la LEC Actividad Pecuaria, Pesquera y Acuícola </w:t>
      </w:r>
      <w:r w:rsidRPr="005A5700">
        <w:rPr>
          <w:rFonts w:ascii="Arial" w:eastAsia="Arial" w:hAnsi="Arial" w:cs="Arial"/>
          <w:sz w:val="22"/>
          <w:szCs w:val="22"/>
          <w:lang w:val="es-CO" w:eastAsia="es-CO" w:bidi="es-CO"/>
        </w:rPr>
        <w:t>Sostenible.</w:t>
      </w:r>
    </w:p>
    <w:p w:rsidR="005A5700" w:rsidRPr="005A5700" w:rsidRDefault="005A5700" w:rsidP="005A5700">
      <w:pPr>
        <w:pStyle w:val="Prrafodelista"/>
        <w:numPr>
          <w:ilvl w:val="0"/>
          <w:numId w:val="8"/>
        </w:numPr>
        <w:tabs>
          <w:tab w:val="left" w:pos="284"/>
          <w:tab w:val="left" w:pos="1418"/>
        </w:tabs>
        <w:spacing w:line="252" w:lineRule="exact"/>
        <w:ind w:right="81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 w:rsidRPr="005A5700">
        <w:rPr>
          <w:rFonts w:ascii="Arial" w:eastAsia="Arial" w:hAnsi="Arial" w:cs="Arial"/>
          <w:sz w:val="22"/>
          <w:szCs w:val="22"/>
          <w:lang w:eastAsia="es-CO" w:bidi="es-CO"/>
        </w:rPr>
        <w:t xml:space="preserve">Condiciones especiales de la LEC </w:t>
      </w:r>
      <w:r w:rsidRPr="005A5700">
        <w:rPr>
          <w:rFonts w:ascii="Arial" w:hAnsi="Arial" w:cs="Arial"/>
          <w:color w:val="000000" w:themeColor="text1"/>
          <w:sz w:val="22"/>
          <w:szCs w:val="22"/>
        </w:rPr>
        <w:t xml:space="preserve">para apoyar a productores agropecuarios afectados por el bloqueo en la Vía Panamericana y para implementar el </w:t>
      </w:r>
      <w:r w:rsidRPr="005A5700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“Plan de Impacto Frontera con Venezuela.</w:t>
      </w:r>
    </w:p>
    <w:p w:rsidR="005A5700" w:rsidRPr="005A5700" w:rsidRDefault="005A5700" w:rsidP="005A5700">
      <w:pPr>
        <w:pStyle w:val="Prrafodelista"/>
        <w:numPr>
          <w:ilvl w:val="0"/>
          <w:numId w:val="8"/>
        </w:numPr>
        <w:tabs>
          <w:tab w:val="left" w:pos="284"/>
          <w:tab w:val="left" w:pos="1418"/>
        </w:tabs>
        <w:spacing w:line="252" w:lineRule="exact"/>
        <w:ind w:right="81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Condiciones especiales de la LEC para incentivar el desarrollo de actividades complementarias por parte de los productores cafeteros.</w:t>
      </w:r>
      <w:r w:rsidR="002026A2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”</w:t>
      </w:r>
    </w:p>
    <w:p w:rsidR="005A5700" w:rsidRDefault="005A5700" w:rsidP="005A5700">
      <w:pPr>
        <w:tabs>
          <w:tab w:val="left" w:pos="426"/>
          <w:tab w:val="left" w:pos="709"/>
          <w:tab w:val="left" w:pos="993"/>
          <w:tab w:val="left" w:pos="1134"/>
          <w:tab w:val="left" w:pos="1418"/>
        </w:tabs>
        <w:spacing w:line="252" w:lineRule="exact"/>
        <w:ind w:right="81"/>
        <w:rPr>
          <w:rFonts w:ascii="Arial" w:eastAsia="Arial" w:hAnsi="Arial" w:cs="Arial"/>
          <w:spacing w:val="-3"/>
          <w:sz w:val="22"/>
          <w:szCs w:val="22"/>
          <w:lang w:eastAsia="es-CO" w:bidi="es-CO"/>
        </w:rPr>
      </w:pP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 w:rsidRPr="0087478E">
        <w:rPr>
          <w:rFonts w:ascii="Arial" w:eastAsia="Arial" w:hAnsi="Arial" w:cs="Arial"/>
          <w:b/>
          <w:sz w:val="22"/>
          <w:szCs w:val="22"/>
          <w:lang w:eastAsia="es-CO" w:bidi="es-CO"/>
        </w:rPr>
        <w:t xml:space="preserve">Artículo </w:t>
      </w:r>
      <w:r>
        <w:rPr>
          <w:rFonts w:ascii="Arial" w:eastAsia="Arial" w:hAnsi="Arial" w:cs="Arial"/>
          <w:b/>
          <w:sz w:val="22"/>
          <w:szCs w:val="22"/>
          <w:lang w:eastAsia="es-CO" w:bidi="es-CO"/>
        </w:rPr>
        <w:t>2</w:t>
      </w:r>
      <w:r w:rsidRPr="0087478E">
        <w:rPr>
          <w:rFonts w:ascii="Arial" w:eastAsia="Arial" w:hAnsi="Arial" w:cs="Arial"/>
          <w:b/>
          <w:sz w:val="22"/>
          <w:szCs w:val="22"/>
          <w:lang w:eastAsia="es-CO" w:bidi="es-CO"/>
        </w:rPr>
        <w:t>o.</w:t>
      </w:r>
      <w:r>
        <w:rPr>
          <w:rFonts w:ascii="Arial" w:eastAsia="Arial" w:hAnsi="Arial" w:cs="Arial"/>
          <w:b/>
          <w:sz w:val="22"/>
          <w:szCs w:val="22"/>
          <w:lang w:eastAsia="es-CO" w:bidi="es-CO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Modificar el primer inciso </w:t>
      </w:r>
      <w:r w:rsidRPr="00C86D91">
        <w:rPr>
          <w:rFonts w:ascii="Arial" w:eastAsia="Arial" w:hAnsi="Arial" w:cs="Arial"/>
          <w:sz w:val="22"/>
          <w:szCs w:val="22"/>
          <w:lang w:eastAsia="es-CO" w:bidi="es-CO"/>
        </w:rPr>
        <w:t>d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el 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artículo </w:t>
      </w:r>
      <w:r>
        <w:rPr>
          <w:rFonts w:ascii="Arial" w:eastAsia="Arial" w:hAnsi="Arial" w:cs="Arial"/>
          <w:sz w:val="22"/>
          <w:szCs w:val="22"/>
          <w:lang w:eastAsia="es-CO" w:bidi="es-CO"/>
        </w:rPr>
        <w:t>6o.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s-CO" w:bidi="es-CO"/>
        </w:rPr>
        <w:t>d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e la </w:t>
      </w:r>
      <w:r>
        <w:rPr>
          <w:rFonts w:ascii="Arial" w:eastAsia="Arial" w:hAnsi="Arial" w:cs="Arial"/>
          <w:sz w:val="22"/>
          <w:szCs w:val="22"/>
          <w:lang w:eastAsia="es-CO" w:bidi="es-CO"/>
        </w:rPr>
        <w:t>R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>esolución 12 de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 2018 de la Comisión Nacional de Crédito Agropecuario, de la siguiente manera:</w:t>
      </w: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eastAsia="es-CO" w:bidi="es-CO"/>
        </w:rPr>
      </w:pP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spacing w:val="-3"/>
          <w:sz w:val="22"/>
          <w:szCs w:val="22"/>
          <w:lang w:eastAsia="es-CO" w:bidi="es-CO"/>
        </w:rPr>
      </w:pPr>
      <w:r>
        <w:rPr>
          <w:rFonts w:ascii="Arial" w:eastAsia="Arial" w:hAnsi="Arial" w:cs="Arial"/>
          <w:b/>
          <w:sz w:val="22"/>
          <w:szCs w:val="22"/>
          <w:lang w:eastAsia="es-CO" w:bidi="es-CO"/>
        </w:rPr>
        <w:t>“</w:t>
      </w:r>
      <w:r w:rsidRPr="00711AE1">
        <w:rPr>
          <w:rFonts w:ascii="Arial" w:eastAsia="Arial" w:hAnsi="Arial" w:cs="Arial"/>
          <w:b/>
          <w:sz w:val="22"/>
          <w:szCs w:val="22"/>
          <w:lang w:eastAsia="es-CO" w:bidi="es-CO"/>
        </w:rPr>
        <w:t xml:space="preserve">Artículo 6o. Condiciones especiales de la LEC General. </w:t>
      </w:r>
      <w:r w:rsidRPr="00711AE1">
        <w:rPr>
          <w:rFonts w:ascii="Arial" w:eastAsia="Arial" w:hAnsi="Arial" w:cs="Arial"/>
          <w:sz w:val="22"/>
          <w:szCs w:val="22"/>
          <w:lang w:eastAsia="es-CO" w:bidi="es-CO"/>
        </w:rPr>
        <w:t>La financiación de las actividades destinadas a la retención de vientres de ganado bovino y bufalino, la actividad pecuaria, pesquera y acuícola sostenible</w:t>
      </w:r>
      <w:r w:rsidR="00547CCB">
        <w:rPr>
          <w:rFonts w:ascii="Arial" w:eastAsia="Arial" w:hAnsi="Arial" w:cs="Arial"/>
          <w:sz w:val="22"/>
          <w:szCs w:val="22"/>
          <w:lang w:eastAsia="es-CO" w:bidi="es-CO"/>
        </w:rPr>
        <w:t>,</w:t>
      </w:r>
      <w:r w:rsidRPr="00711AE1">
        <w:rPr>
          <w:rFonts w:ascii="Arial" w:eastAsia="Arial" w:hAnsi="Arial" w:cs="Arial"/>
          <w:sz w:val="22"/>
          <w:szCs w:val="22"/>
          <w:lang w:eastAsia="es-CO" w:bidi="es-CO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las </w:t>
      </w:r>
      <w:r w:rsidRPr="00547CCB">
        <w:rPr>
          <w:rFonts w:ascii="Arial" w:eastAsia="Arial" w:hAnsi="Arial" w:cs="Arial"/>
          <w:sz w:val="22"/>
          <w:szCs w:val="22"/>
          <w:lang w:eastAsia="es-CO" w:bidi="es-CO"/>
        </w:rPr>
        <w:t>necesidades de capital de trabajo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 </w:t>
      </w:r>
      <w:r w:rsidRPr="00711AE1">
        <w:rPr>
          <w:rFonts w:ascii="Arial" w:eastAsia="Arial" w:hAnsi="Arial" w:cs="Arial"/>
          <w:sz w:val="22"/>
          <w:szCs w:val="22"/>
          <w:lang w:eastAsia="es-CO" w:bidi="es-CO"/>
        </w:rPr>
        <w:t xml:space="preserve">de los </w:t>
      </w:r>
      <w:r w:rsidRPr="00711AE1">
        <w:rPr>
          <w:rFonts w:ascii="Arial" w:eastAsia="Arial" w:hAnsi="Arial" w:cs="Arial"/>
          <w:sz w:val="22"/>
          <w:szCs w:val="22"/>
          <w:lang w:val="es-CO" w:eastAsia="es-CO" w:bidi="es-CO"/>
        </w:rPr>
        <w:t>p</w:t>
      </w:r>
      <w:r w:rsidRPr="00C86D91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roductores agropecuarios afectados por </w:t>
      </w:r>
      <w:r w:rsidR="00A06DA2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los </w:t>
      </w:r>
      <w:r w:rsidRPr="00C86D91">
        <w:rPr>
          <w:rFonts w:ascii="Arial" w:eastAsia="Arial" w:hAnsi="Arial" w:cs="Arial"/>
          <w:sz w:val="22"/>
          <w:szCs w:val="22"/>
          <w:lang w:val="es-CO" w:eastAsia="es-CO" w:bidi="es-CO"/>
        </w:rPr>
        <w:t>bloqueo</w:t>
      </w:r>
      <w:r w:rsidR="00A06DA2">
        <w:rPr>
          <w:rFonts w:ascii="Arial" w:eastAsia="Arial" w:hAnsi="Arial" w:cs="Arial"/>
          <w:sz w:val="22"/>
          <w:szCs w:val="22"/>
          <w:lang w:val="es-CO" w:eastAsia="es-CO" w:bidi="es-CO"/>
        </w:rPr>
        <w:t>s y manifestaciones</w:t>
      </w:r>
      <w:r w:rsidRPr="00C86D91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 en la Vía </w:t>
      </w:r>
      <w:r w:rsidRPr="00C86D91">
        <w:rPr>
          <w:rFonts w:ascii="Arial" w:eastAsia="Arial" w:hAnsi="Arial" w:cs="Arial"/>
          <w:sz w:val="22"/>
          <w:szCs w:val="22"/>
          <w:lang w:val="es-CO" w:eastAsia="es-CO" w:bidi="es-CO"/>
        </w:rPr>
        <w:lastRenderedPageBreak/>
        <w:t>Panamericana</w:t>
      </w:r>
      <w:r w:rsidR="005C4515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 y </w:t>
      </w:r>
      <w:r w:rsidR="00A06DA2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para </w:t>
      </w:r>
      <w:r w:rsidRPr="00C86D91">
        <w:rPr>
          <w:rFonts w:ascii="Arial" w:eastAsia="Arial" w:hAnsi="Arial" w:cs="Arial"/>
          <w:sz w:val="22"/>
          <w:szCs w:val="22"/>
          <w:lang w:eastAsia="es-CO" w:bidi="es-CO"/>
        </w:rPr>
        <w:t>implementa</w:t>
      </w:r>
      <w:r w:rsidR="00A06DA2">
        <w:rPr>
          <w:rFonts w:ascii="Arial" w:eastAsia="Arial" w:hAnsi="Arial" w:cs="Arial"/>
          <w:sz w:val="22"/>
          <w:szCs w:val="22"/>
          <w:lang w:eastAsia="es-CO" w:bidi="es-CO"/>
        </w:rPr>
        <w:t xml:space="preserve">r </w:t>
      </w:r>
      <w:r w:rsidRPr="00C86D91">
        <w:rPr>
          <w:rFonts w:ascii="Arial" w:eastAsia="Arial" w:hAnsi="Arial" w:cs="Arial"/>
          <w:sz w:val="22"/>
          <w:szCs w:val="22"/>
          <w:lang w:eastAsia="es-CO" w:bidi="es-CO"/>
        </w:rPr>
        <w:t xml:space="preserve">el </w:t>
      </w:r>
      <w:r w:rsidRPr="00C86D91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“Plan de Impacto Frontera con Venezuela</w:t>
      </w:r>
      <w:r w:rsidR="00547CCB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”</w:t>
      </w:r>
      <w:r w:rsidR="00A06DA2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 xml:space="preserve">, </w:t>
      </w:r>
      <w:r w:rsidR="005F61D4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 xml:space="preserve">así como </w:t>
      </w:r>
      <w:r w:rsidR="00547CCB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 xml:space="preserve"> el desarrollo de actividades complementarias por parte de los productores cafeteros</w:t>
      </w:r>
      <w:r w:rsidRPr="00711AE1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, se sujetarán a las siguientes reglas especiales</w:t>
      </w:r>
      <w:r w:rsidRPr="00C86D91">
        <w:rPr>
          <w:rFonts w:ascii="Arial" w:eastAsia="Arial" w:hAnsi="Arial" w:cs="Arial"/>
          <w:i/>
          <w:spacing w:val="-3"/>
          <w:sz w:val="22"/>
          <w:szCs w:val="22"/>
          <w:lang w:eastAsia="es-CO" w:bidi="es-CO"/>
        </w:rPr>
        <w:t>:</w:t>
      </w:r>
      <w:r w:rsidRPr="00711AE1">
        <w:rPr>
          <w:rFonts w:ascii="Arial" w:eastAsia="Arial" w:hAnsi="Arial" w:cs="Arial"/>
          <w:spacing w:val="-3"/>
          <w:sz w:val="22"/>
          <w:szCs w:val="22"/>
          <w:lang w:eastAsia="es-CO" w:bidi="es-CO"/>
        </w:rPr>
        <w:t>”</w:t>
      </w: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>
        <w:rPr>
          <w:rFonts w:ascii="Arial" w:eastAsia="Arial" w:hAnsi="Arial" w:cs="Arial"/>
          <w:b/>
          <w:sz w:val="22"/>
          <w:szCs w:val="22"/>
          <w:lang w:eastAsia="es-CO" w:bidi="es-CO"/>
        </w:rPr>
        <w:t xml:space="preserve">Artículo 3o. </w:t>
      </w:r>
      <w:r w:rsidRPr="00470E11">
        <w:rPr>
          <w:rFonts w:ascii="Arial" w:eastAsia="Arial" w:hAnsi="Arial" w:cs="Arial"/>
          <w:sz w:val="22"/>
          <w:szCs w:val="22"/>
          <w:lang w:eastAsia="es-CO" w:bidi="es-CO"/>
        </w:rPr>
        <w:t>Adicionar</w:t>
      </w:r>
      <w:r>
        <w:rPr>
          <w:rFonts w:ascii="Arial" w:eastAsia="Arial" w:hAnsi="Arial" w:cs="Arial"/>
          <w:b/>
          <w:sz w:val="22"/>
          <w:szCs w:val="22"/>
          <w:lang w:eastAsia="es-CO" w:bidi="es-CO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el 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artículo </w:t>
      </w:r>
      <w:r>
        <w:rPr>
          <w:rFonts w:ascii="Arial" w:eastAsia="Arial" w:hAnsi="Arial" w:cs="Arial"/>
          <w:sz w:val="22"/>
          <w:szCs w:val="22"/>
          <w:lang w:eastAsia="es-CO" w:bidi="es-CO"/>
        </w:rPr>
        <w:t>6o.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s-CO" w:bidi="es-CO"/>
        </w:rPr>
        <w:t>d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 xml:space="preserve">e la </w:t>
      </w:r>
      <w:r>
        <w:rPr>
          <w:rFonts w:ascii="Arial" w:eastAsia="Arial" w:hAnsi="Arial" w:cs="Arial"/>
          <w:sz w:val="22"/>
          <w:szCs w:val="22"/>
          <w:lang w:eastAsia="es-CO" w:bidi="es-CO"/>
        </w:rPr>
        <w:t>R</w:t>
      </w:r>
      <w:r w:rsidRPr="00E11C32">
        <w:rPr>
          <w:rFonts w:ascii="Arial" w:eastAsia="Arial" w:hAnsi="Arial" w:cs="Arial"/>
          <w:sz w:val="22"/>
          <w:szCs w:val="22"/>
          <w:lang w:eastAsia="es-CO" w:bidi="es-CO"/>
        </w:rPr>
        <w:t>esolución 12 de</w:t>
      </w:r>
      <w:r>
        <w:rPr>
          <w:rFonts w:ascii="Arial" w:eastAsia="Arial" w:hAnsi="Arial" w:cs="Arial"/>
          <w:sz w:val="22"/>
          <w:szCs w:val="22"/>
          <w:lang w:eastAsia="es-CO" w:bidi="es-CO"/>
        </w:rPr>
        <w:t xml:space="preserve"> 2018 de la Comisión Nacional de Crédito Agropecuario, con el siguiente numeral:</w:t>
      </w: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eastAsia="es-CO" w:bidi="es-CO"/>
        </w:rPr>
      </w:pPr>
    </w:p>
    <w:p w:rsidR="002026A2" w:rsidRDefault="002026A2" w:rsidP="002026A2">
      <w:pPr>
        <w:pStyle w:val="c5"/>
        <w:tabs>
          <w:tab w:val="left" w:pos="1479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eastAsia="es-CO" w:bidi="es-CO"/>
        </w:rPr>
      </w:pPr>
      <w:r>
        <w:rPr>
          <w:rFonts w:ascii="Arial" w:eastAsia="Arial" w:hAnsi="Arial" w:cs="Arial"/>
          <w:b/>
          <w:sz w:val="22"/>
          <w:szCs w:val="22"/>
          <w:lang w:eastAsia="es-CO" w:bidi="es-CO"/>
        </w:rPr>
        <w:t>“</w:t>
      </w:r>
      <w:proofErr w:type="spellStart"/>
      <w:r w:rsidR="000C4E10">
        <w:rPr>
          <w:rFonts w:ascii="Arial" w:eastAsia="Arial" w:hAnsi="Arial" w:cs="Arial"/>
          <w:b/>
          <w:sz w:val="22"/>
          <w:szCs w:val="22"/>
          <w:lang w:eastAsia="es-CO" w:bidi="es-CO"/>
        </w:rPr>
        <w:t>iv</w:t>
      </w:r>
      <w:proofErr w:type="spellEnd"/>
      <w:r>
        <w:rPr>
          <w:rFonts w:ascii="Arial" w:eastAsia="Arial" w:hAnsi="Arial" w:cs="Arial"/>
          <w:b/>
          <w:sz w:val="22"/>
          <w:szCs w:val="22"/>
          <w:lang w:eastAsia="es-CO" w:bidi="es-CO"/>
        </w:rPr>
        <w:t xml:space="preserve">. </w:t>
      </w:r>
      <w:r w:rsidR="00622531">
        <w:rPr>
          <w:rFonts w:ascii="Arial" w:eastAsia="Arial" w:hAnsi="Arial" w:cs="Arial"/>
          <w:b/>
          <w:sz w:val="22"/>
          <w:szCs w:val="22"/>
          <w:lang w:val="es-CO" w:eastAsia="es-CO" w:bidi="es-CO"/>
        </w:rPr>
        <w:t xml:space="preserve">Desarrollo de actividades complementarias por parte de los productores cafeteros. </w:t>
      </w:r>
    </w:p>
    <w:p w:rsidR="00422114" w:rsidRPr="003E6840" w:rsidRDefault="00422114" w:rsidP="005A5700">
      <w:pPr>
        <w:jc w:val="both"/>
        <w:rPr>
          <w:rFonts w:ascii="Arial" w:hAnsi="Arial" w:cs="Arial"/>
          <w:sz w:val="22"/>
          <w:szCs w:val="22"/>
        </w:rPr>
      </w:pPr>
    </w:p>
    <w:p w:rsidR="00EF5AB3" w:rsidRPr="003E6840" w:rsidRDefault="00274791" w:rsidP="00274791">
      <w:pPr>
        <w:pStyle w:val="Prrafodelista"/>
        <w:numPr>
          <w:ilvl w:val="0"/>
          <w:numId w:val="3"/>
        </w:numPr>
        <w:spacing w:line="0" w:lineRule="atLeast"/>
        <w:ind w:right="49"/>
        <w:jc w:val="both"/>
        <w:rPr>
          <w:rFonts w:ascii="Arial" w:hAnsi="Arial" w:cs="Arial"/>
          <w:sz w:val="22"/>
          <w:szCs w:val="22"/>
        </w:rPr>
      </w:pPr>
      <w:r w:rsidRPr="003E6840">
        <w:rPr>
          <w:rFonts w:ascii="Arial" w:hAnsi="Arial" w:cs="Arial"/>
          <w:sz w:val="22"/>
          <w:szCs w:val="22"/>
        </w:rPr>
        <w:t xml:space="preserve">Tasa de </w:t>
      </w:r>
      <w:r w:rsidR="006050AE" w:rsidRPr="003E6840">
        <w:rPr>
          <w:rFonts w:ascii="Arial" w:hAnsi="Arial" w:cs="Arial"/>
          <w:sz w:val="22"/>
          <w:szCs w:val="22"/>
        </w:rPr>
        <w:t xml:space="preserve">redescuento, </w:t>
      </w:r>
      <w:r w:rsidRPr="003E6840">
        <w:rPr>
          <w:rFonts w:ascii="Arial" w:hAnsi="Arial" w:cs="Arial"/>
          <w:sz w:val="22"/>
          <w:szCs w:val="22"/>
        </w:rPr>
        <w:t xml:space="preserve">interés </w:t>
      </w:r>
      <w:r w:rsidR="006050AE" w:rsidRPr="003E6840">
        <w:rPr>
          <w:rFonts w:ascii="Arial" w:hAnsi="Arial" w:cs="Arial"/>
          <w:sz w:val="22"/>
          <w:szCs w:val="22"/>
        </w:rPr>
        <w:t>y subsidio a la tasa de interés:</w:t>
      </w:r>
    </w:p>
    <w:p w:rsidR="005B5889" w:rsidRPr="003E6840" w:rsidRDefault="005B5889" w:rsidP="005B5889">
      <w:pPr>
        <w:pStyle w:val="Prrafodelista"/>
        <w:rPr>
          <w:rFonts w:ascii="Arial" w:hAnsi="Arial" w:cs="Arial"/>
          <w:sz w:val="22"/>
          <w:szCs w:val="22"/>
        </w:rPr>
      </w:pPr>
    </w:p>
    <w:p w:rsidR="005B5889" w:rsidRPr="003E6840" w:rsidRDefault="005B5889" w:rsidP="005B5889">
      <w:pPr>
        <w:pStyle w:val="Prrafodelista"/>
        <w:numPr>
          <w:ilvl w:val="0"/>
          <w:numId w:val="4"/>
        </w:numPr>
        <w:spacing w:line="0" w:lineRule="atLeast"/>
        <w:ind w:right="49"/>
        <w:jc w:val="both"/>
        <w:rPr>
          <w:rFonts w:ascii="Arial" w:hAnsi="Arial" w:cs="Arial"/>
          <w:b/>
          <w:sz w:val="22"/>
          <w:szCs w:val="22"/>
        </w:rPr>
      </w:pPr>
      <w:r w:rsidRPr="003E6840">
        <w:rPr>
          <w:rFonts w:ascii="Arial" w:hAnsi="Arial" w:cs="Arial"/>
          <w:b/>
          <w:sz w:val="22"/>
          <w:szCs w:val="22"/>
        </w:rPr>
        <w:t>Condiciones financieras en DTF:</w:t>
      </w:r>
    </w:p>
    <w:p w:rsidR="00D353C1" w:rsidRPr="00227156" w:rsidRDefault="00D353C1" w:rsidP="0072634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107"/>
        <w:gridCol w:w="1557"/>
        <w:gridCol w:w="1684"/>
        <w:gridCol w:w="1079"/>
        <w:gridCol w:w="1697"/>
      </w:tblGrid>
      <w:tr w:rsidR="006050AE" w:rsidTr="00240C30">
        <w:tc>
          <w:tcPr>
            <w:tcW w:w="2126" w:type="dxa"/>
            <w:shd w:val="clear" w:color="auto" w:fill="A8D08D" w:themeFill="accent6" w:themeFillTint="99"/>
            <w:vAlign w:val="center"/>
          </w:tcPr>
          <w:p w:rsidR="006050AE" w:rsidRPr="006050AE" w:rsidRDefault="006050AE" w:rsidP="00605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0AE">
              <w:rPr>
                <w:rFonts w:ascii="Arial" w:hAnsi="Arial" w:cs="Arial"/>
                <w:sz w:val="16"/>
                <w:szCs w:val="16"/>
              </w:rPr>
              <w:t>TIPO DE PRODUCTOR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6050AE" w:rsidRPr="006050AE" w:rsidRDefault="006050AE" w:rsidP="00605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0AE">
              <w:rPr>
                <w:rFonts w:ascii="Arial" w:hAnsi="Arial" w:cs="Arial"/>
                <w:sz w:val="16"/>
                <w:szCs w:val="16"/>
              </w:rPr>
              <w:t>TASA DE REDESCUENTO</w:t>
            </w:r>
            <w:r w:rsidR="00132429">
              <w:rPr>
                <w:rFonts w:ascii="Arial" w:hAnsi="Arial" w:cs="Arial"/>
                <w:sz w:val="16"/>
                <w:szCs w:val="16"/>
              </w:rPr>
              <w:t xml:space="preserve"> (e.a.)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6050AE" w:rsidRPr="006050AE" w:rsidRDefault="006050AE" w:rsidP="0036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0AE">
              <w:rPr>
                <w:rFonts w:ascii="Arial" w:hAnsi="Arial" w:cs="Arial"/>
                <w:sz w:val="16"/>
                <w:szCs w:val="16"/>
              </w:rPr>
              <w:t xml:space="preserve">TASA </w:t>
            </w:r>
            <w:r w:rsidR="00364A89">
              <w:rPr>
                <w:rFonts w:ascii="Arial" w:hAnsi="Arial" w:cs="Arial"/>
                <w:sz w:val="16"/>
                <w:szCs w:val="16"/>
              </w:rPr>
              <w:t>LEC GENERAL (e.a.)</w:t>
            </w:r>
          </w:p>
        </w:tc>
        <w:tc>
          <w:tcPr>
            <w:tcW w:w="1021" w:type="dxa"/>
            <w:shd w:val="clear" w:color="auto" w:fill="A8D08D" w:themeFill="accent6" w:themeFillTint="99"/>
            <w:vAlign w:val="center"/>
          </w:tcPr>
          <w:p w:rsidR="006050AE" w:rsidRPr="006050AE" w:rsidRDefault="006050AE" w:rsidP="00605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0AE">
              <w:rPr>
                <w:rFonts w:ascii="Arial" w:hAnsi="Arial" w:cs="Arial"/>
                <w:sz w:val="16"/>
                <w:szCs w:val="16"/>
              </w:rPr>
              <w:t>SUBSIDIO</w:t>
            </w:r>
            <w:r w:rsidR="00364A89">
              <w:rPr>
                <w:rFonts w:ascii="Arial" w:hAnsi="Arial" w:cs="Arial"/>
                <w:sz w:val="16"/>
                <w:szCs w:val="16"/>
              </w:rPr>
              <w:t xml:space="preserve"> LEC GENERAL MÁS SUBSIDIO ADICIONAL</w:t>
            </w:r>
          </w:p>
        </w:tc>
        <w:tc>
          <w:tcPr>
            <w:tcW w:w="1716" w:type="dxa"/>
            <w:shd w:val="clear" w:color="auto" w:fill="A8D08D" w:themeFill="accent6" w:themeFillTint="99"/>
            <w:vAlign w:val="center"/>
          </w:tcPr>
          <w:p w:rsidR="006050AE" w:rsidRDefault="006050AE" w:rsidP="0036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0AE">
              <w:rPr>
                <w:rFonts w:ascii="Arial" w:hAnsi="Arial" w:cs="Arial"/>
                <w:sz w:val="16"/>
                <w:szCs w:val="16"/>
              </w:rPr>
              <w:t xml:space="preserve">TASA DE INTERÉS </w:t>
            </w:r>
            <w:r w:rsidR="00364A89">
              <w:rPr>
                <w:rFonts w:ascii="Arial" w:hAnsi="Arial" w:cs="Arial"/>
                <w:sz w:val="16"/>
                <w:szCs w:val="16"/>
              </w:rPr>
              <w:t>FINAL</w:t>
            </w:r>
          </w:p>
          <w:p w:rsidR="00364A89" w:rsidRPr="006050AE" w:rsidRDefault="00364A89" w:rsidP="0036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(e.a.)</w:t>
            </w:r>
          </w:p>
        </w:tc>
      </w:tr>
      <w:tr w:rsidR="006050AE" w:rsidTr="008E3C18">
        <w:tc>
          <w:tcPr>
            <w:tcW w:w="2126" w:type="dxa"/>
            <w:vAlign w:val="center"/>
          </w:tcPr>
          <w:p w:rsidR="006050AE" w:rsidRPr="006050AE" w:rsidRDefault="00D2587F" w:rsidP="00D25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1560" w:type="dxa"/>
            <w:vAlign w:val="center"/>
          </w:tcPr>
          <w:p w:rsidR="006050AE" w:rsidRPr="006050AE" w:rsidRDefault="00D2587F" w:rsidP="00132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DTF</w:t>
            </w:r>
            <w:r w:rsidR="00132429">
              <w:rPr>
                <w:rFonts w:ascii="Arial" w:hAnsi="Arial" w:cs="Arial"/>
                <w:sz w:val="16"/>
                <w:szCs w:val="16"/>
              </w:rPr>
              <w:t>- 2.5%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6050AE" w:rsidRPr="006050AE" w:rsidRDefault="00D2587F" w:rsidP="00097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DTF+ </w:t>
            </w:r>
            <w:r w:rsidR="000977B0"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1021" w:type="dxa"/>
            <w:vAlign w:val="center"/>
          </w:tcPr>
          <w:p w:rsidR="006050AE" w:rsidRPr="006050AE" w:rsidRDefault="00D2587F" w:rsidP="00D25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1716" w:type="dxa"/>
            <w:vAlign w:val="center"/>
          </w:tcPr>
          <w:p w:rsidR="006050AE" w:rsidRPr="006050AE" w:rsidRDefault="00D2587F" w:rsidP="0036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DTF</w:t>
            </w:r>
          </w:p>
        </w:tc>
      </w:tr>
      <w:tr w:rsidR="00D2587F" w:rsidTr="008E3C18">
        <w:tc>
          <w:tcPr>
            <w:tcW w:w="2126" w:type="dxa"/>
            <w:vAlign w:val="center"/>
          </w:tcPr>
          <w:p w:rsidR="00D2587F" w:rsidRDefault="00D2587F" w:rsidP="00D25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560" w:type="dxa"/>
            <w:vAlign w:val="center"/>
          </w:tcPr>
          <w:p w:rsidR="00D2587F" w:rsidRDefault="00D2587F" w:rsidP="0036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DTF</w:t>
            </w:r>
            <w:r w:rsidR="00422114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364A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2587F" w:rsidRDefault="00D2587F" w:rsidP="00097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DTF+ </w:t>
            </w:r>
            <w:r w:rsidR="000977B0"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1021" w:type="dxa"/>
            <w:vAlign w:val="center"/>
          </w:tcPr>
          <w:p w:rsidR="00D2587F" w:rsidRDefault="00D2587F" w:rsidP="00D25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716" w:type="dxa"/>
            <w:vAlign w:val="center"/>
          </w:tcPr>
          <w:p w:rsidR="00D2587F" w:rsidRPr="006050AE" w:rsidRDefault="00D2587F" w:rsidP="0036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DTF+ </w:t>
            </w:r>
            <w:r w:rsidR="00364A89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</w:tbl>
    <w:p w:rsidR="006050AE" w:rsidRPr="00755906" w:rsidRDefault="006050AE" w:rsidP="0072634E">
      <w:pPr>
        <w:jc w:val="both"/>
        <w:rPr>
          <w:rFonts w:ascii="Arial" w:hAnsi="Arial" w:cs="Arial"/>
          <w:sz w:val="22"/>
          <w:szCs w:val="22"/>
        </w:rPr>
      </w:pPr>
    </w:p>
    <w:p w:rsidR="004F60B1" w:rsidRPr="00755906" w:rsidRDefault="00C2438A" w:rsidP="0075590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55906">
        <w:rPr>
          <w:rFonts w:ascii="Arial" w:hAnsi="Arial" w:cs="Arial"/>
          <w:b/>
          <w:sz w:val="22"/>
          <w:szCs w:val="22"/>
        </w:rPr>
        <w:t>Condiciones financieras en IBR:</w:t>
      </w:r>
      <w:r w:rsidRPr="00755906">
        <w:rPr>
          <w:rFonts w:ascii="Arial" w:hAnsi="Arial" w:cs="Arial"/>
          <w:sz w:val="22"/>
          <w:szCs w:val="22"/>
        </w:rPr>
        <w:t xml:space="preserve"> De conformidad con el artículo 2o. de la Resolución No. 8 de 2018, FINAGRO señalará la equivalencia de tasas IBR aplicable a la presente línea. </w:t>
      </w:r>
    </w:p>
    <w:p w:rsidR="004F60B1" w:rsidRDefault="004F60B1" w:rsidP="004F60B1">
      <w:pPr>
        <w:pStyle w:val="Prrafodelista"/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</w:p>
    <w:p w:rsidR="004F60B1" w:rsidRDefault="004F60B1" w:rsidP="00D2587F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>
        <w:rPr>
          <w:rFonts w:ascii="Arial" w:eastAsiaTheme="minorHAnsi" w:hAnsi="Arial" w:cs="Arial"/>
          <w:bCs/>
          <w:sz w:val="22"/>
          <w:szCs w:val="22"/>
          <w:lang w:eastAsia="es-CO"/>
        </w:rPr>
        <w:t>Margen de redescuento: hasta el 100% del valor del crédito.</w:t>
      </w:r>
    </w:p>
    <w:p w:rsidR="004F60B1" w:rsidRDefault="004F60B1" w:rsidP="004F60B1">
      <w:pPr>
        <w:pStyle w:val="Prrafodelista"/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</w:p>
    <w:p w:rsidR="00A3743D" w:rsidRDefault="00A3743D" w:rsidP="00D2587F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>
        <w:rPr>
          <w:rFonts w:ascii="Arial" w:eastAsiaTheme="minorHAnsi" w:hAnsi="Arial" w:cs="Arial"/>
          <w:bCs/>
          <w:sz w:val="22"/>
          <w:szCs w:val="22"/>
          <w:lang w:eastAsia="es-CO"/>
        </w:rPr>
        <w:t>El plazo máximo de otorgamiento del crédito y del subsidio será hasta un (1) año.</w:t>
      </w:r>
    </w:p>
    <w:p w:rsidR="00A3743D" w:rsidRPr="00A3743D" w:rsidRDefault="00A3743D" w:rsidP="00A3743D">
      <w:pPr>
        <w:pStyle w:val="Prrafodelista"/>
        <w:rPr>
          <w:rFonts w:ascii="Arial" w:eastAsiaTheme="minorHAnsi" w:hAnsi="Arial" w:cs="Arial"/>
          <w:bCs/>
          <w:sz w:val="22"/>
          <w:szCs w:val="22"/>
          <w:lang w:eastAsia="es-CO"/>
        </w:rPr>
      </w:pPr>
    </w:p>
    <w:p w:rsidR="00524359" w:rsidRDefault="00ED4C0E" w:rsidP="00D2587F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>
        <w:rPr>
          <w:rFonts w:ascii="Arial" w:eastAsiaTheme="minorHAnsi" w:hAnsi="Arial" w:cs="Arial"/>
          <w:bCs/>
          <w:sz w:val="22"/>
          <w:szCs w:val="22"/>
          <w:lang w:eastAsia="es-CO"/>
        </w:rPr>
        <w:t>E</w:t>
      </w:r>
      <w:r w:rsidR="003B63D2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l incremento adicional del subsidio de que trata e</w:t>
      </w:r>
      <w:r w:rsidR="00524359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l literal d. del artículo 5o. de la Resolución No. 12 de 2018</w:t>
      </w:r>
      <w:r>
        <w:rPr>
          <w:rFonts w:ascii="Arial" w:eastAsiaTheme="minorHAnsi" w:hAnsi="Arial" w:cs="Arial"/>
          <w:bCs/>
          <w:sz w:val="22"/>
          <w:szCs w:val="22"/>
          <w:lang w:eastAsia="es-CO"/>
        </w:rPr>
        <w:t>, no será aplicable a los créditos de que trata es</w:t>
      </w:r>
      <w:r w:rsidR="004F60B1">
        <w:rPr>
          <w:rFonts w:ascii="Arial" w:eastAsiaTheme="minorHAnsi" w:hAnsi="Arial" w:cs="Arial"/>
          <w:bCs/>
          <w:sz w:val="22"/>
          <w:szCs w:val="22"/>
          <w:lang w:eastAsia="es-CO"/>
        </w:rPr>
        <w:t>te numeral</w:t>
      </w:r>
      <w:r w:rsidR="003B63D2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.</w:t>
      </w:r>
    </w:p>
    <w:p w:rsidR="004F60B1" w:rsidRPr="004F60B1" w:rsidRDefault="004F60B1" w:rsidP="004F60B1">
      <w:pPr>
        <w:pStyle w:val="Prrafodelista"/>
        <w:rPr>
          <w:rFonts w:ascii="Arial" w:eastAsiaTheme="minorHAnsi" w:hAnsi="Arial" w:cs="Arial"/>
          <w:bCs/>
          <w:sz w:val="22"/>
          <w:szCs w:val="22"/>
          <w:lang w:eastAsia="es-CO"/>
        </w:rPr>
      </w:pPr>
    </w:p>
    <w:p w:rsidR="00E04149" w:rsidRPr="003E6840" w:rsidRDefault="003A0FC9" w:rsidP="00037C20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Garantía FAG: Los créditos que se concedan por esta línea tendrán acceso a la garantía del FAG, para lo cual aplicarán las condiciones de cobertura y comisión que se encuentra</w:t>
      </w:r>
      <w:r w:rsidR="00A62034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n vigentes</w:t>
      </w:r>
      <w:r w:rsidR="00A03CA2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,</w:t>
      </w:r>
      <w:r w:rsidR="00A62034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 xml:space="preserve"> según se trate de pequeño o mediano productor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.</w:t>
      </w:r>
    </w:p>
    <w:p w:rsidR="00DB56ED" w:rsidRPr="003E6840" w:rsidRDefault="00DB56ED" w:rsidP="001756BF">
      <w:pPr>
        <w:ind w:left="360"/>
        <w:jc w:val="both"/>
        <w:rPr>
          <w:rFonts w:ascii="Arial" w:eastAsiaTheme="minorHAnsi" w:hAnsi="Arial" w:cs="Arial"/>
          <w:b/>
          <w:bCs/>
          <w:sz w:val="22"/>
          <w:szCs w:val="22"/>
          <w:lang w:eastAsia="es-CO"/>
        </w:rPr>
      </w:pPr>
    </w:p>
    <w:p w:rsidR="004F60B1" w:rsidRDefault="001756BF" w:rsidP="004F60B1">
      <w:pPr>
        <w:ind w:left="360"/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/>
          <w:bCs/>
          <w:sz w:val="22"/>
          <w:szCs w:val="22"/>
          <w:lang w:eastAsia="es-CO"/>
        </w:rPr>
        <w:t xml:space="preserve">Parágrafo primero. 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 xml:space="preserve">El MADR </w:t>
      </w:r>
      <w:r w:rsidR="004876F5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asigna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rá los recursos para el otorgamiento del subsidio a la tasa de interés, de acuerdo a su disponibilidad presupuestal.</w:t>
      </w:r>
    </w:p>
    <w:p w:rsidR="004F60B1" w:rsidRDefault="004F60B1" w:rsidP="004F60B1">
      <w:pPr>
        <w:ind w:left="360"/>
        <w:jc w:val="both"/>
        <w:rPr>
          <w:rFonts w:ascii="Arial" w:eastAsiaTheme="minorHAnsi" w:hAnsi="Arial" w:cs="Arial"/>
          <w:b/>
          <w:bCs/>
          <w:sz w:val="22"/>
          <w:szCs w:val="22"/>
          <w:lang w:eastAsia="es-CO"/>
        </w:rPr>
      </w:pPr>
    </w:p>
    <w:p w:rsidR="004F60B1" w:rsidRDefault="00934AE1" w:rsidP="004F60B1">
      <w:pPr>
        <w:ind w:left="360"/>
        <w:jc w:val="both"/>
        <w:rPr>
          <w:rFonts w:ascii="Arial" w:eastAsia="Arial" w:hAnsi="Arial" w:cs="Arial"/>
          <w:sz w:val="22"/>
          <w:szCs w:val="22"/>
          <w:lang w:eastAsia="es-CO" w:bidi="es-CO"/>
        </w:rPr>
      </w:pPr>
      <w:r w:rsidRPr="003E6840">
        <w:rPr>
          <w:rFonts w:ascii="Arial" w:eastAsiaTheme="minorHAnsi" w:hAnsi="Arial" w:cs="Arial"/>
          <w:b/>
          <w:bCs/>
          <w:sz w:val="22"/>
          <w:szCs w:val="22"/>
          <w:lang w:eastAsia="es-CO"/>
        </w:rPr>
        <w:t>Parágrafo segundo.</w:t>
      </w:r>
      <w:r w:rsidR="001D047D" w:rsidRPr="003E6840">
        <w:rPr>
          <w:rFonts w:ascii="Arial" w:eastAsiaTheme="minorHAnsi" w:hAnsi="Arial" w:cs="Arial"/>
          <w:b/>
          <w:bCs/>
          <w:sz w:val="22"/>
          <w:szCs w:val="22"/>
          <w:lang w:eastAsia="es-CO"/>
        </w:rPr>
        <w:t xml:space="preserve"> </w:t>
      </w:r>
      <w:r w:rsidR="004F60B1" w:rsidRPr="002B5DEF">
        <w:rPr>
          <w:rFonts w:ascii="Arial" w:eastAsia="Arial" w:hAnsi="Arial" w:cs="Arial"/>
          <w:sz w:val="22"/>
          <w:szCs w:val="22"/>
          <w:lang w:eastAsia="es-CO" w:bidi="es-CO"/>
        </w:rPr>
        <w:t>Para efectos del control de inversión, el intermediario financiero deberá verificar que los productores tengan como actividad principal la producción de café</w:t>
      </w:r>
      <w:r w:rsidR="00A3743D">
        <w:rPr>
          <w:rFonts w:ascii="Arial" w:eastAsia="Arial" w:hAnsi="Arial" w:cs="Arial"/>
          <w:sz w:val="22"/>
          <w:szCs w:val="22"/>
          <w:lang w:eastAsia="es-CO" w:bidi="es-CO"/>
        </w:rPr>
        <w:t xml:space="preserve"> a través del </w:t>
      </w:r>
      <w:r w:rsidR="00444BC1">
        <w:rPr>
          <w:rFonts w:ascii="Arial" w:eastAsia="Arial" w:hAnsi="Arial" w:cs="Arial"/>
          <w:sz w:val="22"/>
          <w:szCs w:val="22"/>
          <w:lang w:eastAsia="es-CO" w:bidi="es-CO"/>
        </w:rPr>
        <w:t xml:space="preserve">certificado de </w:t>
      </w:r>
      <w:r w:rsidR="00A3743D">
        <w:rPr>
          <w:rFonts w:ascii="Arial" w:eastAsia="Arial" w:hAnsi="Arial" w:cs="Arial"/>
          <w:sz w:val="22"/>
          <w:szCs w:val="22"/>
          <w:lang w:eastAsia="es-CO" w:bidi="es-CO"/>
        </w:rPr>
        <w:t>registro en el Sistema de Información Cafetera – SICA.</w:t>
      </w:r>
    </w:p>
    <w:p w:rsidR="004F60B1" w:rsidRDefault="004F60B1" w:rsidP="004F60B1">
      <w:pPr>
        <w:ind w:left="360"/>
        <w:jc w:val="both"/>
        <w:rPr>
          <w:rFonts w:ascii="Arial" w:eastAsiaTheme="minorHAnsi" w:hAnsi="Arial" w:cs="Arial"/>
          <w:b/>
          <w:bCs/>
          <w:sz w:val="22"/>
          <w:szCs w:val="22"/>
          <w:lang w:eastAsia="es-CO"/>
        </w:rPr>
      </w:pPr>
    </w:p>
    <w:p w:rsidR="001756BF" w:rsidRPr="004F60B1" w:rsidRDefault="00CF422C" w:rsidP="004F60B1">
      <w:pPr>
        <w:ind w:left="360"/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/>
          <w:bCs/>
          <w:sz w:val="22"/>
          <w:szCs w:val="22"/>
          <w:lang w:eastAsia="es-CO"/>
        </w:rPr>
        <w:t xml:space="preserve">Parágrafo tercero. </w:t>
      </w:r>
      <w:r w:rsidR="001D047D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Las condiciones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 xml:space="preserve"> de esta línea especial se aplicarán a las operaciones </w:t>
      </w:r>
      <w:r w:rsidR="00690FA2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 xml:space="preserve">que 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se registren en FI</w:t>
      </w:r>
      <w:r w:rsidR="00690FA2"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NA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>GRO hasta el día 31 de diciembre de 2019.</w:t>
      </w:r>
      <w:r w:rsidR="005B6A86">
        <w:rPr>
          <w:rFonts w:ascii="Arial" w:eastAsiaTheme="minorHAnsi" w:hAnsi="Arial" w:cs="Arial"/>
          <w:bCs/>
          <w:sz w:val="22"/>
          <w:szCs w:val="22"/>
          <w:lang w:eastAsia="es-CO"/>
        </w:rPr>
        <w:t>”</w:t>
      </w:r>
    </w:p>
    <w:p w:rsidR="00934AE1" w:rsidRPr="003E6840" w:rsidRDefault="00934AE1" w:rsidP="001756BF">
      <w:pPr>
        <w:ind w:left="360"/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934AE1" w:rsidRPr="003E6840" w:rsidRDefault="00934AE1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 xml:space="preserve">Artículo </w:t>
      </w:r>
      <w:r w:rsidR="003E5D38">
        <w:rPr>
          <w:rFonts w:ascii="Arial" w:eastAsiaTheme="minorHAnsi" w:hAnsi="Arial" w:cs="Arial"/>
          <w:b/>
          <w:sz w:val="22"/>
          <w:szCs w:val="22"/>
          <w:lang w:eastAsia="es-CO"/>
        </w:rPr>
        <w:t>4</w:t>
      </w:r>
      <w:r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 xml:space="preserve">o. 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>FINAGRO adoptará los procedimientos y medidas necesarias para el desarrollo de la presente Resolución para lo cual expedirá la circular reglamentaria correspondiente.</w:t>
      </w:r>
    </w:p>
    <w:p w:rsidR="00934AE1" w:rsidRPr="003E6840" w:rsidRDefault="00934AE1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934AE1" w:rsidRPr="003E6840" w:rsidRDefault="00934AE1" w:rsidP="00934AE1">
      <w:pPr>
        <w:jc w:val="both"/>
        <w:rPr>
          <w:rFonts w:ascii="Arial" w:eastAsiaTheme="minorHAnsi" w:hAnsi="Arial" w:cs="Arial"/>
          <w:b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/>
          <w:sz w:val="22"/>
          <w:szCs w:val="22"/>
          <w:lang w:eastAsia="es-CO"/>
        </w:rPr>
        <w:lastRenderedPageBreak/>
        <w:t xml:space="preserve">Artículo </w:t>
      </w:r>
      <w:r w:rsidR="003E5D38">
        <w:rPr>
          <w:rFonts w:ascii="Arial" w:eastAsiaTheme="minorHAnsi" w:hAnsi="Arial" w:cs="Arial"/>
          <w:b/>
          <w:sz w:val="22"/>
          <w:szCs w:val="22"/>
          <w:lang w:eastAsia="es-CO"/>
        </w:rPr>
        <w:t>5</w:t>
      </w:r>
      <w:r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 xml:space="preserve">o. </w:t>
      </w:r>
      <w:r w:rsidR="002A467C"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 xml:space="preserve"> 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>L</w:t>
      </w:r>
      <w:r w:rsidR="00D75A10" w:rsidRPr="003E6840">
        <w:rPr>
          <w:rFonts w:ascii="Arial" w:eastAsiaTheme="minorHAnsi" w:hAnsi="Arial" w:cs="Arial"/>
          <w:sz w:val="22"/>
          <w:szCs w:val="22"/>
          <w:lang w:eastAsia="es-CO"/>
        </w:rPr>
        <w:t>a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 presente Resolución rige a partir de la fecha de su publicación en el Diario Oficial y sus efectos aplicarán a partir de la fecha en que FINAGRO</w:t>
      </w:r>
      <w:r w:rsidR="002A467C"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 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>disponga de los recursos presupuestales</w:t>
      </w:r>
      <w:r w:rsidR="00841796"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 que se destinen para el desarrollo de ésta línea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>.</w:t>
      </w:r>
    </w:p>
    <w:p w:rsidR="00934AE1" w:rsidRPr="003E6840" w:rsidRDefault="00934AE1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1559B1" w:rsidRPr="003E6840" w:rsidRDefault="001559B1" w:rsidP="001559B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 xml:space="preserve">Artículo </w:t>
      </w:r>
      <w:r w:rsidR="003E5D38">
        <w:rPr>
          <w:rFonts w:ascii="Arial" w:eastAsiaTheme="minorHAnsi" w:hAnsi="Arial" w:cs="Arial"/>
          <w:b/>
          <w:sz w:val="22"/>
          <w:szCs w:val="22"/>
          <w:lang w:eastAsia="es-CO"/>
        </w:rPr>
        <w:t>6</w:t>
      </w:r>
      <w:r w:rsidR="008C5AA6"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>o</w:t>
      </w:r>
      <w:r w:rsidRPr="003E6840">
        <w:rPr>
          <w:rFonts w:ascii="Arial" w:eastAsiaTheme="minorHAnsi" w:hAnsi="Arial" w:cs="Arial"/>
          <w:b/>
          <w:sz w:val="22"/>
          <w:szCs w:val="22"/>
          <w:lang w:eastAsia="es-CO"/>
        </w:rPr>
        <w:t xml:space="preserve">. 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Los términos y condiciones establecidos en las demás Resoluciones de la Comisión Nacional de Crédito Agropecuario permanecerán inalterados y conservarán toda su vigencia y efecto, en cuanto no se opongan a lo establecido en la presente Resolución.                                                                                                            </w:t>
      </w:r>
    </w:p>
    <w:p w:rsidR="001559B1" w:rsidRPr="003E6840" w:rsidRDefault="001559B1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2A467C" w:rsidRPr="003E6840" w:rsidRDefault="002A467C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934AE1" w:rsidRPr="003E6840" w:rsidRDefault="00934AE1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Dada en Bogotá, D.C. a los </w:t>
      </w:r>
      <w:r w:rsidR="000326D2" w:rsidRPr="003E6840">
        <w:rPr>
          <w:rFonts w:ascii="Arial" w:eastAsiaTheme="minorHAnsi" w:hAnsi="Arial" w:cs="Arial"/>
          <w:sz w:val="22"/>
          <w:szCs w:val="22"/>
          <w:lang w:eastAsia="es-CO"/>
        </w:rPr>
        <w:t>11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 días del mes de </w:t>
      </w:r>
      <w:r w:rsidR="000326D2" w:rsidRPr="003E6840">
        <w:rPr>
          <w:rFonts w:ascii="Arial" w:eastAsiaTheme="minorHAnsi" w:hAnsi="Arial" w:cs="Arial"/>
          <w:sz w:val="22"/>
          <w:szCs w:val="22"/>
          <w:lang w:eastAsia="es-CO"/>
        </w:rPr>
        <w:t>junio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 xml:space="preserve"> de dos mil diecinueve (2019). </w:t>
      </w:r>
    </w:p>
    <w:p w:rsidR="00F60BD3" w:rsidRPr="003E6840" w:rsidRDefault="00F60BD3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F60BD3" w:rsidRPr="003E6840" w:rsidRDefault="00F60BD3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F60BD3" w:rsidRPr="003E6840" w:rsidRDefault="00F60BD3" w:rsidP="00934AE1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F60BD3" w:rsidRPr="003E6840" w:rsidRDefault="00F60BD3" w:rsidP="00F60BD3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</w:p>
    <w:p w:rsidR="00F60BD3" w:rsidRPr="003E6840" w:rsidRDefault="00F60BD3" w:rsidP="00F60BD3">
      <w:pPr>
        <w:jc w:val="both"/>
        <w:rPr>
          <w:rFonts w:ascii="Arial" w:eastAsiaTheme="minorHAnsi" w:hAnsi="Arial" w:cs="Arial"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sz w:val="22"/>
          <w:szCs w:val="22"/>
          <w:lang w:eastAsia="es-CO"/>
        </w:rPr>
        <w:t>ANDRÉS VALENCIA PINZÓN</w:t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sz w:val="22"/>
          <w:szCs w:val="22"/>
          <w:lang w:eastAsia="es-CO"/>
        </w:rPr>
        <w:tab/>
        <w:t xml:space="preserve"> CLAUDIA ACOSTA ECHEVERRÍA</w:t>
      </w:r>
    </w:p>
    <w:p w:rsidR="00F60BD3" w:rsidRPr="003E6840" w:rsidRDefault="00F60BD3" w:rsidP="00F60BD3">
      <w:pPr>
        <w:jc w:val="both"/>
        <w:rPr>
          <w:rFonts w:ascii="Arial" w:eastAsiaTheme="minorHAnsi" w:hAnsi="Arial" w:cs="Arial"/>
          <w:bCs/>
          <w:sz w:val="22"/>
          <w:szCs w:val="22"/>
          <w:lang w:eastAsia="es-CO"/>
        </w:rPr>
      </w:pP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 xml:space="preserve">           Presidente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  <w:t>Secretaria Técnica (E)</w:t>
      </w:r>
      <w:r w:rsidRPr="003E6840">
        <w:rPr>
          <w:rFonts w:ascii="Arial" w:eastAsiaTheme="minorHAnsi" w:hAnsi="Arial" w:cs="Arial"/>
          <w:bCs/>
          <w:sz w:val="22"/>
          <w:szCs w:val="22"/>
          <w:lang w:eastAsia="es-CO"/>
        </w:rPr>
        <w:tab/>
      </w:r>
    </w:p>
    <w:sectPr w:rsidR="00F60BD3" w:rsidRPr="003E6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9D3"/>
    <w:multiLevelType w:val="hybridMultilevel"/>
    <w:tmpl w:val="712E6802"/>
    <w:lvl w:ilvl="0" w:tplc="B31CD12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42770"/>
    <w:multiLevelType w:val="hybridMultilevel"/>
    <w:tmpl w:val="39EC689E"/>
    <w:lvl w:ilvl="0" w:tplc="257A10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D0C52"/>
    <w:multiLevelType w:val="hybridMultilevel"/>
    <w:tmpl w:val="39EC689E"/>
    <w:lvl w:ilvl="0" w:tplc="257A10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109FD"/>
    <w:multiLevelType w:val="hybridMultilevel"/>
    <w:tmpl w:val="0FDA6A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8F6"/>
    <w:multiLevelType w:val="hybridMultilevel"/>
    <w:tmpl w:val="46CA45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6BA4"/>
    <w:multiLevelType w:val="hybridMultilevel"/>
    <w:tmpl w:val="73D40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1B54"/>
    <w:multiLevelType w:val="hybridMultilevel"/>
    <w:tmpl w:val="3E14E904"/>
    <w:lvl w:ilvl="0" w:tplc="D37247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D7AA6"/>
    <w:multiLevelType w:val="hybridMultilevel"/>
    <w:tmpl w:val="1B561AA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5A74"/>
    <w:multiLevelType w:val="hybridMultilevel"/>
    <w:tmpl w:val="A3429E4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4E"/>
    <w:rsid w:val="00001003"/>
    <w:rsid w:val="000052B1"/>
    <w:rsid w:val="00031B52"/>
    <w:rsid w:val="00032207"/>
    <w:rsid w:val="000326D2"/>
    <w:rsid w:val="000373B3"/>
    <w:rsid w:val="00037C20"/>
    <w:rsid w:val="0004735D"/>
    <w:rsid w:val="00071417"/>
    <w:rsid w:val="000735DE"/>
    <w:rsid w:val="0009060F"/>
    <w:rsid w:val="000977B0"/>
    <w:rsid w:val="000B36B1"/>
    <w:rsid w:val="000C4E10"/>
    <w:rsid w:val="000D2267"/>
    <w:rsid w:val="000D7FF5"/>
    <w:rsid w:val="001150AC"/>
    <w:rsid w:val="00125293"/>
    <w:rsid w:val="00132429"/>
    <w:rsid w:val="00135EC2"/>
    <w:rsid w:val="00141CF9"/>
    <w:rsid w:val="001559B1"/>
    <w:rsid w:val="00156504"/>
    <w:rsid w:val="0017196A"/>
    <w:rsid w:val="001756BF"/>
    <w:rsid w:val="001930B8"/>
    <w:rsid w:val="00193898"/>
    <w:rsid w:val="001D01FD"/>
    <w:rsid w:val="001D047D"/>
    <w:rsid w:val="001D34F5"/>
    <w:rsid w:val="002026A2"/>
    <w:rsid w:val="00227156"/>
    <w:rsid w:val="00230828"/>
    <w:rsid w:val="00240C30"/>
    <w:rsid w:val="00266FD1"/>
    <w:rsid w:val="00270C61"/>
    <w:rsid w:val="00274791"/>
    <w:rsid w:val="002918B5"/>
    <w:rsid w:val="002A467C"/>
    <w:rsid w:val="002E286E"/>
    <w:rsid w:val="00316725"/>
    <w:rsid w:val="00322C47"/>
    <w:rsid w:val="00331BD1"/>
    <w:rsid w:val="003418F9"/>
    <w:rsid w:val="00342A03"/>
    <w:rsid w:val="00364A89"/>
    <w:rsid w:val="00374D6C"/>
    <w:rsid w:val="00384CD2"/>
    <w:rsid w:val="003A0FC9"/>
    <w:rsid w:val="003B63D2"/>
    <w:rsid w:val="003C381D"/>
    <w:rsid w:val="003E510D"/>
    <w:rsid w:val="003E5D38"/>
    <w:rsid w:val="003E6840"/>
    <w:rsid w:val="003F4BEC"/>
    <w:rsid w:val="004027C4"/>
    <w:rsid w:val="00422114"/>
    <w:rsid w:val="00441CDF"/>
    <w:rsid w:val="00444BC1"/>
    <w:rsid w:val="00450D4D"/>
    <w:rsid w:val="00464328"/>
    <w:rsid w:val="0047460F"/>
    <w:rsid w:val="004876F5"/>
    <w:rsid w:val="004902CB"/>
    <w:rsid w:val="004A41B7"/>
    <w:rsid w:val="004D3533"/>
    <w:rsid w:val="004E585A"/>
    <w:rsid w:val="004F0787"/>
    <w:rsid w:val="004F60B1"/>
    <w:rsid w:val="004F7D5D"/>
    <w:rsid w:val="0051391B"/>
    <w:rsid w:val="00524359"/>
    <w:rsid w:val="0053001F"/>
    <w:rsid w:val="005333F7"/>
    <w:rsid w:val="00547CCB"/>
    <w:rsid w:val="00555511"/>
    <w:rsid w:val="0056121E"/>
    <w:rsid w:val="00596E28"/>
    <w:rsid w:val="005A5700"/>
    <w:rsid w:val="005B4DB9"/>
    <w:rsid w:val="005B5889"/>
    <w:rsid w:val="005B6A86"/>
    <w:rsid w:val="005C3D34"/>
    <w:rsid w:val="005C4515"/>
    <w:rsid w:val="005E5B6D"/>
    <w:rsid w:val="005F61D4"/>
    <w:rsid w:val="006050AE"/>
    <w:rsid w:val="00622531"/>
    <w:rsid w:val="006439D2"/>
    <w:rsid w:val="00653D3B"/>
    <w:rsid w:val="00657894"/>
    <w:rsid w:val="00676845"/>
    <w:rsid w:val="00682874"/>
    <w:rsid w:val="00690FA2"/>
    <w:rsid w:val="006B5524"/>
    <w:rsid w:val="006C35AB"/>
    <w:rsid w:val="006E0F3B"/>
    <w:rsid w:val="006E4B69"/>
    <w:rsid w:val="00711327"/>
    <w:rsid w:val="0072634E"/>
    <w:rsid w:val="00755906"/>
    <w:rsid w:val="00767D2C"/>
    <w:rsid w:val="007926AC"/>
    <w:rsid w:val="007968CA"/>
    <w:rsid w:val="007C003B"/>
    <w:rsid w:val="007C4286"/>
    <w:rsid w:val="007C49ED"/>
    <w:rsid w:val="007D075B"/>
    <w:rsid w:val="007E770A"/>
    <w:rsid w:val="00801F3C"/>
    <w:rsid w:val="00830451"/>
    <w:rsid w:val="00841796"/>
    <w:rsid w:val="008608AE"/>
    <w:rsid w:val="00872A96"/>
    <w:rsid w:val="008822D7"/>
    <w:rsid w:val="0089721B"/>
    <w:rsid w:val="008A549C"/>
    <w:rsid w:val="008B5ED8"/>
    <w:rsid w:val="008C4DEE"/>
    <w:rsid w:val="008C5AA6"/>
    <w:rsid w:val="008D6FE0"/>
    <w:rsid w:val="008E3C18"/>
    <w:rsid w:val="008E7BC8"/>
    <w:rsid w:val="008F2F92"/>
    <w:rsid w:val="0091313E"/>
    <w:rsid w:val="00916D6E"/>
    <w:rsid w:val="00934AE1"/>
    <w:rsid w:val="00942DB5"/>
    <w:rsid w:val="00950F27"/>
    <w:rsid w:val="009814FF"/>
    <w:rsid w:val="009C3394"/>
    <w:rsid w:val="009E3066"/>
    <w:rsid w:val="00A001A5"/>
    <w:rsid w:val="00A03CA2"/>
    <w:rsid w:val="00A06DA2"/>
    <w:rsid w:val="00A14767"/>
    <w:rsid w:val="00A2047F"/>
    <w:rsid w:val="00A3743D"/>
    <w:rsid w:val="00A4067E"/>
    <w:rsid w:val="00A54EB8"/>
    <w:rsid w:val="00A54FDF"/>
    <w:rsid w:val="00A62034"/>
    <w:rsid w:val="00A63C0E"/>
    <w:rsid w:val="00A72C46"/>
    <w:rsid w:val="00AA461C"/>
    <w:rsid w:val="00AA46F7"/>
    <w:rsid w:val="00AC7D03"/>
    <w:rsid w:val="00AD5EFA"/>
    <w:rsid w:val="00AF1F3C"/>
    <w:rsid w:val="00B32E22"/>
    <w:rsid w:val="00B3396E"/>
    <w:rsid w:val="00B63A11"/>
    <w:rsid w:val="00B73B78"/>
    <w:rsid w:val="00B775E7"/>
    <w:rsid w:val="00B94846"/>
    <w:rsid w:val="00B95365"/>
    <w:rsid w:val="00BA17F2"/>
    <w:rsid w:val="00BB2250"/>
    <w:rsid w:val="00BC0D85"/>
    <w:rsid w:val="00BC4941"/>
    <w:rsid w:val="00BE42E1"/>
    <w:rsid w:val="00BE7948"/>
    <w:rsid w:val="00C07B30"/>
    <w:rsid w:val="00C157D5"/>
    <w:rsid w:val="00C2438A"/>
    <w:rsid w:val="00C4325D"/>
    <w:rsid w:val="00C70CFC"/>
    <w:rsid w:val="00C9420A"/>
    <w:rsid w:val="00CA2A3A"/>
    <w:rsid w:val="00CB02C3"/>
    <w:rsid w:val="00CC2B38"/>
    <w:rsid w:val="00CE5974"/>
    <w:rsid w:val="00CF0F73"/>
    <w:rsid w:val="00CF422C"/>
    <w:rsid w:val="00D01B27"/>
    <w:rsid w:val="00D02512"/>
    <w:rsid w:val="00D10666"/>
    <w:rsid w:val="00D14038"/>
    <w:rsid w:val="00D14191"/>
    <w:rsid w:val="00D2587F"/>
    <w:rsid w:val="00D353C1"/>
    <w:rsid w:val="00D44011"/>
    <w:rsid w:val="00D60DDB"/>
    <w:rsid w:val="00D75A10"/>
    <w:rsid w:val="00D9319B"/>
    <w:rsid w:val="00DA1477"/>
    <w:rsid w:val="00DA45D2"/>
    <w:rsid w:val="00DB56ED"/>
    <w:rsid w:val="00DC70B0"/>
    <w:rsid w:val="00DE4243"/>
    <w:rsid w:val="00DE7E02"/>
    <w:rsid w:val="00DF0FAB"/>
    <w:rsid w:val="00E04149"/>
    <w:rsid w:val="00E27CA4"/>
    <w:rsid w:val="00E73BC4"/>
    <w:rsid w:val="00E8747D"/>
    <w:rsid w:val="00E90D1E"/>
    <w:rsid w:val="00EA142A"/>
    <w:rsid w:val="00EB0FFD"/>
    <w:rsid w:val="00EC0C98"/>
    <w:rsid w:val="00EC4050"/>
    <w:rsid w:val="00ED3518"/>
    <w:rsid w:val="00ED4C0E"/>
    <w:rsid w:val="00EF5AB3"/>
    <w:rsid w:val="00F32161"/>
    <w:rsid w:val="00F34D5F"/>
    <w:rsid w:val="00F36F1D"/>
    <w:rsid w:val="00F50312"/>
    <w:rsid w:val="00F60BD3"/>
    <w:rsid w:val="00F81F3A"/>
    <w:rsid w:val="00F838B4"/>
    <w:rsid w:val="00F87201"/>
    <w:rsid w:val="00FB5DF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791E"/>
  <w15:chartTrackingRefBased/>
  <w15:docId w15:val="{E51D5B5D-B8CA-4774-8AD5-8D3BF1A2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egundo nivel de viñetas,titulo 3,Bullets,Chulito,Bullet List,FooterText,numbered,List Paragraph1,Paragraphe de liste1,lp1,Bulletr List Paragraph,Foot,列出段落,列出段落1,List Paragraph2,List Paragraph21,Parágrafo da Lista1,リスト段落1,Listeafsnit1"/>
    <w:basedOn w:val="Normal"/>
    <w:link w:val="PrrafodelistaCar"/>
    <w:uiPriority w:val="34"/>
    <w:qFormat/>
    <w:rsid w:val="006E4B69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Textoindependiente">
    <w:name w:val="Body Text"/>
    <w:basedOn w:val="Normal"/>
    <w:link w:val="TextoindependienteCar"/>
    <w:rsid w:val="006E4B69"/>
    <w:pPr>
      <w:widowControl/>
      <w:autoSpaceDE/>
      <w:autoSpaceDN/>
      <w:adjustRightInd/>
      <w:jc w:val="both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6E4B69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2">
    <w:name w:val="p2"/>
    <w:basedOn w:val="Normal"/>
    <w:rsid w:val="006E4B69"/>
    <w:pPr>
      <w:tabs>
        <w:tab w:val="left" w:pos="170"/>
      </w:tabs>
      <w:spacing w:line="240" w:lineRule="atLeast"/>
      <w:ind w:left="754"/>
      <w:jc w:val="both"/>
    </w:pPr>
    <w:rPr>
      <w:rFonts w:eastAsia="Times New Roman"/>
      <w:lang w:val="en-US"/>
    </w:rPr>
  </w:style>
  <w:style w:type="paragraph" w:customStyle="1" w:styleId="Textosinformato1">
    <w:name w:val="Texto sin formato1"/>
    <w:basedOn w:val="Normal"/>
    <w:rsid w:val="006E4B69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60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8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8B4"/>
    <w:rPr>
      <w:rFonts w:ascii="Segoe UI" w:eastAsia="Calibri" w:hAnsi="Segoe UI" w:cs="Segoe UI"/>
      <w:sz w:val="18"/>
      <w:szCs w:val="18"/>
      <w:lang w:val="es-ES" w:eastAsia="es-ES"/>
    </w:rPr>
  </w:style>
  <w:style w:type="paragraph" w:customStyle="1" w:styleId="c5">
    <w:name w:val="c5"/>
    <w:basedOn w:val="Normal"/>
    <w:rsid w:val="005A5700"/>
    <w:pPr>
      <w:widowControl/>
      <w:adjustRightInd/>
      <w:spacing w:line="240" w:lineRule="atLeast"/>
      <w:jc w:val="center"/>
    </w:pPr>
    <w:rPr>
      <w:rFonts w:eastAsia="Times New Roman"/>
    </w:rPr>
  </w:style>
  <w:style w:type="character" w:customStyle="1" w:styleId="PrrafodelistaCar">
    <w:name w:val="Párrafo de lista Car"/>
    <w:aliases w:val="Segundo nivel de viñetas Car,titulo 3 Car,Bullets Car,Chulito Car,Bullet List Car,FooterText Car,numbered Car,List Paragraph1 Car,Paragraphe de liste1 Car,lp1 Car,Bulletr List Paragraph Car,Foot Car,列出段落 Car,列出段落1 Car,リスト段落1 Car"/>
    <w:link w:val="Prrafodelista"/>
    <w:uiPriority w:val="34"/>
    <w:rsid w:val="004F60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97D8-534D-4F56-87C0-D8DF8C4F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García Correa</dc:creator>
  <cp:keywords/>
  <dc:description/>
  <cp:lastModifiedBy>Claudia Acosta Echeverría</cp:lastModifiedBy>
  <cp:revision>5</cp:revision>
  <cp:lastPrinted>2019-06-05T14:56:00Z</cp:lastPrinted>
  <dcterms:created xsi:type="dcterms:W3CDTF">2019-06-05T22:25:00Z</dcterms:created>
  <dcterms:modified xsi:type="dcterms:W3CDTF">2019-06-05T22:31:00Z</dcterms:modified>
</cp:coreProperties>
</file>