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5C" w:rsidRPr="0039191B" w:rsidRDefault="000D68B7">
      <w:pPr>
        <w:pStyle w:val="c4"/>
        <w:tabs>
          <w:tab w:val="left" w:pos="-374"/>
          <w:tab w:val="left" w:pos="0"/>
        </w:tabs>
        <w:spacing w:line="240" w:lineRule="auto"/>
        <w:rPr>
          <w:rFonts w:ascii="Arial" w:hAnsi="Arial" w:cs="Arial"/>
          <w:b/>
          <w:sz w:val="22"/>
          <w:szCs w:val="22"/>
          <w:lang w:val="es-CO"/>
        </w:rPr>
      </w:pPr>
      <w:r w:rsidRPr="0039191B">
        <w:rPr>
          <w:rFonts w:ascii="Arial" w:hAnsi="Arial" w:cs="Arial"/>
          <w:b/>
          <w:sz w:val="22"/>
          <w:szCs w:val="22"/>
          <w:lang w:val="es-CO"/>
        </w:rPr>
        <w:t>REPÚBLICA DE COLOMBIA</w:t>
      </w:r>
    </w:p>
    <w:p w:rsidR="006C355C" w:rsidRPr="0039191B" w:rsidRDefault="006C355C">
      <w:pPr>
        <w:tabs>
          <w:tab w:val="left" w:pos="204"/>
        </w:tabs>
        <w:jc w:val="center"/>
        <w:rPr>
          <w:rFonts w:ascii="Arial" w:hAnsi="Arial" w:cs="Arial"/>
          <w:b/>
          <w:sz w:val="22"/>
          <w:szCs w:val="22"/>
          <w:lang w:val="es-CO"/>
        </w:rPr>
      </w:pPr>
    </w:p>
    <w:p w:rsidR="006C355C" w:rsidRPr="0039191B" w:rsidRDefault="000D68B7">
      <w:pPr>
        <w:pStyle w:val="c4"/>
        <w:tabs>
          <w:tab w:val="left" w:pos="204"/>
        </w:tabs>
        <w:spacing w:line="240" w:lineRule="auto"/>
        <w:rPr>
          <w:rFonts w:ascii="Arial" w:hAnsi="Arial" w:cs="Arial"/>
          <w:b/>
          <w:sz w:val="22"/>
          <w:szCs w:val="22"/>
          <w:lang w:val="es-CO"/>
        </w:rPr>
      </w:pPr>
      <w:r w:rsidRPr="0039191B">
        <w:rPr>
          <w:rFonts w:ascii="Arial" w:hAnsi="Arial" w:cs="Arial"/>
          <w:b/>
          <w:sz w:val="22"/>
          <w:szCs w:val="22"/>
          <w:lang w:val="es-CO"/>
        </w:rPr>
        <w:t>COMISIÓN NACIONAL DE CRÉDITO AGROPECUARIO</w:t>
      </w:r>
    </w:p>
    <w:p w:rsidR="006C355C" w:rsidRPr="0039191B" w:rsidRDefault="006C355C">
      <w:pPr>
        <w:tabs>
          <w:tab w:val="left" w:pos="204"/>
        </w:tabs>
        <w:jc w:val="center"/>
        <w:rPr>
          <w:rFonts w:ascii="Arial" w:hAnsi="Arial" w:cs="Arial"/>
          <w:b/>
          <w:sz w:val="22"/>
          <w:szCs w:val="22"/>
          <w:lang w:val="es-CO"/>
        </w:rPr>
      </w:pPr>
    </w:p>
    <w:p w:rsidR="006C355C" w:rsidRPr="0039191B" w:rsidRDefault="00C71267">
      <w:pPr>
        <w:pStyle w:val="c5"/>
        <w:tabs>
          <w:tab w:val="left" w:pos="204"/>
        </w:tabs>
        <w:spacing w:line="240" w:lineRule="auto"/>
        <w:rPr>
          <w:rFonts w:ascii="Arial" w:hAnsi="Arial" w:cs="Arial"/>
          <w:b/>
          <w:sz w:val="22"/>
          <w:szCs w:val="22"/>
          <w:lang w:val="es-CO"/>
        </w:rPr>
      </w:pPr>
      <w:r w:rsidRPr="0039191B">
        <w:rPr>
          <w:rFonts w:ascii="Arial" w:hAnsi="Arial" w:cs="Arial"/>
          <w:b/>
          <w:sz w:val="22"/>
          <w:szCs w:val="22"/>
          <w:lang w:val="es-CO"/>
        </w:rPr>
        <w:t>RESOLUCIÓN No.__</w:t>
      </w:r>
      <w:r w:rsidR="000D68B7" w:rsidRPr="0039191B">
        <w:rPr>
          <w:rFonts w:ascii="Arial" w:hAnsi="Arial" w:cs="Arial"/>
          <w:b/>
          <w:sz w:val="22"/>
          <w:szCs w:val="22"/>
          <w:lang w:val="es-CO"/>
        </w:rPr>
        <w:t xml:space="preserve"> </w:t>
      </w:r>
      <w:r w:rsidRPr="0039191B">
        <w:rPr>
          <w:rFonts w:ascii="Arial" w:hAnsi="Arial" w:cs="Arial"/>
          <w:b/>
          <w:sz w:val="22"/>
          <w:szCs w:val="22"/>
          <w:lang w:val="es-CO"/>
        </w:rPr>
        <w:t xml:space="preserve">DE </w:t>
      </w:r>
      <w:r w:rsidR="00700E67" w:rsidRPr="0039191B">
        <w:rPr>
          <w:rFonts w:ascii="Arial" w:hAnsi="Arial" w:cs="Arial"/>
          <w:b/>
          <w:sz w:val="22"/>
          <w:szCs w:val="22"/>
          <w:lang w:val="es-CO"/>
        </w:rPr>
        <w:t>201</w:t>
      </w:r>
      <w:r w:rsidRPr="0039191B">
        <w:rPr>
          <w:rFonts w:ascii="Arial" w:hAnsi="Arial" w:cs="Arial"/>
          <w:b/>
          <w:sz w:val="22"/>
          <w:szCs w:val="22"/>
          <w:lang w:val="es-CO"/>
        </w:rPr>
        <w:t>9</w:t>
      </w:r>
    </w:p>
    <w:p w:rsidR="004A658F" w:rsidRPr="0039191B" w:rsidRDefault="004A658F">
      <w:pPr>
        <w:pStyle w:val="c5"/>
        <w:tabs>
          <w:tab w:val="left" w:pos="204"/>
        </w:tabs>
        <w:spacing w:line="240" w:lineRule="auto"/>
        <w:rPr>
          <w:rFonts w:ascii="Arial" w:hAnsi="Arial" w:cs="Arial"/>
          <w:b/>
          <w:sz w:val="22"/>
          <w:szCs w:val="22"/>
          <w:lang w:val="es-CO"/>
        </w:rPr>
      </w:pPr>
      <w:r w:rsidRPr="0039191B">
        <w:rPr>
          <w:rFonts w:ascii="Arial" w:hAnsi="Arial" w:cs="Arial"/>
          <w:b/>
          <w:sz w:val="22"/>
          <w:szCs w:val="22"/>
          <w:lang w:val="es-CO"/>
        </w:rPr>
        <w:t xml:space="preserve">(Febrero </w:t>
      </w:r>
      <w:r w:rsidR="0087371E">
        <w:rPr>
          <w:rFonts w:ascii="Arial" w:hAnsi="Arial" w:cs="Arial"/>
          <w:b/>
          <w:sz w:val="22"/>
          <w:szCs w:val="22"/>
          <w:lang w:val="es-CO"/>
        </w:rPr>
        <w:t>XX</w:t>
      </w:r>
      <w:r w:rsidRPr="0039191B">
        <w:rPr>
          <w:rFonts w:ascii="Arial" w:hAnsi="Arial" w:cs="Arial"/>
          <w:b/>
          <w:sz w:val="22"/>
          <w:szCs w:val="22"/>
          <w:lang w:val="es-CO"/>
        </w:rPr>
        <w:t>)</w:t>
      </w:r>
    </w:p>
    <w:p w:rsidR="006C355C" w:rsidRPr="0039191B" w:rsidRDefault="006C355C">
      <w:pPr>
        <w:tabs>
          <w:tab w:val="left" w:pos="204"/>
        </w:tabs>
        <w:jc w:val="center"/>
        <w:rPr>
          <w:rFonts w:ascii="Arial" w:hAnsi="Arial" w:cs="Arial"/>
          <w:sz w:val="22"/>
          <w:szCs w:val="22"/>
          <w:lang w:val="es-CO"/>
        </w:rPr>
      </w:pPr>
    </w:p>
    <w:p w:rsidR="006C355C" w:rsidRPr="0039191B" w:rsidRDefault="00564ABE">
      <w:pPr>
        <w:pStyle w:val="c5"/>
        <w:tabs>
          <w:tab w:val="left" w:pos="204"/>
        </w:tabs>
        <w:spacing w:line="240" w:lineRule="auto"/>
        <w:rPr>
          <w:rFonts w:ascii="Arial" w:hAnsi="Arial" w:cs="Arial"/>
          <w:sz w:val="22"/>
          <w:szCs w:val="22"/>
          <w:lang w:val="es-CO"/>
        </w:rPr>
      </w:pPr>
      <w:r w:rsidRPr="0039191B">
        <w:rPr>
          <w:rFonts w:ascii="Arial" w:hAnsi="Arial" w:cs="Arial"/>
          <w:sz w:val="22"/>
          <w:szCs w:val="22"/>
          <w:lang w:val="es-CO"/>
        </w:rPr>
        <w:t>“</w:t>
      </w:r>
      <w:r w:rsidR="00700E67" w:rsidRPr="0039191B">
        <w:rPr>
          <w:rFonts w:ascii="Arial" w:hAnsi="Arial" w:cs="Arial"/>
          <w:sz w:val="22"/>
          <w:szCs w:val="22"/>
          <w:lang w:val="es-CO"/>
        </w:rPr>
        <w:t>Por la cual se establece</w:t>
      </w:r>
      <w:r w:rsidR="00525879" w:rsidRPr="0039191B">
        <w:rPr>
          <w:rFonts w:ascii="Arial" w:hAnsi="Arial" w:cs="Arial"/>
          <w:sz w:val="22"/>
          <w:szCs w:val="22"/>
          <w:lang w:val="es-CO"/>
        </w:rPr>
        <w:t xml:space="preserve"> una Línea Especial de Crédito para la</w:t>
      </w:r>
      <w:r w:rsidR="002D3251" w:rsidRPr="0039191B">
        <w:rPr>
          <w:rFonts w:ascii="Arial" w:hAnsi="Arial" w:cs="Arial"/>
          <w:sz w:val="22"/>
          <w:szCs w:val="22"/>
          <w:lang w:val="es-CO"/>
        </w:rPr>
        <w:t xml:space="preserve"> </w:t>
      </w:r>
      <w:r w:rsidR="00B64EC5" w:rsidRPr="0039191B">
        <w:rPr>
          <w:rFonts w:ascii="Arial" w:hAnsi="Arial" w:cs="Arial"/>
          <w:sz w:val="22"/>
          <w:szCs w:val="22"/>
          <w:lang w:val="es-CO"/>
        </w:rPr>
        <w:t xml:space="preserve">Compra </w:t>
      </w:r>
      <w:r w:rsidR="002D3251" w:rsidRPr="0039191B">
        <w:rPr>
          <w:rFonts w:ascii="Arial" w:hAnsi="Arial" w:cs="Arial"/>
          <w:sz w:val="22"/>
          <w:szCs w:val="22"/>
          <w:lang w:val="es-CO"/>
        </w:rPr>
        <w:t xml:space="preserve">de </w:t>
      </w:r>
      <w:r w:rsidR="00B64EC5" w:rsidRPr="0039191B">
        <w:rPr>
          <w:rFonts w:ascii="Arial" w:hAnsi="Arial" w:cs="Arial"/>
          <w:sz w:val="22"/>
          <w:szCs w:val="22"/>
          <w:lang w:val="es-CO"/>
        </w:rPr>
        <w:t xml:space="preserve">Tierra </w:t>
      </w:r>
      <w:r w:rsidR="002D3251" w:rsidRPr="0039191B">
        <w:rPr>
          <w:rFonts w:ascii="Arial" w:hAnsi="Arial" w:cs="Arial"/>
          <w:sz w:val="22"/>
          <w:szCs w:val="22"/>
          <w:lang w:val="es-CO"/>
        </w:rPr>
        <w:t xml:space="preserve">para </w:t>
      </w:r>
      <w:r w:rsidR="00B64EC5" w:rsidRPr="0039191B">
        <w:rPr>
          <w:rFonts w:ascii="Arial" w:hAnsi="Arial" w:cs="Arial"/>
          <w:sz w:val="22"/>
          <w:szCs w:val="22"/>
          <w:lang w:val="es-CO"/>
        </w:rPr>
        <w:t xml:space="preserve">Uso Agropecuario </w:t>
      </w:r>
      <w:r w:rsidRPr="0039191B">
        <w:rPr>
          <w:rFonts w:ascii="Arial" w:hAnsi="Arial" w:cs="Arial"/>
          <w:sz w:val="22"/>
          <w:szCs w:val="22"/>
          <w:lang w:val="es-CO"/>
        </w:rPr>
        <w:t>y otras</w:t>
      </w:r>
      <w:r w:rsidR="00B04F28">
        <w:rPr>
          <w:rFonts w:ascii="Arial" w:hAnsi="Arial" w:cs="Arial"/>
          <w:sz w:val="22"/>
          <w:szCs w:val="22"/>
          <w:lang w:val="es-CO"/>
        </w:rPr>
        <w:t xml:space="preserve"> se dictan otras</w:t>
      </w:r>
      <w:r w:rsidRPr="0039191B">
        <w:rPr>
          <w:rFonts w:ascii="Arial" w:hAnsi="Arial" w:cs="Arial"/>
          <w:sz w:val="22"/>
          <w:szCs w:val="22"/>
          <w:lang w:val="es-CO"/>
        </w:rPr>
        <w:t xml:space="preserve"> disposiciones”</w:t>
      </w:r>
    </w:p>
    <w:p w:rsidR="006C355C" w:rsidRPr="0039191B" w:rsidRDefault="006C355C">
      <w:pPr>
        <w:tabs>
          <w:tab w:val="left" w:pos="204"/>
        </w:tabs>
        <w:jc w:val="center"/>
        <w:rPr>
          <w:rFonts w:ascii="Arial" w:hAnsi="Arial" w:cs="Arial"/>
          <w:sz w:val="22"/>
          <w:szCs w:val="22"/>
          <w:lang w:val="es-CO"/>
        </w:rPr>
      </w:pPr>
    </w:p>
    <w:p w:rsidR="006C355C" w:rsidRPr="0039191B" w:rsidRDefault="000D68B7">
      <w:pPr>
        <w:pStyle w:val="c5"/>
        <w:tabs>
          <w:tab w:val="left" w:pos="204"/>
        </w:tabs>
        <w:spacing w:line="240" w:lineRule="auto"/>
        <w:rPr>
          <w:rFonts w:ascii="Arial" w:hAnsi="Arial" w:cs="Arial"/>
          <w:b/>
          <w:sz w:val="22"/>
          <w:szCs w:val="22"/>
          <w:lang w:val="es-CO"/>
        </w:rPr>
      </w:pPr>
      <w:r w:rsidRPr="0039191B">
        <w:rPr>
          <w:rFonts w:ascii="Arial" w:hAnsi="Arial" w:cs="Arial"/>
          <w:b/>
          <w:sz w:val="22"/>
          <w:szCs w:val="22"/>
          <w:lang w:val="es-CO"/>
        </w:rPr>
        <w:t>LA COMISIÓN NACIONAL DE CRÉDITO AGROPECUARIO</w:t>
      </w:r>
    </w:p>
    <w:p w:rsidR="006C355C" w:rsidRPr="0039191B" w:rsidRDefault="006C355C" w:rsidP="0077531B">
      <w:pPr>
        <w:tabs>
          <w:tab w:val="left" w:pos="204"/>
        </w:tabs>
        <w:jc w:val="both"/>
        <w:rPr>
          <w:rFonts w:ascii="Arial" w:hAnsi="Arial" w:cs="Arial"/>
          <w:sz w:val="22"/>
          <w:szCs w:val="22"/>
          <w:lang w:val="es-CO"/>
        </w:rPr>
      </w:pPr>
    </w:p>
    <w:p w:rsidR="005A1155" w:rsidRPr="0039191B" w:rsidRDefault="005A1155" w:rsidP="005A1155">
      <w:pPr>
        <w:pStyle w:val="p6"/>
        <w:spacing w:line="240" w:lineRule="auto"/>
        <w:ind w:left="0"/>
        <w:rPr>
          <w:rFonts w:ascii="Arial" w:hAnsi="Arial" w:cs="Arial"/>
          <w:sz w:val="22"/>
          <w:szCs w:val="22"/>
          <w:lang w:val="es-CO"/>
        </w:rPr>
      </w:pPr>
      <w:r w:rsidRPr="0039191B">
        <w:rPr>
          <w:rFonts w:ascii="Arial" w:hAnsi="Arial" w:cs="Arial"/>
          <w:sz w:val="22"/>
          <w:szCs w:val="22"/>
          <w:lang w:val="es-CO"/>
        </w:rPr>
        <w:t xml:space="preserve">En ejercicio de las facultades conferidas por los artículos 218 y 220 del Estatuto Orgánico del Sistema Financiero, las Leyes 16 de 1990, 101 de 1993,1133 de 2007, 1731 de 2014, el Decreto Ley 2371 de 2015, y </w:t>
      </w:r>
      <w:r w:rsidR="00B04F28">
        <w:rPr>
          <w:rFonts w:ascii="Arial" w:hAnsi="Arial" w:cs="Arial"/>
          <w:sz w:val="22"/>
          <w:szCs w:val="22"/>
          <w:lang w:val="es-CO"/>
        </w:rPr>
        <w:t>el Decreto</w:t>
      </w:r>
      <w:r w:rsidRPr="0039191B">
        <w:rPr>
          <w:rFonts w:ascii="Arial" w:hAnsi="Arial" w:cs="Arial"/>
          <w:sz w:val="22"/>
          <w:szCs w:val="22"/>
          <w:lang w:val="es-CO"/>
        </w:rPr>
        <w:t xml:space="preserve"> 1313 de 1990, y</w:t>
      </w:r>
    </w:p>
    <w:p w:rsidR="0077531B" w:rsidRPr="0039191B" w:rsidRDefault="0077531B">
      <w:pPr>
        <w:tabs>
          <w:tab w:val="left" w:pos="1479"/>
        </w:tabs>
        <w:jc w:val="center"/>
        <w:rPr>
          <w:rFonts w:ascii="Arial" w:hAnsi="Arial" w:cs="Arial"/>
          <w:b/>
          <w:sz w:val="22"/>
          <w:szCs w:val="22"/>
          <w:lang w:val="es-CO"/>
        </w:rPr>
      </w:pPr>
    </w:p>
    <w:p w:rsidR="006C355C" w:rsidRPr="0039191B" w:rsidRDefault="000D68B7">
      <w:pPr>
        <w:tabs>
          <w:tab w:val="left" w:pos="1479"/>
        </w:tabs>
        <w:jc w:val="center"/>
        <w:rPr>
          <w:rFonts w:ascii="Arial" w:hAnsi="Arial" w:cs="Arial"/>
          <w:b/>
          <w:sz w:val="22"/>
          <w:szCs w:val="22"/>
          <w:lang w:val="es-CO"/>
        </w:rPr>
      </w:pPr>
      <w:r w:rsidRPr="0039191B">
        <w:rPr>
          <w:rFonts w:ascii="Arial" w:hAnsi="Arial" w:cs="Arial"/>
          <w:b/>
          <w:sz w:val="22"/>
          <w:szCs w:val="22"/>
          <w:lang w:val="es-CO"/>
        </w:rPr>
        <w:t>CONSIDERANDO</w:t>
      </w:r>
    </w:p>
    <w:p w:rsidR="006C355C" w:rsidRPr="0039191B" w:rsidRDefault="006C355C">
      <w:pPr>
        <w:jc w:val="both"/>
        <w:rPr>
          <w:rFonts w:ascii="Arial" w:hAnsi="Arial" w:cs="Arial"/>
          <w:sz w:val="22"/>
          <w:szCs w:val="22"/>
          <w:lang w:val="es-CO"/>
        </w:rPr>
      </w:pPr>
    </w:p>
    <w:p w:rsidR="00237F64" w:rsidRPr="0039191B" w:rsidRDefault="00237F64" w:rsidP="00237F64">
      <w:pPr>
        <w:widowControl w:val="0"/>
        <w:autoSpaceDE w:val="0"/>
        <w:autoSpaceDN w:val="0"/>
        <w:ind w:right="81"/>
        <w:jc w:val="both"/>
        <w:rPr>
          <w:rFonts w:ascii="Arial" w:eastAsia="Arial" w:hAnsi="Arial" w:cs="Arial"/>
          <w:sz w:val="22"/>
          <w:szCs w:val="22"/>
          <w:lang w:val="es-CO" w:eastAsia="es-CO" w:bidi="es-CO"/>
        </w:rPr>
      </w:pPr>
      <w:r w:rsidRPr="0039191B">
        <w:rPr>
          <w:rFonts w:ascii="Arial" w:eastAsia="Arial" w:hAnsi="Arial" w:cs="Arial"/>
          <w:b/>
          <w:sz w:val="22"/>
          <w:szCs w:val="22"/>
          <w:lang w:val="es-CO" w:eastAsia="es-CO" w:bidi="es-CO"/>
        </w:rPr>
        <w:t>Primero</w:t>
      </w:r>
      <w:r w:rsidRPr="0039191B">
        <w:rPr>
          <w:rFonts w:ascii="Arial" w:eastAsia="Arial" w:hAnsi="Arial" w:cs="Arial"/>
          <w:sz w:val="22"/>
          <w:szCs w:val="22"/>
          <w:lang w:val="es-CO" w:eastAsia="es-CO" w:bidi="es-CO"/>
        </w:rPr>
        <w:t>. Que de acuerdo con lo dispuesto en el literal n), numeral 2. del artículo 218 del Estatuto Orgánico del Sistema Financiero, modificado por el artículo 2</w:t>
      </w:r>
      <w:r w:rsidR="00FD6414">
        <w:rPr>
          <w:rFonts w:ascii="Arial" w:eastAsia="Arial" w:hAnsi="Arial" w:cs="Arial"/>
          <w:sz w:val="22"/>
          <w:szCs w:val="22"/>
          <w:lang w:val="es-CO" w:eastAsia="es-CO" w:bidi="es-CO"/>
        </w:rPr>
        <w:t>o.</w:t>
      </w:r>
      <w:r w:rsidRPr="0039191B">
        <w:rPr>
          <w:rFonts w:ascii="Arial" w:eastAsia="Arial" w:hAnsi="Arial" w:cs="Arial"/>
          <w:sz w:val="22"/>
          <w:szCs w:val="22"/>
          <w:lang w:val="es-CO" w:eastAsia="es-CO" w:bidi="es-CO"/>
        </w:rPr>
        <w:t xml:space="preserve"> del Decreto Ley 2371 de 2015, la Comisión Nacional de Crédito Agropecuario -</w:t>
      </w:r>
      <w:r w:rsidR="004A658F" w:rsidRPr="0039191B">
        <w:rPr>
          <w:rFonts w:ascii="Arial" w:eastAsia="Arial" w:hAnsi="Arial" w:cs="Arial"/>
          <w:sz w:val="22"/>
          <w:szCs w:val="22"/>
          <w:lang w:val="es-CO" w:eastAsia="es-CO" w:bidi="es-CO"/>
        </w:rPr>
        <w:t xml:space="preserve"> </w:t>
      </w:r>
      <w:r w:rsidRPr="0039191B">
        <w:rPr>
          <w:rFonts w:ascii="Arial" w:eastAsia="Arial" w:hAnsi="Arial" w:cs="Arial"/>
          <w:sz w:val="22"/>
          <w:szCs w:val="22"/>
          <w:lang w:val="es-CO" w:eastAsia="es-CO" w:bidi="es-CO"/>
        </w:rPr>
        <w:t>CNCA, podrá:</w:t>
      </w:r>
    </w:p>
    <w:p w:rsidR="00237F64" w:rsidRPr="0039191B" w:rsidRDefault="00237F64" w:rsidP="00237F64">
      <w:pPr>
        <w:widowControl w:val="0"/>
        <w:autoSpaceDE w:val="0"/>
        <w:autoSpaceDN w:val="0"/>
        <w:spacing w:before="183"/>
        <w:ind w:right="81"/>
        <w:jc w:val="both"/>
        <w:rPr>
          <w:rFonts w:ascii="Arial" w:eastAsia="Arial" w:hAnsi="Arial" w:cs="Arial"/>
          <w:i/>
          <w:sz w:val="22"/>
          <w:szCs w:val="22"/>
          <w:lang w:val="es-CO" w:eastAsia="es-CO" w:bidi="es-CO"/>
        </w:rPr>
      </w:pPr>
      <w:r w:rsidRPr="0039191B">
        <w:rPr>
          <w:rFonts w:ascii="Arial" w:eastAsia="Arial" w:hAnsi="Arial" w:cs="Arial"/>
          <w:i/>
          <w:sz w:val="22"/>
          <w:szCs w:val="22"/>
          <w:lang w:val="es-CO" w:eastAsia="es-CO" w:bidi="es-CO"/>
        </w:rPr>
        <w:t xml:space="preserve">“(…) </w:t>
      </w:r>
    </w:p>
    <w:p w:rsidR="00237F64" w:rsidRPr="0039191B" w:rsidRDefault="00237F64" w:rsidP="00237F64">
      <w:pPr>
        <w:widowControl w:val="0"/>
        <w:autoSpaceDE w:val="0"/>
        <w:autoSpaceDN w:val="0"/>
        <w:spacing w:before="183"/>
        <w:ind w:right="81"/>
        <w:jc w:val="both"/>
        <w:rPr>
          <w:rFonts w:ascii="Arial" w:eastAsia="Arial" w:hAnsi="Arial" w:cs="Arial"/>
          <w:sz w:val="22"/>
          <w:szCs w:val="22"/>
          <w:lang w:val="es-CO" w:eastAsia="es-CO" w:bidi="es-CO"/>
        </w:rPr>
      </w:pPr>
      <w:r w:rsidRPr="0039191B">
        <w:rPr>
          <w:rFonts w:ascii="Arial" w:eastAsia="Arial" w:hAnsi="Arial" w:cs="Arial"/>
          <w:i/>
          <w:sz w:val="22"/>
          <w:szCs w:val="22"/>
          <w:lang w:val="es-CO"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Pr="0039191B">
        <w:rPr>
          <w:rFonts w:ascii="Arial" w:eastAsia="Arial" w:hAnsi="Arial" w:cs="Arial"/>
          <w:sz w:val="22"/>
          <w:szCs w:val="22"/>
          <w:lang w:val="es-CO" w:eastAsia="es-CO" w:bidi="es-CO"/>
        </w:rPr>
        <w:t>.</w:t>
      </w:r>
    </w:p>
    <w:p w:rsidR="00237F64" w:rsidRPr="0039191B" w:rsidRDefault="00237F64" w:rsidP="00237F64">
      <w:pPr>
        <w:widowControl w:val="0"/>
        <w:autoSpaceDE w:val="0"/>
        <w:autoSpaceDN w:val="0"/>
        <w:spacing w:before="183"/>
        <w:ind w:right="81"/>
        <w:jc w:val="both"/>
        <w:rPr>
          <w:rFonts w:ascii="Arial" w:eastAsia="Arial" w:hAnsi="Arial" w:cs="Arial"/>
          <w:sz w:val="22"/>
          <w:szCs w:val="22"/>
          <w:lang w:val="es-CO" w:eastAsia="es-CO" w:bidi="es-CO"/>
        </w:rPr>
      </w:pPr>
      <w:r w:rsidRPr="0039191B">
        <w:rPr>
          <w:rFonts w:ascii="Arial" w:eastAsia="Arial" w:hAnsi="Arial" w:cs="Arial"/>
          <w:i/>
          <w:sz w:val="22"/>
          <w:szCs w:val="22"/>
          <w:lang w:val="es-CO" w:eastAsia="es-CO" w:bidi="es-CO"/>
        </w:rPr>
        <w:t>(…)</w:t>
      </w:r>
      <w:r w:rsidRPr="0039191B">
        <w:rPr>
          <w:rFonts w:ascii="Arial" w:eastAsia="Arial" w:hAnsi="Arial" w:cs="Arial"/>
          <w:sz w:val="22"/>
          <w:szCs w:val="22"/>
          <w:lang w:val="es-CO" w:eastAsia="es-CO" w:bidi="es-CO"/>
        </w:rPr>
        <w:t>”</w:t>
      </w:r>
    </w:p>
    <w:p w:rsidR="004228FD" w:rsidRPr="0039191B" w:rsidRDefault="004228FD" w:rsidP="004228FD">
      <w:pPr>
        <w:widowControl w:val="0"/>
        <w:autoSpaceDE w:val="0"/>
        <w:autoSpaceDN w:val="0"/>
        <w:spacing w:before="185"/>
        <w:ind w:right="81"/>
        <w:jc w:val="both"/>
        <w:rPr>
          <w:rFonts w:ascii="Arial" w:eastAsia="Arial" w:hAnsi="Arial" w:cs="Arial"/>
          <w:sz w:val="22"/>
          <w:szCs w:val="22"/>
          <w:lang w:val="es-CO" w:eastAsia="es-CO" w:bidi="es-CO"/>
        </w:rPr>
      </w:pPr>
      <w:r w:rsidRPr="0039191B">
        <w:rPr>
          <w:rFonts w:ascii="Arial" w:eastAsia="Arial" w:hAnsi="Arial" w:cs="Arial"/>
          <w:b/>
          <w:sz w:val="22"/>
          <w:szCs w:val="22"/>
          <w:lang w:val="es-CO" w:eastAsia="es-CO" w:bidi="es-CO"/>
        </w:rPr>
        <w:t xml:space="preserve">Segundo. </w:t>
      </w:r>
      <w:r w:rsidRPr="0039191B">
        <w:rPr>
          <w:rFonts w:ascii="Arial" w:eastAsia="Arial" w:hAnsi="Arial" w:cs="Arial"/>
          <w:sz w:val="22"/>
          <w:szCs w:val="22"/>
          <w:lang w:val="es-CO" w:eastAsia="es-CO" w:bidi="es-CO"/>
        </w:rPr>
        <w:t>Que de acuerdo con lo dispuesto en el artículo 220 del Estatuto Orgánico del Sistema Financiero, “</w:t>
      </w:r>
      <w:r w:rsidRPr="0039191B">
        <w:rPr>
          <w:rFonts w:ascii="Arial" w:eastAsia="Arial" w:hAnsi="Arial" w:cs="Arial"/>
          <w:i/>
          <w:sz w:val="22"/>
          <w:szCs w:val="22"/>
          <w:lang w:val="es-CO" w:eastAsia="es-CO" w:bidi="es-CO"/>
        </w:rPr>
        <w:t>La Comisión Nacional de Crédito Agropecuario</w:t>
      </w:r>
      <w:r w:rsidRPr="0039191B">
        <w:rPr>
          <w:rFonts w:ascii="Arial" w:eastAsia="Arial" w:hAnsi="Arial" w:cs="Arial"/>
          <w:sz w:val="22"/>
          <w:szCs w:val="22"/>
          <w:lang w:val="es-CO" w:eastAsia="es-CO" w:bidi="es-CO"/>
        </w:rPr>
        <w:t xml:space="preserve"> </w:t>
      </w:r>
      <w:r w:rsidRPr="0039191B">
        <w:rPr>
          <w:rFonts w:ascii="Arial" w:eastAsia="Arial" w:hAnsi="Arial" w:cs="Arial"/>
          <w:i/>
          <w:sz w:val="22"/>
          <w:szCs w:val="22"/>
          <w:lang w:val="es-CO" w:eastAsia="es-CO" w:bidi="es-CO"/>
        </w:rPr>
        <w:t>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rsidR="00237F64" w:rsidRPr="0039191B" w:rsidRDefault="00237F64">
      <w:pPr>
        <w:autoSpaceDE w:val="0"/>
        <w:autoSpaceDN w:val="0"/>
        <w:adjustRightInd w:val="0"/>
        <w:spacing w:line="0" w:lineRule="atLeast"/>
        <w:jc w:val="both"/>
        <w:rPr>
          <w:rFonts w:ascii="Arial" w:hAnsi="Arial" w:cs="Arial"/>
          <w:sz w:val="22"/>
          <w:szCs w:val="22"/>
          <w:lang w:val="es-CO"/>
        </w:rPr>
      </w:pPr>
    </w:p>
    <w:p w:rsidR="001A7074" w:rsidRPr="00F221AB" w:rsidRDefault="001A7074" w:rsidP="001A7074">
      <w:pPr>
        <w:jc w:val="both"/>
        <w:rPr>
          <w:rFonts w:ascii="Arial" w:hAnsi="Arial" w:cs="Arial"/>
          <w:color w:val="000000" w:themeColor="text1"/>
          <w:sz w:val="22"/>
          <w:szCs w:val="22"/>
          <w:lang w:val="es-CO"/>
        </w:rPr>
      </w:pPr>
      <w:r w:rsidRPr="00F221AB">
        <w:rPr>
          <w:rFonts w:ascii="Arial" w:hAnsi="Arial" w:cs="Arial"/>
          <w:b/>
          <w:color w:val="000000" w:themeColor="text1"/>
          <w:sz w:val="22"/>
          <w:szCs w:val="22"/>
          <w:lang w:val="es-CO"/>
        </w:rPr>
        <w:t>Tercero.</w:t>
      </w:r>
      <w:r w:rsidRPr="00F221AB">
        <w:rPr>
          <w:rFonts w:ascii="Arial" w:hAnsi="Arial" w:cs="Arial"/>
          <w:color w:val="000000" w:themeColor="text1"/>
          <w:sz w:val="22"/>
          <w:szCs w:val="22"/>
          <w:lang w:val="es-CO"/>
        </w:rPr>
        <w:t xml:space="preserve"> </w:t>
      </w:r>
      <w:r w:rsidR="006B0BF9" w:rsidRPr="00F221AB">
        <w:rPr>
          <w:rFonts w:ascii="Arial" w:hAnsi="Arial" w:cs="Arial"/>
          <w:color w:val="000000" w:themeColor="text1"/>
          <w:sz w:val="22"/>
          <w:szCs w:val="22"/>
          <w:lang w:val="es-CO"/>
        </w:rPr>
        <w:t xml:space="preserve">En concordancia con lo anterior, </w:t>
      </w:r>
      <w:r w:rsidRPr="00F221AB">
        <w:rPr>
          <w:rFonts w:ascii="Arial" w:hAnsi="Arial" w:cs="Arial"/>
          <w:color w:val="000000" w:themeColor="text1"/>
          <w:sz w:val="22"/>
          <w:szCs w:val="22"/>
          <w:lang w:val="es-CO"/>
        </w:rPr>
        <w:t>el artículo 13 de la Ley 101 de 1993 asigna como función adicional de este organismo el establecer líneas de redescuento dotadas de volumen suficiente de recursos y bajo condiciones financieras apropiadas, con el objeto de que los establecimientos de crédito puedan otorgar créditos en moneda nacional y extranjera.</w:t>
      </w:r>
    </w:p>
    <w:p w:rsidR="001A7074" w:rsidRPr="00F221AB" w:rsidRDefault="001A7074" w:rsidP="001A7074">
      <w:pPr>
        <w:jc w:val="both"/>
        <w:rPr>
          <w:rFonts w:ascii="Arial" w:hAnsi="Arial" w:cs="Arial"/>
          <w:color w:val="000000" w:themeColor="text1"/>
          <w:sz w:val="22"/>
          <w:szCs w:val="22"/>
          <w:lang w:val="es-CO"/>
        </w:rPr>
      </w:pPr>
    </w:p>
    <w:p w:rsidR="001A7074" w:rsidRPr="00135025" w:rsidRDefault="001A7074" w:rsidP="001A7074">
      <w:pPr>
        <w:jc w:val="both"/>
        <w:rPr>
          <w:rFonts w:ascii="Arial" w:hAnsi="Arial" w:cs="Arial"/>
          <w:color w:val="000000" w:themeColor="text1"/>
          <w:sz w:val="22"/>
          <w:szCs w:val="22"/>
          <w:lang w:val="es-CO"/>
        </w:rPr>
      </w:pPr>
      <w:r w:rsidRPr="00F221AB">
        <w:rPr>
          <w:rFonts w:ascii="Arial" w:hAnsi="Arial" w:cs="Arial"/>
          <w:b/>
          <w:color w:val="000000" w:themeColor="text1"/>
          <w:sz w:val="22"/>
          <w:szCs w:val="22"/>
          <w:lang w:val="es-CO"/>
        </w:rPr>
        <w:t xml:space="preserve">Cuarto. </w:t>
      </w:r>
      <w:r w:rsidR="00F221AB" w:rsidRPr="00F221AB">
        <w:rPr>
          <w:rFonts w:ascii="Arial" w:hAnsi="Arial" w:cs="Arial"/>
          <w:color w:val="000000" w:themeColor="text1"/>
          <w:sz w:val="22"/>
          <w:szCs w:val="22"/>
        </w:rPr>
        <w:t>Que conforme a las sentencias C-300 de 2011 y C-917 de 2002 de la Corte Constitucional, el otorgamiento de funciones de regulación y reglamentación a las autoridades públicas dentro de ellas a la CNCA se ha considerado constitucionalmente válido, en tanto guardan correspondencia con el cumplimiento de la función administrativa necesaria para pormenorizar el proceso de implantación de las pautas dadas para el cumplimiento de la voluntad legislativa, por ser organismos de la administración que cuentan con información inmediata relacionada con el funcionamiento práctico de las herramientas de creación legislativa.</w:t>
      </w:r>
    </w:p>
    <w:p w:rsidR="001A7074" w:rsidRDefault="001A7074" w:rsidP="005F04A2">
      <w:pPr>
        <w:jc w:val="both"/>
        <w:rPr>
          <w:rFonts w:ascii="Arial" w:hAnsi="Arial" w:cs="Arial"/>
          <w:b/>
          <w:sz w:val="22"/>
          <w:szCs w:val="22"/>
          <w:lang w:val="es-CO"/>
        </w:rPr>
      </w:pPr>
    </w:p>
    <w:p w:rsidR="001A7074" w:rsidRDefault="001A7074" w:rsidP="005F04A2">
      <w:pPr>
        <w:jc w:val="both"/>
        <w:rPr>
          <w:rFonts w:ascii="Arial" w:hAnsi="Arial" w:cs="Arial"/>
          <w:b/>
          <w:sz w:val="22"/>
          <w:szCs w:val="22"/>
          <w:lang w:val="es-CO"/>
        </w:rPr>
      </w:pPr>
    </w:p>
    <w:p w:rsidR="001A7074" w:rsidRDefault="001A7074" w:rsidP="005F04A2">
      <w:pPr>
        <w:jc w:val="both"/>
        <w:rPr>
          <w:rFonts w:ascii="Arial" w:hAnsi="Arial" w:cs="Arial"/>
          <w:b/>
          <w:sz w:val="22"/>
          <w:szCs w:val="22"/>
          <w:lang w:val="es-CO"/>
        </w:rPr>
      </w:pPr>
    </w:p>
    <w:p w:rsidR="00641EB4" w:rsidRPr="0039191B" w:rsidRDefault="001A7074" w:rsidP="005F04A2">
      <w:pPr>
        <w:jc w:val="both"/>
        <w:rPr>
          <w:rFonts w:ascii="Arial" w:hAnsi="Arial" w:cs="Arial"/>
          <w:sz w:val="22"/>
          <w:szCs w:val="22"/>
          <w:lang w:val="es-CO"/>
        </w:rPr>
      </w:pPr>
      <w:r>
        <w:rPr>
          <w:rFonts w:ascii="Arial" w:hAnsi="Arial" w:cs="Arial"/>
          <w:b/>
          <w:sz w:val="22"/>
          <w:szCs w:val="22"/>
          <w:lang w:val="es-CO"/>
        </w:rPr>
        <w:lastRenderedPageBreak/>
        <w:t>Quinto</w:t>
      </w:r>
      <w:r w:rsidR="00765EB0" w:rsidRPr="0039191B">
        <w:rPr>
          <w:rFonts w:ascii="Arial" w:hAnsi="Arial" w:cs="Arial"/>
          <w:b/>
          <w:sz w:val="22"/>
          <w:szCs w:val="22"/>
          <w:lang w:val="es-CO"/>
        </w:rPr>
        <w:t>.</w:t>
      </w:r>
      <w:r w:rsidR="00765EB0" w:rsidRPr="0039191B">
        <w:rPr>
          <w:rFonts w:ascii="Arial" w:hAnsi="Arial" w:cs="Arial"/>
          <w:sz w:val="22"/>
          <w:szCs w:val="22"/>
          <w:lang w:val="es-CO"/>
        </w:rPr>
        <w:t xml:space="preserve"> </w:t>
      </w:r>
      <w:r w:rsidR="005F04A2" w:rsidRPr="0039191B">
        <w:rPr>
          <w:rFonts w:ascii="Arial" w:hAnsi="Arial" w:cs="Arial"/>
          <w:sz w:val="22"/>
          <w:szCs w:val="22"/>
          <w:lang w:val="es-CO"/>
        </w:rPr>
        <w:t xml:space="preserve">Que </w:t>
      </w:r>
      <w:r w:rsidR="00210E2B">
        <w:rPr>
          <w:rFonts w:ascii="Arial" w:hAnsi="Arial" w:cs="Arial"/>
          <w:sz w:val="22"/>
          <w:szCs w:val="22"/>
          <w:lang w:val="es-CO"/>
        </w:rPr>
        <w:t>e</w:t>
      </w:r>
      <w:r w:rsidR="005F04A2" w:rsidRPr="0039191B">
        <w:rPr>
          <w:rFonts w:ascii="Arial" w:hAnsi="Arial" w:cs="Arial"/>
          <w:sz w:val="22"/>
          <w:szCs w:val="22"/>
          <w:lang w:val="es-CO"/>
        </w:rPr>
        <w:t xml:space="preserve">l </w:t>
      </w:r>
      <w:r w:rsidR="005A6F11" w:rsidRPr="0039191B">
        <w:rPr>
          <w:rFonts w:ascii="Arial" w:hAnsi="Arial" w:cs="Arial"/>
          <w:sz w:val="22"/>
          <w:szCs w:val="22"/>
          <w:lang w:val="es-CO"/>
        </w:rPr>
        <w:t xml:space="preserve">artículo </w:t>
      </w:r>
      <w:r w:rsidR="005F04A2" w:rsidRPr="0039191B">
        <w:rPr>
          <w:rFonts w:ascii="Arial" w:hAnsi="Arial" w:cs="Arial"/>
          <w:sz w:val="22"/>
          <w:szCs w:val="22"/>
          <w:lang w:val="es-CO"/>
        </w:rPr>
        <w:t>35 del Decreto Ley 902 de 2017, establec</w:t>
      </w:r>
      <w:r w:rsidR="00641EB4" w:rsidRPr="0039191B">
        <w:rPr>
          <w:rFonts w:ascii="Arial" w:hAnsi="Arial" w:cs="Arial"/>
          <w:sz w:val="22"/>
          <w:szCs w:val="22"/>
          <w:lang w:val="es-CO"/>
        </w:rPr>
        <w:t xml:space="preserve">ió:  </w:t>
      </w:r>
    </w:p>
    <w:p w:rsidR="00405774" w:rsidRPr="0039191B" w:rsidRDefault="00405774" w:rsidP="00D200F8">
      <w:pPr>
        <w:spacing w:line="120" w:lineRule="auto"/>
        <w:jc w:val="both"/>
        <w:rPr>
          <w:rFonts w:ascii="Arial" w:hAnsi="Arial" w:cs="Arial"/>
          <w:i/>
          <w:sz w:val="22"/>
          <w:szCs w:val="22"/>
          <w:lang w:val="es-CO"/>
        </w:rPr>
      </w:pPr>
    </w:p>
    <w:p w:rsidR="00405774" w:rsidRPr="0039191B" w:rsidRDefault="00FB7869" w:rsidP="000A4E33">
      <w:pPr>
        <w:jc w:val="both"/>
        <w:rPr>
          <w:rFonts w:ascii="Arial" w:hAnsi="Arial" w:cs="Arial"/>
          <w:i/>
          <w:sz w:val="22"/>
          <w:szCs w:val="22"/>
          <w:lang w:val="es-CO"/>
        </w:rPr>
      </w:pPr>
      <w:r w:rsidRPr="0039191B">
        <w:rPr>
          <w:rFonts w:ascii="Arial" w:hAnsi="Arial" w:cs="Arial"/>
          <w:i/>
          <w:sz w:val="22"/>
          <w:szCs w:val="22"/>
          <w:lang w:val="es-CO"/>
        </w:rPr>
        <w:t>“</w:t>
      </w:r>
      <w:r w:rsidR="00405774" w:rsidRPr="0039191B">
        <w:rPr>
          <w:rFonts w:ascii="Arial" w:hAnsi="Arial" w:cs="Arial"/>
          <w:i/>
          <w:sz w:val="22"/>
          <w:szCs w:val="22"/>
          <w:lang w:val="es-CO"/>
        </w:rPr>
        <w:t xml:space="preserve">Los sujetos de que tratan los artículos 4 y 5 del presente decreto ley que no tengan tierra o esta sea insuficiente, podrán acceder a una línea de crédito especial de tierras con tasa subsidiada y con mecanismos de aseguramiento de los créditos definidos por la Comisión Nacional de Crédito Agropecuario. </w:t>
      </w:r>
    </w:p>
    <w:p w:rsidR="00F40823" w:rsidRPr="0039191B" w:rsidRDefault="00F40823" w:rsidP="000A4E33">
      <w:pPr>
        <w:jc w:val="both"/>
        <w:rPr>
          <w:rFonts w:ascii="Arial" w:hAnsi="Arial" w:cs="Arial"/>
          <w:i/>
          <w:sz w:val="22"/>
          <w:szCs w:val="22"/>
          <w:lang w:val="es-CO"/>
        </w:rPr>
      </w:pPr>
    </w:p>
    <w:p w:rsidR="00405774" w:rsidRPr="0039191B" w:rsidRDefault="00405774" w:rsidP="000A4E33">
      <w:pPr>
        <w:jc w:val="both"/>
        <w:rPr>
          <w:rFonts w:ascii="Arial" w:hAnsi="Arial" w:cs="Arial"/>
          <w:i/>
          <w:sz w:val="22"/>
          <w:szCs w:val="22"/>
          <w:lang w:val="es-CO"/>
        </w:rPr>
      </w:pPr>
      <w:r w:rsidRPr="0039191B">
        <w:rPr>
          <w:rFonts w:ascii="Arial" w:hAnsi="Arial" w:cs="Arial"/>
          <w:i/>
          <w:sz w:val="22"/>
          <w:szCs w:val="22"/>
          <w:lang w:val="es-CO"/>
        </w:rPr>
        <w:t xml:space="preserve">Los créditos se otorgarán en los términos, condiciones, montos y plazos que determine la Comisión Nacional de Crédito Agropecuario, de acuerdo con las funciones otorgadas por el artículo 218 del Estatuto Orgánico del Sistema Financiero y con base en la política trazada por el Ministerio de Agricultura y Desarrollo Rural para las líneas Especiales Crédito-LEC-, del Incentivo a Capitalización Rural-ICR y otros incentivos o subsidios del Estado que sean desarrollados para propender por la consecución de los objetivos del presente decreto ley, y en particular relacionados con el crédito y/o riesgo agropecuario y rural. </w:t>
      </w:r>
    </w:p>
    <w:p w:rsidR="00FB7869" w:rsidRPr="0039191B" w:rsidRDefault="00FB7869" w:rsidP="000A4E33">
      <w:pPr>
        <w:jc w:val="both"/>
        <w:rPr>
          <w:rFonts w:ascii="Arial" w:hAnsi="Arial" w:cs="Arial"/>
          <w:i/>
          <w:sz w:val="22"/>
          <w:szCs w:val="22"/>
          <w:lang w:val="es-CO"/>
        </w:rPr>
      </w:pPr>
    </w:p>
    <w:p w:rsidR="000A4E33" w:rsidRPr="0039191B" w:rsidRDefault="00405774" w:rsidP="000A4E33">
      <w:pPr>
        <w:jc w:val="both"/>
        <w:rPr>
          <w:rFonts w:ascii="Arial" w:hAnsi="Arial" w:cs="Arial"/>
          <w:i/>
          <w:sz w:val="22"/>
          <w:szCs w:val="22"/>
          <w:lang w:val="es-CO"/>
        </w:rPr>
      </w:pPr>
      <w:r w:rsidRPr="0039191B">
        <w:rPr>
          <w:rFonts w:ascii="Arial" w:hAnsi="Arial" w:cs="Arial"/>
          <w:i/>
          <w:sz w:val="22"/>
          <w:szCs w:val="22"/>
          <w:lang w:val="es-CO"/>
        </w:rPr>
        <w:t>En la configuración de las líneas de crédito para sistemas productivos deberá tenerse en cuenta, entre otros criterios, la aptitud de las tierras rurales definida por la Unidad de</w:t>
      </w:r>
      <w:r w:rsidR="000A4E33" w:rsidRPr="0039191B">
        <w:rPr>
          <w:rFonts w:ascii="Arial" w:hAnsi="Arial" w:cs="Arial"/>
          <w:i/>
          <w:sz w:val="22"/>
          <w:szCs w:val="22"/>
          <w:lang w:val="es-CO"/>
        </w:rPr>
        <w:t xml:space="preserve"> Planificación de Tierras Rurales, Adecuación de Tierras y Usos Agropecuarios para cada sistema productivo, considerar tanto el horizonte de tiempo del sistema productivo, incluyendo el inicio de la etapa productiva, así como los riesgos inherentes a la actividad agropecuaria, con el fin de que los réditos obtenidos de la comercialización permitan garantizar los flujos financieros para facilitar el pago del crédito otorgado.</w:t>
      </w:r>
    </w:p>
    <w:p w:rsidR="00FB7869" w:rsidRPr="0039191B" w:rsidRDefault="00FB7869" w:rsidP="000A4E33">
      <w:pPr>
        <w:jc w:val="both"/>
        <w:rPr>
          <w:rFonts w:ascii="Arial" w:hAnsi="Arial" w:cs="Arial"/>
          <w:i/>
          <w:sz w:val="22"/>
          <w:szCs w:val="22"/>
          <w:lang w:val="es-CO"/>
        </w:rPr>
      </w:pPr>
    </w:p>
    <w:p w:rsidR="00405774" w:rsidRPr="0039191B" w:rsidRDefault="000A4E33" w:rsidP="000A4E33">
      <w:pPr>
        <w:jc w:val="both"/>
        <w:rPr>
          <w:rFonts w:ascii="Arial" w:hAnsi="Arial" w:cs="Arial"/>
          <w:i/>
          <w:sz w:val="22"/>
          <w:szCs w:val="22"/>
          <w:lang w:val="es-CO"/>
        </w:rPr>
      </w:pPr>
      <w:r w:rsidRPr="0039191B">
        <w:rPr>
          <w:rFonts w:ascii="Arial" w:hAnsi="Arial" w:cs="Arial"/>
          <w:i/>
          <w:sz w:val="22"/>
          <w:szCs w:val="22"/>
          <w:lang w:val="es-CO"/>
        </w:rPr>
        <w:t>Dentro de las líneas de crédito se otorgarán prerrogativas a los pequeños productores agropecuarios que pretendan la ampliación de su potencial productivo y la adquisición de tierras por parte de organizaciones campesinas y de economía solidaria.</w:t>
      </w:r>
      <w:r w:rsidR="00FB7869" w:rsidRPr="0039191B">
        <w:rPr>
          <w:rFonts w:ascii="Arial" w:hAnsi="Arial" w:cs="Arial"/>
          <w:i/>
          <w:sz w:val="22"/>
          <w:szCs w:val="22"/>
          <w:lang w:val="es-CO"/>
        </w:rPr>
        <w:t>”</w:t>
      </w:r>
    </w:p>
    <w:p w:rsidR="00641EB4" w:rsidRPr="0039191B" w:rsidRDefault="00641EB4" w:rsidP="000A4E33">
      <w:pPr>
        <w:jc w:val="both"/>
        <w:rPr>
          <w:rFonts w:ascii="Arial" w:hAnsi="Arial" w:cs="Arial"/>
          <w:sz w:val="22"/>
          <w:szCs w:val="22"/>
          <w:lang w:val="es-CO"/>
        </w:rPr>
      </w:pPr>
    </w:p>
    <w:p w:rsidR="005F04A2" w:rsidRPr="0039191B" w:rsidRDefault="001A7074" w:rsidP="00A63DF2">
      <w:pPr>
        <w:jc w:val="both"/>
        <w:rPr>
          <w:rFonts w:ascii="Arial" w:hAnsi="Arial" w:cs="Arial"/>
          <w:sz w:val="22"/>
          <w:szCs w:val="22"/>
          <w:lang w:val="es-CO"/>
        </w:rPr>
      </w:pPr>
      <w:r>
        <w:rPr>
          <w:rFonts w:ascii="Arial" w:hAnsi="Arial" w:cs="Arial"/>
          <w:b/>
          <w:sz w:val="22"/>
          <w:szCs w:val="22"/>
          <w:lang w:val="es-CO"/>
        </w:rPr>
        <w:t>Sexto</w:t>
      </w:r>
      <w:r w:rsidR="00EA13D0" w:rsidRPr="0039191B">
        <w:rPr>
          <w:rFonts w:ascii="Arial" w:hAnsi="Arial" w:cs="Arial"/>
          <w:b/>
          <w:sz w:val="22"/>
          <w:szCs w:val="22"/>
          <w:lang w:val="es-CO"/>
        </w:rPr>
        <w:t>.</w:t>
      </w:r>
      <w:r w:rsidR="00EA13D0" w:rsidRPr="0039191B">
        <w:rPr>
          <w:rFonts w:ascii="Arial" w:hAnsi="Arial" w:cs="Arial"/>
          <w:sz w:val="22"/>
          <w:szCs w:val="22"/>
          <w:lang w:val="es-CO"/>
        </w:rPr>
        <w:t xml:space="preserve"> </w:t>
      </w:r>
      <w:r w:rsidR="004F48C0" w:rsidRPr="0039191B">
        <w:rPr>
          <w:rFonts w:ascii="Arial" w:hAnsi="Arial" w:cs="Arial"/>
          <w:sz w:val="22"/>
          <w:szCs w:val="22"/>
          <w:lang w:val="es-CO"/>
        </w:rPr>
        <w:t>Que conforme</w:t>
      </w:r>
      <w:r w:rsidR="00FD6414">
        <w:rPr>
          <w:rFonts w:ascii="Arial" w:hAnsi="Arial" w:cs="Arial"/>
          <w:sz w:val="22"/>
          <w:szCs w:val="22"/>
          <w:lang w:val="es-CO"/>
        </w:rPr>
        <w:t xml:space="preserve"> a lo anterior</w:t>
      </w:r>
      <w:r w:rsidR="00A541A7" w:rsidRPr="0039191B">
        <w:rPr>
          <w:rFonts w:ascii="Arial" w:hAnsi="Arial" w:cs="Arial"/>
          <w:sz w:val="22"/>
          <w:szCs w:val="22"/>
          <w:lang w:val="es-CO"/>
        </w:rPr>
        <w:t>,</w:t>
      </w:r>
      <w:r w:rsidR="004F48C0" w:rsidRPr="0039191B">
        <w:rPr>
          <w:rFonts w:ascii="Arial" w:hAnsi="Arial" w:cs="Arial"/>
          <w:sz w:val="22"/>
          <w:szCs w:val="22"/>
          <w:lang w:val="es-CO"/>
        </w:rPr>
        <w:t xml:space="preserve"> </w:t>
      </w:r>
      <w:r w:rsidR="00162F14">
        <w:rPr>
          <w:rFonts w:ascii="Arial" w:hAnsi="Arial" w:cs="Arial"/>
          <w:sz w:val="22"/>
          <w:szCs w:val="22"/>
          <w:lang w:val="es-CO"/>
        </w:rPr>
        <w:t xml:space="preserve">los </w:t>
      </w:r>
      <w:r w:rsidR="004F48C0" w:rsidRPr="0039191B">
        <w:rPr>
          <w:rFonts w:ascii="Arial" w:hAnsi="Arial" w:cs="Arial"/>
          <w:sz w:val="22"/>
          <w:szCs w:val="22"/>
          <w:lang w:val="es-CO"/>
        </w:rPr>
        <w:t xml:space="preserve">beneficiarios </w:t>
      </w:r>
      <w:r w:rsidR="00DB4C0E" w:rsidRPr="0039191B">
        <w:rPr>
          <w:rFonts w:ascii="Arial" w:hAnsi="Arial" w:cs="Arial"/>
          <w:sz w:val="22"/>
          <w:szCs w:val="22"/>
          <w:lang w:val="es-CO"/>
        </w:rPr>
        <w:t xml:space="preserve">de </w:t>
      </w:r>
      <w:r w:rsidR="004F48C0" w:rsidRPr="0039191B">
        <w:rPr>
          <w:rFonts w:ascii="Arial" w:hAnsi="Arial" w:cs="Arial"/>
          <w:sz w:val="22"/>
          <w:szCs w:val="22"/>
          <w:lang w:val="es-CO"/>
        </w:rPr>
        <w:t>la línea</w:t>
      </w:r>
      <w:r w:rsidR="00162F14">
        <w:rPr>
          <w:rFonts w:ascii="Arial" w:hAnsi="Arial" w:cs="Arial"/>
          <w:sz w:val="22"/>
          <w:szCs w:val="22"/>
          <w:lang w:val="es-CO"/>
        </w:rPr>
        <w:t xml:space="preserve"> que se establece mediante esta resolución</w:t>
      </w:r>
      <w:r w:rsidR="00BC3498" w:rsidRPr="0039191B">
        <w:rPr>
          <w:rFonts w:ascii="Arial" w:hAnsi="Arial" w:cs="Arial"/>
          <w:sz w:val="22"/>
          <w:szCs w:val="22"/>
          <w:lang w:val="es-CO"/>
        </w:rPr>
        <w:t>,</w:t>
      </w:r>
      <w:r w:rsidR="004F48C0" w:rsidRPr="0039191B">
        <w:rPr>
          <w:rFonts w:ascii="Arial" w:hAnsi="Arial" w:cs="Arial"/>
          <w:sz w:val="22"/>
          <w:szCs w:val="22"/>
          <w:lang w:val="es-CO"/>
        </w:rPr>
        <w:t xml:space="preserve"> </w:t>
      </w:r>
      <w:r w:rsidR="00162F14">
        <w:rPr>
          <w:rFonts w:ascii="Arial" w:hAnsi="Arial" w:cs="Arial"/>
          <w:sz w:val="22"/>
          <w:szCs w:val="22"/>
          <w:lang w:val="es-CO"/>
        </w:rPr>
        <w:t xml:space="preserve">son los señalados en </w:t>
      </w:r>
      <w:r w:rsidR="004F48C0" w:rsidRPr="0039191B">
        <w:rPr>
          <w:rFonts w:ascii="Arial" w:hAnsi="Arial" w:cs="Arial"/>
          <w:sz w:val="22"/>
          <w:szCs w:val="22"/>
          <w:lang w:val="es-CO"/>
        </w:rPr>
        <w:t xml:space="preserve">los artículos </w:t>
      </w:r>
      <w:r w:rsidR="005F7AC0" w:rsidRPr="0039191B">
        <w:rPr>
          <w:rFonts w:ascii="Arial" w:hAnsi="Arial" w:cs="Arial"/>
          <w:sz w:val="22"/>
          <w:szCs w:val="22"/>
          <w:lang w:val="es-CO"/>
        </w:rPr>
        <w:t xml:space="preserve">4o. y 5o. </w:t>
      </w:r>
      <w:r w:rsidR="00573BB3" w:rsidRPr="0039191B">
        <w:rPr>
          <w:rFonts w:ascii="Arial" w:hAnsi="Arial" w:cs="Arial"/>
          <w:sz w:val="22"/>
          <w:szCs w:val="22"/>
          <w:lang w:val="es-CO"/>
        </w:rPr>
        <w:t>del Decreto Ley 902 de 2017</w:t>
      </w:r>
      <w:r w:rsidR="0098053D">
        <w:rPr>
          <w:rFonts w:ascii="Arial" w:hAnsi="Arial" w:cs="Arial"/>
          <w:sz w:val="22"/>
          <w:szCs w:val="22"/>
          <w:lang w:val="es-CO"/>
        </w:rPr>
        <w:t>,</w:t>
      </w:r>
      <w:r w:rsidR="00A63DF2" w:rsidRPr="0039191B">
        <w:rPr>
          <w:rFonts w:ascii="Arial" w:hAnsi="Arial" w:cs="Arial"/>
          <w:sz w:val="22"/>
          <w:szCs w:val="22"/>
          <w:lang w:val="es-CO"/>
        </w:rPr>
        <w:t xml:space="preserve"> siendo necesario adecuar su</w:t>
      </w:r>
      <w:r w:rsidR="004F48C0" w:rsidRPr="0039191B">
        <w:rPr>
          <w:rFonts w:ascii="Arial" w:hAnsi="Arial" w:cs="Arial"/>
          <w:sz w:val="22"/>
          <w:szCs w:val="22"/>
          <w:lang w:val="es-CO"/>
        </w:rPr>
        <w:t xml:space="preserve"> categorización </w:t>
      </w:r>
      <w:r w:rsidR="00AA4C14">
        <w:rPr>
          <w:rFonts w:ascii="Arial" w:hAnsi="Arial" w:cs="Arial"/>
          <w:sz w:val="22"/>
          <w:szCs w:val="22"/>
          <w:lang w:val="es-CO"/>
        </w:rPr>
        <w:t xml:space="preserve">teniendo en cuenta los tipos </w:t>
      </w:r>
      <w:r w:rsidR="0098053D">
        <w:rPr>
          <w:rFonts w:ascii="Arial" w:hAnsi="Arial" w:cs="Arial"/>
          <w:sz w:val="22"/>
          <w:szCs w:val="22"/>
          <w:lang w:val="es-CO"/>
        </w:rPr>
        <w:t>de</w:t>
      </w:r>
      <w:r w:rsidR="004F48C0" w:rsidRPr="0039191B">
        <w:rPr>
          <w:rFonts w:ascii="Arial" w:hAnsi="Arial" w:cs="Arial"/>
          <w:sz w:val="22"/>
          <w:szCs w:val="22"/>
          <w:lang w:val="es-CO"/>
        </w:rPr>
        <w:t xml:space="preserve"> productores </w:t>
      </w:r>
      <w:r w:rsidR="00DB4C0E" w:rsidRPr="0039191B">
        <w:rPr>
          <w:rFonts w:ascii="Arial" w:hAnsi="Arial" w:cs="Arial"/>
          <w:sz w:val="22"/>
          <w:szCs w:val="22"/>
          <w:lang w:val="es-CO"/>
        </w:rPr>
        <w:t>establecid</w:t>
      </w:r>
      <w:r w:rsidR="00AA4C14">
        <w:rPr>
          <w:rFonts w:ascii="Arial" w:hAnsi="Arial" w:cs="Arial"/>
          <w:sz w:val="22"/>
          <w:szCs w:val="22"/>
          <w:lang w:val="es-CO"/>
        </w:rPr>
        <w:t>os</w:t>
      </w:r>
      <w:r w:rsidR="00DB4C0E" w:rsidRPr="0039191B">
        <w:rPr>
          <w:rFonts w:ascii="Arial" w:hAnsi="Arial" w:cs="Arial"/>
          <w:sz w:val="22"/>
          <w:szCs w:val="22"/>
          <w:lang w:val="es-CO"/>
        </w:rPr>
        <w:t xml:space="preserve"> </w:t>
      </w:r>
      <w:r w:rsidR="0098053D">
        <w:rPr>
          <w:rFonts w:ascii="Arial" w:hAnsi="Arial" w:cs="Arial"/>
          <w:sz w:val="22"/>
          <w:szCs w:val="22"/>
          <w:lang w:val="es-CO"/>
        </w:rPr>
        <w:t>por</w:t>
      </w:r>
      <w:r w:rsidR="004F48C0" w:rsidRPr="0039191B">
        <w:rPr>
          <w:rFonts w:ascii="Arial" w:hAnsi="Arial" w:cs="Arial"/>
          <w:sz w:val="22"/>
          <w:szCs w:val="22"/>
          <w:lang w:val="es-CO"/>
        </w:rPr>
        <w:t xml:space="preserve"> el Sistema Nacional de Crédito Agropecuario – SNCA</w:t>
      </w:r>
      <w:r w:rsidR="00E10E32" w:rsidRPr="0039191B">
        <w:rPr>
          <w:rFonts w:ascii="Arial" w:hAnsi="Arial" w:cs="Arial"/>
          <w:sz w:val="22"/>
          <w:szCs w:val="22"/>
          <w:lang w:val="es-CO"/>
        </w:rPr>
        <w:t>.</w:t>
      </w:r>
    </w:p>
    <w:p w:rsidR="00285FA2" w:rsidRPr="0039191B" w:rsidRDefault="00285FA2" w:rsidP="00285FA2">
      <w:pPr>
        <w:widowControl w:val="0"/>
        <w:jc w:val="both"/>
        <w:rPr>
          <w:rFonts w:ascii="Arial" w:hAnsi="Arial" w:cs="Arial"/>
          <w:kern w:val="3"/>
          <w:sz w:val="22"/>
          <w:szCs w:val="22"/>
          <w:lang w:val="es-CO"/>
        </w:rPr>
      </w:pPr>
    </w:p>
    <w:p w:rsidR="00DE16C9" w:rsidRPr="0039191B" w:rsidRDefault="001A7074" w:rsidP="008E2222">
      <w:pPr>
        <w:jc w:val="both"/>
        <w:rPr>
          <w:rFonts w:ascii="Arial" w:hAnsi="Arial" w:cs="Arial"/>
          <w:sz w:val="22"/>
          <w:szCs w:val="22"/>
          <w:lang w:val="es-CO"/>
        </w:rPr>
      </w:pPr>
      <w:r w:rsidRPr="0039191B">
        <w:rPr>
          <w:rFonts w:ascii="Arial" w:hAnsi="Arial" w:cs="Arial"/>
          <w:b/>
          <w:sz w:val="22"/>
          <w:szCs w:val="22"/>
          <w:lang w:val="es-CO"/>
        </w:rPr>
        <w:t>Séptimo</w:t>
      </w:r>
      <w:r w:rsidR="008A0466" w:rsidRPr="0039191B">
        <w:rPr>
          <w:rFonts w:ascii="Arial" w:hAnsi="Arial" w:cs="Arial"/>
          <w:b/>
          <w:sz w:val="22"/>
          <w:szCs w:val="22"/>
          <w:lang w:val="es-CO"/>
        </w:rPr>
        <w:t>.</w:t>
      </w:r>
      <w:r w:rsidR="008A0466" w:rsidRPr="0039191B">
        <w:rPr>
          <w:rFonts w:ascii="Arial" w:hAnsi="Arial" w:cs="Arial"/>
          <w:sz w:val="22"/>
          <w:szCs w:val="22"/>
          <w:lang w:val="es-CO"/>
        </w:rPr>
        <w:t xml:space="preserve"> </w:t>
      </w:r>
      <w:r w:rsidR="00DE16C9" w:rsidRPr="0039191B">
        <w:rPr>
          <w:rFonts w:ascii="Arial" w:hAnsi="Arial" w:cs="Arial"/>
          <w:sz w:val="22"/>
          <w:szCs w:val="22"/>
          <w:lang w:val="es-CO"/>
        </w:rPr>
        <w:t xml:space="preserve">Que el artículo 11 del Decreto Ley 902 de 2017 estableció: </w:t>
      </w:r>
    </w:p>
    <w:p w:rsidR="00DE16C9" w:rsidRPr="0039191B" w:rsidRDefault="00DE16C9" w:rsidP="005C0AAD">
      <w:pPr>
        <w:spacing w:line="120" w:lineRule="auto"/>
        <w:jc w:val="both"/>
        <w:rPr>
          <w:rFonts w:ascii="Arial" w:hAnsi="Arial" w:cs="Arial"/>
          <w:sz w:val="22"/>
          <w:szCs w:val="22"/>
          <w:lang w:val="es-CO"/>
        </w:rPr>
      </w:pPr>
    </w:p>
    <w:p w:rsidR="00DE16C9" w:rsidRPr="0039191B" w:rsidRDefault="00DE16C9" w:rsidP="00DE16C9">
      <w:pPr>
        <w:jc w:val="both"/>
        <w:rPr>
          <w:rFonts w:ascii="Arial" w:hAnsi="Arial" w:cs="Arial"/>
          <w:i/>
          <w:sz w:val="22"/>
          <w:szCs w:val="22"/>
          <w:lang w:val="es-CO"/>
        </w:rPr>
      </w:pPr>
      <w:r w:rsidRPr="0039191B">
        <w:rPr>
          <w:rFonts w:ascii="Arial" w:hAnsi="Arial" w:cs="Arial"/>
          <w:i/>
          <w:sz w:val="22"/>
          <w:szCs w:val="22"/>
          <w:lang w:val="es-CO"/>
        </w:rPr>
        <w:t>“Créase el Registro de Sujetos de Ordenamiento -</w:t>
      </w:r>
      <w:r w:rsidR="004B17F0">
        <w:rPr>
          <w:rFonts w:ascii="Arial" w:hAnsi="Arial" w:cs="Arial"/>
          <w:i/>
          <w:sz w:val="22"/>
          <w:szCs w:val="22"/>
          <w:lang w:val="es-CO"/>
        </w:rPr>
        <w:t xml:space="preserve"> </w:t>
      </w:r>
      <w:r w:rsidRPr="0039191B">
        <w:rPr>
          <w:rFonts w:ascii="Arial" w:hAnsi="Arial" w:cs="Arial"/>
          <w:i/>
          <w:sz w:val="22"/>
          <w:szCs w:val="22"/>
          <w:lang w:val="es-CO"/>
        </w:rPr>
        <w:t>RESO, como una herramienta administrada por la Subdirección de Sistemas de Información de Tierras de la Agencia Nacional de Tierras, que consigna públicamente a todos los sujetos del presente decreto ley.</w:t>
      </w:r>
    </w:p>
    <w:p w:rsidR="00DE16C9" w:rsidRPr="0039191B" w:rsidRDefault="00DE16C9" w:rsidP="005C0AAD">
      <w:pPr>
        <w:spacing w:line="120" w:lineRule="auto"/>
        <w:jc w:val="both"/>
        <w:rPr>
          <w:rFonts w:ascii="Arial" w:hAnsi="Arial" w:cs="Arial"/>
          <w:i/>
          <w:sz w:val="22"/>
          <w:szCs w:val="22"/>
          <w:lang w:val="es-CO"/>
        </w:rPr>
      </w:pPr>
    </w:p>
    <w:p w:rsidR="00DE16C9" w:rsidRPr="008B7B5C" w:rsidRDefault="00F40823" w:rsidP="00DE16C9">
      <w:pPr>
        <w:jc w:val="both"/>
        <w:rPr>
          <w:rFonts w:ascii="Arial" w:hAnsi="Arial" w:cs="Arial"/>
          <w:i/>
          <w:sz w:val="22"/>
          <w:szCs w:val="22"/>
          <w:lang w:val="es-CO"/>
        </w:rPr>
      </w:pPr>
      <w:r w:rsidRPr="008B7B5C">
        <w:rPr>
          <w:rFonts w:ascii="Arial" w:hAnsi="Arial" w:cs="Arial"/>
          <w:i/>
          <w:sz w:val="22"/>
          <w:szCs w:val="22"/>
          <w:lang w:val="es-CO"/>
        </w:rPr>
        <w:t>El RES</w:t>
      </w:r>
      <w:r w:rsidR="00DE16C9" w:rsidRPr="008B7B5C">
        <w:rPr>
          <w:rFonts w:ascii="Arial" w:hAnsi="Arial" w:cs="Arial"/>
          <w:i/>
          <w:sz w:val="22"/>
          <w:szCs w:val="22"/>
          <w:lang w:val="es-CO"/>
        </w:rPr>
        <w:t>O constituirá un instrumento de planeación y de ejecución gradual de la política pública, bajo el principio de reserva de lo posible, a fin de que el acceso y la formalización de tierras se adelanten de manera progresiva.</w:t>
      </w:r>
    </w:p>
    <w:p w:rsidR="00DE16C9" w:rsidRPr="008B7B5C" w:rsidRDefault="00DE16C9" w:rsidP="005C0AAD">
      <w:pPr>
        <w:spacing w:line="120" w:lineRule="auto"/>
        <w:jc w:val="both"/>
        <w:rPr>
          <w:rFonts w:ascii="Arial" w:hAnsi="Arial" w:cs="Arial"/>
          <w:i/>
          <w:sz w:val="22"/>
          <w:szCs w:val="22"/>
          <w:lang w:val="es-CO"/>
        </w:rPr>
      </w:pPr>
    </w:p>
    <w:p w:rsidR="00DE16C9" w:rsidRPr="008B7B5C" w:rsidRDefault="00DE16C9" w:rsidP="00DE16C9">
      <w:pPr>
        <w:jc w:val="both"/>
        <w:rPr>
          <w:rFonts w:ascii="Arial" w:hAnsi="Arial" w:cs="Arial"/>
          <w:i/>
          <w:sz w:val="22"/>
          <w:szCs w:val="22"/>
          <w:lang w:val="es-CO"/>
        </w:rPr>
      </w:pPr>
      <w:r w:rsidRPr="008B7B5C">
        <w:rPr>
          <w:rFonts w:ascii="Arial" w:hAnsi="Arial" w:cs="Arial"/>
          <w:i/>
          <w:sz w:val="22"/>
          <w:szCs w:val="22"/>
          <w:lang w:val="es-CO"/>
        </w:rPr>
        <w:t>Adicionalmente, se constituye en la herramienta para identificar a los beneficiarios del Fondo de Tierras para la Reforma Rural Integral</w:t>
      </w:r>
      <w:r w:rsidR="004B17F0" w:rsidRPr="008B7B5C">
        <w:rPr>
          <w:rFonts w:ascii="Arial" w:hAnsi="Arial" w:cs="Arial"/>
          <w:i/>
          <w:sz w:val="22"/>
          <w:szCs w:val="22"/>
          <w:lang w:val="es-CO"/>
        </w:rPr>
        <w:t xml:space="preserve"> </w:t>
      </w:r>
      <w:r w:rsidR="0098053D" w:rsidRPr="008B7B5C">
        <w:rPr>
          <w:rFonts w:ascii="Arial" w:hAnsi="Arial" w:cs="Arial"/>
          <w:i/>
          <w:sz w:val="22"/>
          <w:szCs w:val="22"/>
          <w:lang w:val="es-CO"/>
        </w:rPr>
        <w:t>(…)”</w:t>
      </w:r>
    </w:p>
    <w:p w:rsidR="00DE16C9" w:rsidRPr="008B7B5C" w:rsidRDefault="00DE16C9" w:rsidP="008E2222">
      <w:pPr>
        <w:jc w:val="both"/>
        <w:rPr>
          <w:rFonts w:ascii="Arial" w:hAnsi="Arial" w:cs="Arial"/>
          <w:sz w:val="22"/>
          <w:szCs w:val="22"/>
          <w:lang w:val="es-CO"/>
        </w:rPr>
      </w:pPr>
    </w:p>
    <w:p w:rsidR="00293DA4" w:rsidRDefault="001A7074">
      <w:pPr>
        <w:tabs>
          <w:tab w:val="left" w:pos="10080"/>
        </w:tabs>
        <w:spacing w:line="0" w:lineRule="atLeast"/>
        <w:jc w:val="both"/>
        <w:rPr>
          <w:rFonts w:ascii="Arial" w:hAnsi="Arial"/>
          <w:sz w:val="22"/>
          <w:szCs w:val="22"/>
          <w:lang w:val="es-CO"/>
        </w:rPr>
      </w:pPr>
      <w:r w:rsidRPr="008B7B5C">
        <w:rPr>
          <w:rFonts w:ascii="Arial" w:hAnsi="Arial" w:cs="Arial"/>
          <w:b/>
          <w:sz w:val="22"/>
          <w:szCs w:val="22"/>
          <w:lang w:val="es-CO" w:bidi="es-CO"/>
        </w:rPr>
        <w:t>Octavo</w:t>
      </w:r>
      <w:r w:rsidR="00CB2964" w:rsidRPr="008B7B5C">
        <w:rPr>
          <w:rFonts w:ascii="Arial" w:hAnsi="Arial"/>
          <w:b/>
          <w:sz w:val="22"/>
          <w:szCs w:val="22"/>
          <w:lang w:val="es-CO"/>
        </w:rPr>
        <w:t>.</w:t>
      </w:r>
      <w:r w:rsidR="00CB2964" w:rsidRPr="008B7B5C">
        <w:rPr>
          <w:rFonts w:ascii="Arial" w:hAnsi="Arial"/>
          <w:sz w:val="22"/>
          <w:szCs w:val="22"/>
          <w:lang w:val="es-CO"/>
        </w:rPr>
        <w:t xml:space="preserve"> </w:t>
      </w:r>
      <w:r w:rsidR="00FF09C3" w:rsidRPr="008B7B5C">
        <w:rPr>
          <w:rFonts w:ascii="Arial" w:hAnsi="Arial"/>
          <w:sz w:val="22"/>
          <w:szCs w:val="22"/>
          <w:lang w:val="es-CO"/>
        </w:rPr>
        <w:t xml:space="preserve">Que en el marco de la Resolución 740 del 13 de junio de 2017 de la </w:t>
      </w:r>
      <w:r w:rsidR="005415E7">
        <w:rPr>
          <w:rFonts w:ascii="Arial" w:hAnsi="Arial"/>
          <w:sz w:val="22"/>
          <w:szCs w:val="22"/>
          <w:lang w:val="es-CO"/>
        </w:rPr>
        <w:t>A</w:t>
      </w:r>
      <w:bookmarkStart w:id="0" w:name="_GoBack"/>
      <w:bookmarkEnd w:id="0"/>
      <w:r w:rsidR="00FF09C3" w:rsidRPr="008B7B5C">
        <w:rPr>
          <w:rFonts w:ascii="Arial" w:hAnsi="Arial"/>
          <w:sz w:val="22"/>
          <w:szCs w:val="22"/>
          <w:lang w:val="es-CO"/>
        </w:rPr>
        <w:t>gencia Nacional de Tierras, por la cual se expide el Reglamento Operativo de Planes de Ordenamiento Social de la Propiedad, el Proceso Único de Ordenamiento Social de la Propiedad y se dictan otras disposiciones, la Agencia estableció el Formulario de Inscripción de Sujetos de Ordenamiento - FISO, como el instrumento para la inscripción de las personas y comunidades aspirantes y/o solicitantes de los programas de acceso y formalización de tierras; esto con la finalidad de registrar públicamente a los sujetos de ordenamiento social de la propiedad en el RESO.</w:t>
      </w:r>
      <w:r w:rsidR="007967D8" w:rsidRPr="008B7B5C">
        <w:rPr>
          <w:rFonts w:ascii="Arial" w:hAnsi="Arial"/>
          <w:sz w:val="22"/>
          <w:szCs w:val="22"/>
          <w:lang w:val="es-CO"/>
        </w:rPr>
        <w:t xml:space="preserve"> Según información de la Agencia Nacional de Tierras, este registro se encuentra a la fecha operando y ya cuenta con una base de aspirantes a programas de acceso y formalización de tierras.</w:t>
      </w:r>
    </w:p>
    <w:p w:rsidR="00293DA4" w:rsidRDefault="00293DA4">
      <w:pPr>
        <w:tabs>
          <w:tab w:val="left" w:pos="10080"/>
        </w:tabs>
        <w:spacing w:line="0" w:lineRule="atLeast"/>
        <w:jc w:val="both"/>
        <w:rPr>
          <w:rFonts w:ascii="Arial" w:hAnsi="Arial"/>
          <w:sz w:val="22"/>
          <w:szCs w:val="22"/>
          <w:lang w:val="es-CO"/>
        </w:rPr>
      </w:pPr>
    </w:p>
    <w:p w:rsidR="003114C7" w:rsidRPr="0039191B" w:rsidRDefault="00FF09C3">
      <w:pPr>
        <w:tabs>
          <w:tab w:val="left" w:pos="10080"/>
        </w:tabs>
        <w:spacing w:line="0" w:lineRule="atLeast"/>
        <w:jc w:val="both"/>
        <w:rPr>
          <w:rFonts w:ascii="Arial" w:hAnsi="Arial" w:cs="Arial"/>
          <w:sz w:val="22"/>
          <w:szCs w:val="22"/>
          <w:lang w:val="es-CO"/>
        </w:rPr>
      </w:pPr>
      <w:r w:rsidRPr="00FF09C3">
        <w:rPr>
          <w:rFonts w:ascii="Arial" w:hAnsi="Arial"/>
          <w:b/>
          <w:sz w:val="22"/>
          <w:szCs w:val="22"/>
          <w:lang w:val="es-CO"/>
        </w:rPr>
        <w:t>Noveno.</w:t>
      </w:r>
      <w:r>
        <w:rPr>
          <w:rFonts w:ascii="Arial" w:hAnsi="Arial"/>
          <w:sz w:val="22"/>
          <w:szCs w:val="22"/>
          <w:lang w:val="es-CO"/>
        </w:rPr>
        <w:t xml:space="preserve"> </w:t>
      </w:r>
      <w:r w:rsidR="003114C7" w:rsidRPr="0039191B">
        <w:rPr>
          <w:rFonts w:ascii="Arial" w:hAnsi="Arial"/>
          <w:sz w:val="22"/>
          <w:szCs w:val="22"/>
          <w:lang w:val="es-CO"/>
        </w:rPr>
        <w:t>Que mediante Resolución No. 3 de 2016 “</w:t>
      </w:r>
      <w:r w:rsidR="003114C7" w:rsidRPr="0039191B">
        <w:rPr>
          <w:rFonts w:ascii="Arial" w:hAnsi="Arial"/>
          <w:i/>
          <w:sz w:val="22"/>
          <w:szCs w:val="22"/>
          <w:lang w:val="es-CO"/>
        </w:rPr>
        <w:t>Por la cual se compila y modifica la reglamentación de los incentivos y subsidios a través de crédito agropecuario y rural</w:t>
      </w:r>
      <w:r w:rsidR="003114C7" w:rsidRPr="0039191B">
        <w:rPr>
          <w:rFonts w:ascii="Arial" w:hAnsi="Arial"/>
          <w:sz w:val="22"/>
          <w:szCs w:val="22"/>
          <w:lang w:val="es-CO"/>
        </w:rPr>
        <w:t>” modificada por l</w:t>
      </w:r>
      <w:r w:rsidR="003A5806" w:rsidRPr="0039191B">
        <w:rPr>
          <w:rFonts w:ascii="Arial" w:hAnsi="Arial"/>
          <w:sz w:val="22"/>
          <w:szCs w:val="22"/>
          <w:lang w:val="es-CO"/>
        </w:rPr>
        <w:t>as Resoluciones No</w:t>
      </w:r>
      <w:r w:rsidR="008E756B" w:rsidRPr="0039191B">
        <w:rPr>
          <w:rFonts w:ascii="Arial" w:hAnsi="Arial"/>
          <w:sz w:val="22"/>
          <w:szCs w:val="22"/>
          <w:lang w:val="es-CO"/>
        </w:rPr>
        <w:t>s</w:t>
      </w:r>
      <w:r w:rsidR="003A5806" w:rsidRPr="0039191B">
        <w:rPr>
          <w:rFonts w:ascii="Arial" w:hAnsi="Arial"/>
          <w:sz w:val="22"/>
          <w:szCs w:val="22"/>
          <w:lang w:val="es-CO"/>
        </w:rPr>
        <w:t>. 11 de 2017,</w:t>
      </w:r>
      <w:r w:rsidR="003114C7" w:rsidRPr="0039191B">
        <w:rPr>
          <w:rFonts w:ascii="Arial" w:hAnsi="Arial"/>
          <w:sz w:val="22"/>
          <w:szCs w:val="22"/>
          <w:lang w:val="es-CO"/>
        </w:rPr>
        <w:t xml:space="preserve"> 2</w:t>
      </w:r>
      <w:r w:rsidR="003A5806" w:rsidRPr="0039191B">
        <w:rPr>
          <w:rFonts w:ascii="Arial" w:hAnsi="Arial"/>
          <w:sz w:val="22"/>
          <w:szCs w:val="22"/>
          <w:lang w:val="es-CO"/>
        </w:rPr>
        <w:t xml:space="preserve"> y 6</w:t>
      </w:r>
      <w:r w:rsidR="003114C7" w:rsidRPr="0039191B">
        <w:rPr>
          <w:rFonts w:ascii="Arial" w:hAnsi="Arial"/>
          <w:sz w:val="22"/>
          <w:szCs w:val="22"/>
          <w:lang w:val="es-CO"/>
        </w:rPr>
        <w:t xml:space="preserve"> de 2018, la </w:t>
      </w:r>
      <w:r w:rsidR="00B64EC5" w:rsidRPr="0039191B">
        <w:rPr>
          <w:rFonts w:ascii="Arial" w:hAnsi="Arial"/>
          <w:sz w:val="22"/>
          <w:szCs w:val="22"/>
          <w:lang w:val="es-CO"/>
        </w:rPr>
        <w:t>CNCA</w:t>
      </w:r>
      <w:r w:rsidR="003114C7" w:rsidRPr="0039191B">
        <w:rPr>
          <w:rFonts w:ascii="Arial" w:hAnsi="Arial"/>
          <w:sz w:val="22"/>
          <w:szCs w:val="22"/>
          <w:lang w:val="es-CO"/>
        </w:rPr>
        <w:t xml:space="preserve"> estableció de manera expresa las actividades que se pueden financiar y ser beneficiadas con el subsidio a la tasa</w:t>
      </w:r>
      <w:r w:rsidR="00B64EC5" w:rsidRPr="0039191B">
        <w:rPr>
          <w:rFonts w:ascii="Arial" w:hAnsi="Arial"/>
          <w:sz w:val="22"/>
          <w:szCs w:val="22"/>
          <w:lang w:val="es-CO"/>
        </w:rPr>
        <w:t xml:space="preserve"> de interés</w:t>
      </w:r>
      <w:r w:rsidR="003114C7" w:rsidRPr="0039191B">
        <w:rPr>
          <w:rFonts w:ascii="Arial" w:hAnsi="Arial"/>
          <w:sz w:val="22"/>
          <w:szCs w:val="22"/>
          <w:lang w:val="es-CO"/>
        </w:rPr>
        <w:t>.</w:t>
      </w:r>
    </w:p>
    <w:p w:rsidR="003114C7" w:rsidRPr="0039191B" w:rsidRDefault="003114C7">
      <w:pPr>
        <w:tabs>
          <w:tab w:val="left" w:pos="10080"/>
        </w:tabs>
        <w:spacing w:line="0" w:lineRule="atLeast"/>
        <w:jc w:val="both"/>
        <w:rPr>
          <w:rFonts w:ascii="Arial" w:hAnsi="Arial" w:cs="Arial"/>
          <w:sz w:val="22"/>
          <w:szCs w:val="22"/>
          <w:lang w:val="es-CO"/>
        </w:rPr>
      </w:pPr>
    </w:p>
    <w:p w:rsidR="00F40823" w:rsidRPr="0039191B" w:rsidRDefault="00FF09C3" w:rsidP="00F40823">
      <w:pPr>
        <w:tabs>
          <w:tab w:val="left" w:pos="8503"/>
        </w:tabs>
        <w:ind w:right="-2"/>
        <w:jc w:val="both"/>
        <w:rPr>
          <w:rFonts w:ascii="Arial" w:hAnsi="Arial"/>
          <w:sz w:val="22"/>
          <w:szCs w:val="22"/>
          <w:lang w:val="es-CO"/>
        </w:rPr>
      </w:pPr>
      <w:r w:rsidRPr="0039191B">
        <w:rPr>
          <w:rFonts w:ascii="Arial" w:hAnsi="Arial" w:cs="Arial"/>
          <w:b/>
          <w:sz w:val="22"/>
          <w:szCs w:val="22"/>
          <w:lang w:val="es-CO" w:bidi="es-CO"/>
        </w:rPr>
        <w:t>Décimo</w:t>
      </w:r>
      <w:r w:rsidR="00F40823" w:rsidRPr="0039191B">
        <w:rPr>
          <w:sz w:val="22"/>
          <w:szCs w:val="22"/>
          <w:lang w:val="es-CO" w:bidi="es-CO"/>
        </w:rPr>
        <w:t>.</w:t>
      </w:r>
      <w:r w:rsidR="00BC307C" w:rsidRPr="0039191B">
        <w:rPr>
          <w:rFonts w:ascii="Arial" w:hAnsi="Arial" w:cs="Arial"/>
          <w:sz w:val="22"/>
          <w:szCs w:val="22"/>
          <w:lang w:val="es-CO" w:bidi="es-CO"/>
        </w:rPr>
        <w:t xml:space="preserve"> Que los demás términos y condiciones previstos en la Resolución No. 3 de 2016, permanecerán inalteradas conservando su vigor y efecto, en cuanto no sean contrarios con lo pretendido y establecido en la presente resolución.</w:t>
      </w:r>
    </w:p>
    <w:p w:rsidR="00F40823" w:rsidRPr="0039191B" w:rsidRDefault="00F40823" w:rsidP="00F40823">
      <w:pPr>
        <w:tabs>
          <w:tab w:val="left" w:pos="8503"/>
        </w:tabs>
        <w:ind w:right="-2"/>
        <w:jc w:val="both"/>
        <w:rPr>
          <w:rFonts w:ascii="Arial" w:hAnsi="Arial" w:cs="Arial"/>
          <w:i/>
          <w:sz w:val="22"/>
          <w:szCs w:val="22"/>
          <w:lang w:val="es-CO" w:bidi="es-CO"/>
        </w:rPr>
      </w:pPr>
    </w:p>
    <w:p w:rsidR="00F40823" w:rsidRPr="00190926" w:rsidRDefault="00FF09C3" w:rsidP="009D62EF">
      <w:pPr>
        <w:tabs>
          <w:tab w:val="left" w:pos="8503"/>
        </w:tabs>
        <w:ind w:right="-2"/>
        <w:jc w:val="both"/>
        <w:rPr>
          <w:rFonts w:ascii="Arial" w:hAnsi="Arial" w:cs="Arial"/>
          <w:sz w:val="22"/>
          <w:szCs w:val="22"/>
          <w:lang w:val="es-CO" w:bidi="es-CO"/>
        </w:rPr>
      </w:pPr>
      <w:r w:rsidRPr="0039191B">
        <w:rPr>
          <w:rFonts w:ascii="Arial" w:hAnsi="Arial" w:cs="Arial"/>
          <w:b/>
          <w:sz w:val="22"/>
          <w:szCs w:val="22"/>
          <w:lang w:val="es-CO" w:bidi="es-CO"/>
        </w:rPr>
        <w:t>Décimo</w:t>
      </w:r>
      <w:r>
        <w:rPr>
          <w:rFonts w:ascii="Arial" w:hAnsi="Arial" w:cs="Arial"/>
          <w:b/>
          <w:sz w:val="22"/>
          <w:szCs w:val="22"/>
          <w:lang w:val="es-CO" w:bidi="es-CO"/>
        </w:rPr>
        <w:t xml:space="preserve"> Primero</w:t>
      </w:r>
      <w:r w:rsidR="00BC307C">
        <w:rPr>
          <w:rFonts w:ascii="Arial" w:hAnsi="Arial" w:cs="Arial"/>
          <w:b/>
          <w:sz w:val="22"/>
          <w:szCs w:val="22"/>
          <w:lang w:val="es-CO" w:bidi="es-CO"/>
        </w:rPr>
        <w:t>.</w:t>
      </w:r>
      <w:r w:rsidR="00BC307C" w:rsidRPr="00BC307C">
        <w:rPr>
          <w:rFonts w:ascii="Arial" w:hAnsi="Arial"/>
          <w:sz w:val="22"/>
          <w:szCs w:val="22"/>
          <w:lang w:val="es-CO"/>
        </w:rPr>
        <w:t xml:space="preserve"> </w:t>
      </w:r>
      <w:r w:rsidR="00BC307C" w:rsidRPr="0039191B">
        <w:rPr>
          <w:rFonts w:ascii="Arial" w:hAnsi="Arial"/>
          <w:sz w:val="22"/>
          <w:szCs w:val="22"/>
          <w:lang w:val="es-CO"/>
        </w:rPr>
        <w:t xml:space="preserve">Que en ejercicio de sus facultades legales, el Ministerio de Agricultura y Desarrollo Rural - MADR en desarrollo </w:t>
      </w:r>
      <w:r w:rsidR="00BC307C" w:rsidRPr="00190926">
        <w:rPr>
          <w:rFonts w:ascii="Arial" w:hAnsi="Arial"/>
          <w:sz w:val="22"/>
          <w:szCs w:val="22"/>
          <w:lang w:val="es-CO"/>
        </w:rPr>
        <w:t xml:space="preserve">de la política sectorial </w:t>
      </w:r>
      <w:r w:rsidR="00190926" w:rsidRPr="00190926">
        <w:rPr>
          <w:rFonts w:ascii="Arial" w:hAnsi="Arial" w:cs="Arial"/>
          <w:kern w:val="3"/>
          <w:sz w:val="22"/>
          <w:szCs w:val="22"/>
          <w:lang w:val="es-CO"/>
        </w:rPr>
        <w:t xml:space="preserve">dirigida </w:t>
      </w:r>
      <w:r w:rsidR="00E6755E">
        <w:rPr>
          <w:rFonts w:ascii="Arial" w:hAnsi="Arial" w:cs="Arial"/>
          <w:kern w:val="3"/>
          <w:sz w:val="22"/>
          <w:szCs w:val="22"/>
          <w:lang w:val="es-CO"/>
        </w:rPr>
        <w:t xml:space="preserve">a facilitar la compra de predios </w:t>
      </w:r>
      <w:r w:rsidR="00E6755E" w:rsidRPr="00E6755E">
        <w:rPr>
          <w:rFonts w:ascii="Arial" w:hAnsi="Arial" w:cs="Arial"/>
          <w:kern w:val="3"/>
          <w:sz w:val="22"/>
          <w:szCs w:val="22"/>
          <w:lang w:val="es-CO"/>
        </w:rPr>
        <w:t xml:space="preserve">que </w:t>
      </w:r>
      <w:r w:rsidR="00E6755E">
        <w:rPr>
          <w:rFonts w:ascii="Arial" w:hAnsi="Arial" w:cs="Arial"/>
          <w:kern w:val="3"/>
          <w:sz w:val="22"/>
          <w:szCs w:val="22"/>
          <w:lang w:val="es-CO"/>
        </w:rPr>
        <w:t xml:space="preserve">permitan </w:t>
      </w:r>
      <w:r w:rsidR="00E6755E" w:rsidRPr="00E6755E">
        <w:rPr>
          <w:rFonts w:ascii="Arial" w:hAnsi="Arial" w:cs="Arial"/>
          <w:kern w:val="3"/>
          <w:sz w:val="22"/>
          <w:szCs w:val="22"/>
          <w:lang w:val="es-CO"/>
        </w:rPr>
        <w:t xml:space="preserve">ampliar la capacidad productiva actual, </w:t>
      </w:r>
      <w:r w:rsidR="00E6755E">
        <w:rPr>
          <w:rFonts w:ascii="Arial" w:hAnsi="Arial" w:cs="Arial"/>
          <w:kern w:val="3"/>
          <w:sz w:val="22"/>
          <w:szCs w:val="22"/>
          <w:lang w:val="es-CO"/>
        </w:rPr>
        <w:t xml:space="preserve">mejorar </w:t>
      </w:r>
      <w:r w:rsidR="00E6755E" w:rsidRPr="00E6755E">
        <w:rPr>
          <w:rFonts w:ascii="Arial" w:hAnsi="Arial" w:cs="Arial"/>
          <w:kern w:val="3"/>
          <w:sz w:val="22"/>
          <w:szCs w:val="22"/>
          <w:lang w:val="es-CO"/>
        </w:rPr>
        <w:t>la productividad y aumentar el nivel de ingresos de los productores</w:t>
      </w:r>
      <w:r w:rsidR="00BC307C" w:rsidRPr="00190926">
        <w:rPr>
          <w:rFonts w:ascii="Arial" w:hAnsi="Arial" w:cs="Arial"/>
          <w:kern w:val="3"/>
          <w:sz w:val="22"/>
          <w:szCs w:val="22"/>
          <w:lang w:val="es-CO"/>
        </w:rPr>
        <w:t xml:space="preserve">, </w:t>
      </w:r>
      <w:r w:rsidR="00BC307C" w:rsidRPr="00190926">
        <w:rPr>
          <w:rFonts w:ascii="Arial" w:hAnsi="Arial"/>
          <w:sz w:val="22"/>
          <w:szCs w:val="22"/>
          <w:lang w:val="es-CO"/>
        </w:rPr>
        <w:t xml:space="preserve">propuso a la CNCA el esquema para </w:t>
      </w:r>
      <w:r w:rsidR="00BC307C" w:rsidRPr="00190926">
        <w:rPr>
          <w:rFonts w:ascii="Arial" w:hAnsi="Arial" w:cs="Arial"/>
          <w:sz w:val="22"/>
          <w:szCs w:val="22"/>
          <w:lang w:val="es-CO"/>
        </w:rPr>
        <w:t>establecer una Línea Especial de Crédito para la Compra de Tierra</w:t>
      </w:r>
      <w:r w:rsidR="0098286B">
        <w:rPr>
          <w:rFonts w:ascii="Arial" w:hAnsi="Arial" w:cs="Arial"/>
          <w:sz w:val="22"/>
          <w:szCs w:val="22"/>
          <w:lang w:val="es-CO"/>
        </w:rPr>
        <w:t>s</w:t>
      </w:r>
      <w:r w:rsidR="00BC307C" w:rsidRPr="00190926">
        <w:rPr>
          <w:rFonts w:ascii="Arial" w:hAnsi="Arial" w:cs="Arial"/>
          <w:sz w:val="22"/>
          <w:szCs w:val="22"/>
          <w:lang w:val="es-CO"/>
        </w:rPr>
        <w:t xml:space="preserve"> para Uso Agropecuario</w:t>
      </w:r>
      <w:r w:rsidR="00321E7F">
        <w:rPr>
          <w:rFonts w:ascii="Arial" w:hAnsi="Arial" w:cs="Arial"/>
          <w:sz w:val="22"/>
          <w:szCs w:val="22"/>
          <w:lang w:val="es-CO"/>
        </w:rPr>
        <w:t>.</w:t>
      </w:r>
    </w:p>
    <w:p w:rsidR="009D62EF" w:rsidRPr="0039191B" w:rsidRDefault="009D62EF" w:rsidP="00850E27">
      <w:pPr>
        <w:tabs>
          <w:tab w:val="left" w:pos="8503"/>
        </w:tabs>
        <w:ind w:right="-2"/>
        <w:jc w:val="both"/>
        <w:rPr>
          <w:rFonts w:ascii="Arial" w:hAnsi="Arial" w:cs="Arial"/>
          <w:b/>
          <w:sz w:val="22"/>
          <w:szCs w:val="22"/>
          <w:lang w:val="es-CO" w:bidi="es-CO"/>
        </w:rPr>
      </w:pPr>
    </w:p>
    <w:p w:rsidR="00F40823" w:rsidRPr="0039191B" w:rsidRDefault="001A7074" w:rsidP="00850E27">
      <w:pPr>
        <w:tabs>
          <w:tab w:val="left" w:pos="8503"/>
        </w:tabs>
        <w:ind w:right="-2"/>
        <w:jc w:val="both"/>
        <w:rPr>
          <w:rFonts w:ascii="Arial" w:hAnsi="Arial" w:cs="Arial"/>
          <w:sz w:val="22"/>
          <w:szCs w:val="22"/>
          <w:lang w:val="es-CO" w:bidi="es-CO"/>
        </w:rPr>
      </w:pPr>
      <w:r w:rsidRPr="0039191B">
        <w:rPr>
          <w:rFonts w:ascii="Arial" w:hAnsi="Arial" w:cs="Arial"/>
          <w:b/>
          <w:sz w:val="22"/>
          <w:szCs w:val="22"/>
          <w:lang w:val="es-CO" w:bidi="es-CO"/>
        </w:rPr>
        <w:t>Décimo</w:t>
      </w:r>
      <w:r>
        <w:rPr>
          <w:rFonts w:ascii="Arial" w:hAnsi="Arial" w:cs="Arial"/>
          <w:b/>
          <w:sz w:val="22"/>
          <w:szCs w:val="22"/>
          <w:lang w:val="es-CO" w:bidi="es-CO"/>
        </w:rPr>
        <w:t xml:space="preserve"> </w:t>
      </w:r>
      <w:r w:rsidR="00FF09C3">
        <w:rPr>
          <w:rFonts w:ascii="Arial" w:hAnsi="Arial" w:cs="Arial"/>
          <w:b/>
          <w:sz w:val="22"/>
          <w:szCs w:val="22"/>
          <w:lang w:val="es-CO" w:bidi="es-CO"/>
        </w:rPr>
        <w:t>Segundo</w:t>
      </w:r>
      <w:r w:rsidR="00BC307C">
        <w:rPr>
          <w:rFonts w:ascii="Arial" w:hAnsi="Arial" w:cs="Arial"/>
          <w:b/>
          <w:sz w:val="22"/>
          <w:szCs w:val="22"/>
          <w:lang w:val="es-CO" w:bidi="es-CO"/>
        </w:rPr>
        <w:t>.</w:t>
      </w:r>
      <w:r w:rsidR="00F40823" w:rsidRPr="0039191B">
        <w:rPr>
          <w:rFonts w:ascii="Arial" w:hAnsi="Arial" w:cs="Arial"/>
          <w:sz w:val="22"/>
          <w:szCs w:val="22"/>
          <w:lang w:val="es-CO" w:bidi="es-CO"/>
        </w:rPr>
        <w:t xml:space="preserve"> </w:t>
      </w:r>
      <w:r w:rsidR="009D62EF" w:rsidRPr="0039191B">
        <w:rPr>
          <w:rFonts w:ascii="Arial" w:hAnsi="Arial" w:cs="Arial"/>
          <w:sz w:val="22"/>
          <w:szCs w:val="22"/>
          <w:lang w:val="es-CO" w:bidi="es-CO"/>
        </w:rPr>
        <w:t xml:space="preserve">Que el proyecto de resolución </w:t>
      </w:r>
      <w:r w:rsidR="00AC1A63" w:rsidRPr="0039191B">
        <w:rPr>
          <w:rFonts w:ascii="Arial" w:hAnsi="Arial" w:cs="Arial"/>
          <w:sz w:val="22"/>
          <w:szCs w:val="22"/>
          <w:lang w:val="es-CO" w:bidi="es-CO"/>
        </w:rPr>
        <w:t>“Por la cual se establece una Línea Especial de Crédito para la Compra de Tierra</w:t>
      </w:r>
      <w:r w:rsidR="00214A0B">
        <w:rPr>
          <w:rFonts w:ascii="Arial" w:hAnsi="Arial" w:cs="Arial"/>
          <w:sz w:val="22"/>
          <w:szCs w:val="22"/>
          <w:lang w:val="es-CO" w:bidi="es-CO"/>
        </w:rPr>
        <w:t>s</w:t>
      </w:r>
      <w:r w:rsidR="00AC1A63" w:rsidRPr="0039191B">
        <w:rPr>
          <w:rFonts w:ascii="Arial" w:hAnsi="Arial" w:cs="Arial"/>
          <w:sz w:val="22"/>
          <w:szCs w:val="22"/>
          <w:lang w:val="es-CO" w:bidi="es-CO"/>
        </w:rPr>
        <w:t xml:space="preserve"> para Uso Agropecuario y </w:t>
      </w:r>
      <w:r w:rsidR="00214A0B">
        <w:rPr>
          <w:rFonts w:ascii="Arial" w:hAnsi="Arial" w:cs="Arial"/>
          <w:sz w:val="22"/>
          <w:szCs w:val="22"/>
          <w:lang w:val="es-CO" w:bidi="es-CO"/>
        </w:rPr>
        <w:t xml:space="preserve">se dictan </w:t>
      </w:r>
      <w:r w:rsidR="00AC1A63" w:rsidRPr="0039191B">
        <w:rPr>
          <w:rFonts w:ascii="Arial" w:hAnsi="Arial" w:cs="Arial"/>
          <w:sz w:val="22"/>
          <w:szCs w:val="22"/>
          <w:lang w:val="es-CO" w:bidi="es-CO"/>
        </w:rPr>
        <w:t>otras disposiciones”</w:t>
      </w:r>
      <w:r w:rsidR="009D62EF" w:rsidRPr="0039191B">
        <w:rPr>
          <w:rFonts w:ascii="Arial" w:hAnsi="Arial" w:cs="Arial"/>
          <w:sz w:val="22"/>
          <w:szCs w:val="22"/>
          <w:lang w:val="es-CO" w:bidi="es-CO"/>
        </w:rPr>
        <w:t>, estuvo publicado en la página web de FINAGRO para comentarios.</w:t>
      </w:r>
    </w:p>
    <w:p w:rsidR="00F40823" w:rsidRPr="0039191B" w:rsidRDefault="00F40823" w:rsidP="00850E27">
      <w:pPr>
        <w:tabs>
          <w:tab w:val="left" w:pos="8503"/>
        </w:tabs>
        <w:ind w:right="-2"/>
        <w:jc w:val="both"/>
        <w:rPr>
          <w:rFonts w:ascii="Arial" w:hAnsi="Arial" w:cs="Arial"/>
          <w:sz w:val="22"/>
          <w:szCs w:val="22"/>
          <w:lang w:val="es-CO" w:bidi="es-CO"/>
        </w:rPr>
      </w:pPr>
    </w:p>
    <w:p w:rsidR="00F40823" w:rsidRPr="0039191B" w:rsidRDefault="0016794F" w:rsidP="00F40823">
      <w:pPr>
        <w:tabs>
          <w:tab w:val="left" w:pos="8503"/>
        </w:tabs>
        <w:ind w:right="-2"/>
        <w:jc w:val="both"/>
        <w:rPr>
          <w:rFonts w:ascii="Arial" w:hAnsi="Arial" w:cs="Arial"/>
          <w:sz w:val="22"/>
          <w:szCs w:val="22"/>
          <w:lang w:val="es-CO" w:bidi="es-CO"/>
        </w:rPr>
      </w:pPr>
      <w:r w:rsidRPr="0039191B">
        <w:rPr>
          <w:rFonts w:ascii="Arial" w:hAnsi="Arial" w:cs="Arial"/>
          <w:b/>
          <w:sz w:val="22"/>
          <w:szCs w:val="22"/>
          <w:lang w:val="es-CO" w:bidi="es-CO"/>
        </w:rPr>
        <w:t>Décimo</w:t>
      </w:r>
      <w:r w:rsidR="001A7074">
        <w:rPr>
          <w:rFonts w:ascii="Arial" w:hAnsi="Arial" w:cs="Arial"/>
          <w:b/>
          <w:sz w:val="22"/>
          <w:szCs w:val="22"/>
          <w:lang w:val="es-CO" w:bidi="es-CO"/>
        </w:rPr>
        <w:t xml:space="preserve"> </w:t>
      </w:r>
      <w:r w:rsidR="00FF09C3">
        <w:rPr>
          <w:rFonts w:ascii="Arial" w:hAnsi="Arial" w:cs="Arial"/>
          <w:b/>
          <w:sz w:val="22"/>
          <w:szCs w:val="22"/>
          <w:lang w:val="es-CO" w:bidi="es-CO"/>
        </w:rPr>
        <w:t>Tercero</w:t>
      </w:r>
      <w:r w:rsidR="00F40823" w:rsidRPr="0039191B">
        <w:rPr>
          <w:rFonts w:ascii="Arial" w:hAnsi="Arial" w:cs="Arial"/>
          <w:b/>
          <w:sz w:val="22"/>
          <w:szCs w:val="22"/>
          <w:lang w:val="es-CO" w:bidi="es-CO"/>
        </w:rPr>
        <w:t>.</w:t>
      </w:r>
      <w:r w:rsidR="00F40823" w:rsidRPr="0039191B">
        <w:rPr>
          <w:rFonts w:ascii="Arial" w:hAnsi="Arial" w:cs="Arial"/>
          <w:sz w:val="22"/>
          <w:szCs w:val="22"/>
          <w:lang w:val="es-CO" w:bidi="es-CO"/>
        </w:rPr>
        <w:t xml:space="preserve"> Que el documento con la justificación jurídica y técnica de la presente resolución fue presentado para consideración de la CNCA y discutido en la reunión llevada a cabo el día </w:t>
      </w:r>
      <w:r w:rsidR="009D62EF" w:rsidRPr="0039191B">
        <w:rPr>
          <w:rFonts w:ascii="Arial" w:hAnsi="Arial" w:cs="Arial"/>
          <w:sz w:val="22"/>
          <w:szCs w:val="22"/>
          <w:lang w:val="es-CO" w:bidi="es-CO"/>
        </w:rPr>
        <w:t>veinti</w:t>
      </w:r>
      <w:r w:rsidR="00F9654B">
        <w:rPr>
          <w:rFonts w:ascii="Arial" w:hAnsi="Arial" w:cs="Arial"/>
          <w:sz w:val="22"/>
          <w:szCs w:val="22"/>
          <w:lang w:val="es-CO" w:bidi="es-CO"/>
        </w:rPr>
        <w:t>dós</w:t>
      </w:r>
      <w:r w:rsidR="009D62EF" w:rsidRPr="0039191B">
        <w:rPr>
          <w:rFonts w:ascii="Arial" w:hAnsi="Arial" w:cs="Arial"/>
          <w:sz w:val="22"/>
          <w:szCs w:val="22"/>
          <w:lang w:val="es-CO" w:bidi="es-CO"/>
        </w:rPr>
        <w:t xml:space="preserve"> </w:t>
      </w:r>
      <w:r w:rsidR="00F40823" w:rsidRPr="0039191B">
        <w:rPr>
          <w:rFonts w:ascii="Arial" w:hAnsi="Arial" w:cs="Arial"/>
          <w:sz w:val="22"/>
          <w:szCs w:val="22"/>
          <w:lang w:val="es-CO" w:bidi="es-CO"/>
        </w:rPr>
        <w:t>(2</w:t>
      </w:r>
      <w:r w:rsidR="00F9654B">
        <w:rPr>
          <w:rFonts w:ascii="Arial" w:hAnsi="Arial" w:cs="Arial"/>
          <w:sz w:val="22"/>
          <w:szCs w:val="22"/>
          <w:lang w:val="es-CO" w:bidi="es-CO"/>
        </w:rPr>
        <w:t>2</w:t>
      </w:r>
      <w:r w:rsidR="00F40823" w:rsidRPr="0039191B">
        <w:rPr>
          <w:rFonts w:ascii="Arial" w:hAnsi="Arial" w:cs="Arial"/>
          <w:sz w:val="22"/>
          <w:szCs w:val="22"/>
          <w:lang w:val="es-CO" w:bidi="es-CO"/>
        </w:rPr>
        <w:t xml:space="preserve">) de </w:t>
      </w:r>
      <w:r w:rsidR="00F9654B">
        <w:rPr>
          <w:rFonts w:ascii="Arial" w:hAnsi="Arial" w:cs="Arial"/>
          <w:sz w:val="22"/>
          <w:szCs w:val="22"/>
          <w:lang w:val="es-CO" w:bidi="es-CO"/>
        </w:rPr>
        <w:t>marzo</w:t>
      </w:r>
      <w:r w:rsidR="009D62EF" w:rsidRPr="0039191B">
        <w:rPr>
          <w:rFonts w:ascii="Arial" w:hAnsi="Arial" w:cs="Arial"/>
          <w:sz w:val="22"/>
          <w:szCs w:val="22"/>
          <w:lang w:val="es-CO" w:bidi="es-CO"/>
        </w:rPr>
        <w:t xml:space="preserve"> </w:t>
      </w:r>
      <w:r w:rsidR="00F40823" w:rsidRPr="0039191B">
        <w:rPr>
          <w:rFonts w:ascii="Arial" w:hAnsi="Arial" w:cs="Arial"/>
          <w:sz w:val="22"/>
          <w:szCs w:val="22"/>
          <w:lang w:val="es-CO" w:bidi="es-CO"/>
        </w:rPr>
        <w:t xml:space="preserve">de </w:t>
      </w:r>
      <w:r w:rsidR="00D366E5" w:rsidRPr="0039191B">
        <w:rPr>
          <w:rFonts w:ascii="Arial" w:hAnsi="Arial" w:cs="Arial"/>
          <w:sz w:val="22"/>
          <w:szCs w:val="22"/>
          <w:lang w:val="es-CO" w:bidi="es-CO"/>
        </w:rPr>
        <w:t>dos mil diecinueve (</w:t>
      </w:r>
      <w:r w:rsidR="00F40823" w:rsidRPr="0039191B">
        <w:rPr>
          <w:rFonts w:ascii="Arial" w:hAnsi="Arial" w:cs="Arial"/>
          <w:sz w:val="22"/>
          <w:szCs w:val="22"/>
          <w:lang w:val="es-CO" w:bidi="es-CO"/>
        </w:rPr>
        <w:t>201</w:t>
      </w:r>
      <w:r w:rsidR="009D62EF" w:rsidRPr="0039191B">
        <w:rPr>
          <w:rFonts w:ascii="Arial" w:hAnsi="Arial" w:cs="Arial"/>
          <w:sz w:val="22"/>
          <w:szCs w:val="22"/>
          <w:lang w:val="es-CO" w:bidi="es-CO"/>
        </w:rPr>
        <w:t>9</w:t>
      </w:r>
      <w:r w:rsidR="00D366E5" w:rsidRPr="0039191B">
        <w:rPr>
          <w:rFonts w:ascii="Arial" w:hAnsi="Arial" w:cs="Arial"/>
          <w:sz w:val="22"/>
          <w:szCs w:val="22"/>
          <w:lang w:val="es-CO" w:bidi="es-CO"/>
        </w:rPr>
        <w:t>)</w:t>
      </w:r>
      <w:r w:rsidR="00F40823" w:rsidRPr="0039191B">
        <w:rPr>
          <w:rFonts w:ascii="Arial" w:hAnsi="Arial" w:cs="Arial"/>
          <w:sz w:val="22"/>
          <w:szCs w:val="22"/>
          <w:lang w:val="es-CO" w:bidi="es-CO"/>
        </w:rPr>
        <w:t>.</w:t>
      </w:r>
    </w:p>
    <w:p w:rsidR="00F40823" w:rsidRPr="0039191B" w:rsidRDefault="00F40823" w:rsidP="00F40823">
      <w:pPr>
        <w:tabs>
          <w:tab w:val="left" w:pos="8503"/>
        </w:tabs>
        <w:ind w:right="-2"/>
        <w:jc w:val="both"/>
        <w:rPr>
          <w:rFonts w:ascii="Arial" w:hAnsi="Arial" w:cs="Arial"/>
          <w:sz w:val="22"/>
          <w:szCs w:val="22"/>
          <w:lang w:val="es-CO" w:bidi="es-CO"/>
        </w:rPr>
      </w:pPr>
    </w:p>
    <w:p w:rsidR="00F40823" w:rsidRPr="0039191B" w:rsidRDefault="00F40823" w:rsidP="00F40823">
      <w:pPr>
        <w:tabs>
          <w:tab w:val="left" w:pos="8503"/>
        </w:tabs>
        <w:ind w:right="-2"/>
        <w:jc w:val="both"/>
        <w:rPr>
          <w:rFonts w:ascii="Arial" w:hAnsi="Arial" w:cs="Arial"/>
          <w:sz w:val="22"/>
          <w:szCs w:val="22"/>
          <w:lang w:val="es-CO" w:bidi="es-CO"/>
        </w:rPr>
      </w:pPr>
      <w:r w:rsidRPr="0039191B">
        <w:rPr>
          <w:rFonts w:ascii="Arial" w:hAnsi="Arial" w:cs="Arial"/>
          <w:sz w:val="22"/>
          <w:szCs w:val="22"/>
          <w:lang w:val="es-CO" w:bidi="es-CO"/>
        </w:rPr>
        <w:t>En mérito de lo anterior,</w:t>
      </w:r>
    </w:p>
    <w:p w:rsidR="006C355C" w:rsidRPr="0039191B" w:rsidRDefault="008F6A6C" w:rsidP="008F6A6C">
      <w:pPr>
        <w:pStyle w:val="c5"/>
        <w:tabs>
          <w:tab w:val="left" w:pos="1479"/>
        </w:tabs>
        <w:spacing w:line="240" w:lineRule="auto"/>
        <w:rPr>
          <w:rFonts w:ascii="Arial" w:hAnsi="Arial" w:cs="Arial"/>
          <w:b/>
          <w:sz w:val="22"/>
          <w:szCs w:val="22"/>
          <w:lang w:val="es-CO"/>
        </w:rPr>
      </w:pPr>
      <w:r w:rsidRPr="0039191B">
        <w:rPr>
          <w:rFonts w:ascii="Arial" w:hAnsi="Arial" w:cs="Arial"/>
          <w:b/>
          <w:sz w:val="22"/>
          <w:szCs w:val="22"/>
          <w:lang w:val="es-CO"/>
        </w:rPr>
        <w:t>RESUELVE</w:t>
      </w:r>
    </w:p>
    <w:p w:rsidR="006C355C" w:rsidRPr="0039191B" w:rsidRDefault="006C355C">
      <w:pPr>
        <w:pStyle w:val="p2"/>
        <w:spacing w:line="0" w:lineRule="atLeast"/>
        <w:ind w:left="0"/>
        <w:jc w:val="center"/>
        <w:rPr>
          <w:rFonts w:ascii="Arial" w:hAnsi="Arial" w:cs="Arial"/>
          <w:sz w:val="22"/>
          <w:szCs w:val="22"/>
          <w:lang w:val="es-CO"/>
        </w:rPr>
      </w:pPr>
    </w:p>
    <w:p w:rsidR="00BF5E8B" w:rsidRPr="0039191B" w:rsidRDefault="00984849" w:rsidP="00BF5E8B">
      <w:pPr>
        <w:jc w:val="both"/>
        <w:rPr>
          <w:rFonts w:ascii="Arial" w:hAnsi="Arial" w:cs="Arial"/>
          <w:sz w:val="22"/>
          <w:szCs w:val="22"/>
          <w:lang w:val="es-CO"/>
        </w:rPr>
      </w:pPr>
      <w:r w:rsidRPr="0039191B">
        <w:rPr>
          <w:rFonts w:ascii="Arial" w:hAnsi="Arial" w:cs="Arial"/>
          <w:b/>
          <w:sz w:val="22"/>
          <w:szCs w:val="22"/>
          <w:lang w:val="es-CO"/>
        </w:rPr>
        <w:t>Artículo 1</w:t>
      </w:r>
      <w:r w:rsidR="000002CB" w:rsidRPr="0039191B">
        <w:rPr>
          <w:rFonts w:ascii="Arial" w:hAnsi="Arial" w:cs="Arial"/>
          <w:b/>
          <w:sz w:val="22"/>
          <w:szCs w:val="22"/>
          <w:lang w:val="es-CO"/>
        </w:rPr>
        <w:t>o</w:t>
      </w:r>
      <w:r w:rsidRPr="0039191B">
        <w:rPr>
          <w:rFonts w:ascii="Arial" w:hAnsi="Arial" w:cs="Arial"/>
          <w:b/>
          <w:sz w:val="22"/>
          <w:szCs w:val="22"/>
          <w:lang w:val="es-CO"/>
        </w:rPr>
        <w:t>.</w:t>
      </w:r>
      <w:r w:rsidR="00050D2F" w:rsidRPr="0039191B">
        <w:rPr>
          <w:rFonts w:ascii="Arial" w:hAnsi="Arial" w:cs="Arial"/>
          <w:sz w:val="22"/>
          <w:szCs w:val="22"/>
          <w:lang w:val="es-CO"/>
        </w:rPr>
        <w:t xml:space="preserve"> Modificar el artículo 1</w:t>
      </w:r>
      <w:r w:rsidR="00BE3612" w:rsidRPr="0039191B">
        <w:rPr>
          <w:rFonts w:ascii="Arial" w:hAnsi="Arial" w:cs="Arial"/>
          <w:sz w:val="22"/>
          <w:szCs w:val="22"/>
          <w:lang w:val="es-CO"/>
        </w:rPr>
        <w:t>0</w:t>
      </w:r>
      <w:r w:rsidR="00050D2F" w:rsidRPr="0039191B">
        <w:rPr>
          <w:rFonts w:ascii="Arial" w:hAnsi="Arial" w:cs="Arial"/>
          <w:sz w:val="22"/>
          <w:szCs w:val="22"/>
          <w:lang w:val="es-CO"/>
        </w:rPr>
        <w:t>o.</w:t>
      </w:r>
      <w:r w:rsidRPr="0039191B">
        <w:rPr>
          <w:rFonts w:ascii="Arial" w:hAnsi="Arial" w:cs="Arial"/>
          <w:sz w:val="22"/>
          <w:szCs w:val="22"/>
          <w:lang w:val="es-CO"/>
        </w:rPr>
        <w:t xml:space="preserve"> de la </w:t>
      </w:r>
      <w:r w:rsidR="006C786F" w:rsidRPr="0039191B">
        <w:rPr>
          <w:rFonts w:ascii="Arial" w:hAnsi="Arial" w:cs="Arial"/>
          <w:sz w:val="22"/>
          <w:szCs w:val="22"/>
          <w:lang w:val="es-CO"/>
        </w:rPr>
        <w:t xml:space="preserve">Resolución No. </w:t>
      </w:r>
      <w:r w:rsidRPr="0039191B">
        <w:rPr>
          <w:rFonts w:ascii="Arial" w:hAnsi="Arial" w:cs="Arial"/>
          <w:sz w:val="22"/>
          <w:szCs w:val="22"/>
          <w:lang w:val="es-CO"/>
        </w:rPr>
        <w:t>3 de 2016</w:t>
      </w:r>
      <w:r w:rsidR="00BF5E8B" w:rsidRPr="0039191B">
        <w:rPr>
          <w:rFonts w:ascii="Arial" w:hAnsi="Arial" w:cs="Arial"/>
          <w:sz w:val="22"/>
          <w:szCs w:val="22"/>
          <w:lang w:val="es-CO"/>
        </w:rPr>
        <w:t xml:space="preserve">, </w:t>
      </w:r>
      <w:r w:rsidR="006A3362">
        <w:rPr>
          <w:rFonts w:ascii="Arial" w:hAnsi="Arial" w:cs="Arial"/>
          <w:sz w:val="22"/>
          <w:szCs w:val="22"/>
          <w:lang w:val="es-CO"/>
        </w:rPr>
        <w:t>el cual quedará así</w:t>
      </w:r>
      <w:r w:rsidR="00BF5E8B" w:rsidRPr="0039191B">
        <w:rPr>
          <w:rFonts w:ascii="Arial" w:hAnsi="Arial" w:cs="Arial"/>
          <w:sz w:val="22"/>
          <w:szCs w:val="22"/>
          <w:lang w:val="es-CO"/>
        </w:rPr>
        <w:t>:</w:t>
      </w:r>
    </w:p>
    <w:p w:rsidR="00984849" w:rsidRPr="0039191B" w:rsidRDefault="00984849" w:rsidP="00962684">
      <w:pPr>
        <w:spacing w:line="120" w:lineRule="auto"/>
        <w:jc w:val="both"/>
        <w:rPr>
          <w:rFonts w:ascii="Arial" w:hAnsi="Arial" w:cs="Arial"/>
          <w:sz w:val="22"/>
          <w:szCs w:val="22"/>
          <w:lang w:val="es-CO"/>
        </w:rPr>
      </w:pPr>
    </w:p>
    <w:p w:rsidR="00984849" w:rsidRPr="0039191B" w:rsidRDefault="00E03481" w:rsidP="00984849">
      <w:pPr>
        <w:jc w:val="both"/>
        <w:rPr>
          <w:rFonts w:ascii="Arial" w:hAnsi="Arial" w:cs="Arial"/>
          <w:i/>
          <w:sz w:val="22"/>
          <w:szCs w:val="22"/>
          <w:lang w:val="es-CO"/>
        </w:rPr>
      </w:pPr>
      <w:r w:rsidRPr="0039191B">
        <w:rPr>
          <w:rFonts w:ascii="Arial" w:hAnsi="Arial" w:cs="Arial"/>
          <w:i/>
          <w:sz w:val="22"/>
          <w:szCs w:val="22"/>
          <w:lang w:val="es-CO"/>
        </w:rPr>
        <w:t>“</w:t>
      </w:r>
      <w:r w:rsidR="00984849" w:rsidRPr="00E9192A">
        <w:rPr>
          <w:rFonts w:ascii="Arial" w:hAnsi="Arial" w:cs="Arial"/>
          <w:b/>
          <w:i/>
          <w:sz w:val="22"/>
          <w:szCs w:val="22"/>
          <w:lang w:val="es-CO"/>
        </w:rPr>
        <w:t>Artículo 10</w:t>
      </w:r>
      <w:r w:rsidR="000002CB" w:rsidRPr="00E9192A">
        <w:rPr>
          <w:rFonts w:ascii="Arial" w:hAnsi="Arial" w:cs="Arial"/>
          <w:b/>
          <w:i/>
          <w:sz w:val="22"/>
          <w:szCs w:val="22"/>
          <w:lang w:val="es-CO"/>
        </w:rPr>
        <w:t>o</w:t>
      </w:r>
      <w:r w:rsidR="00984849" w:rsidRPr="0039191B">
        <w:rPr>
          <w:rFonts w:ascii="Arial" w:hAnsi="Arial" w:cs="Arial"/>
          <w:i/>
          <w:sz w:val="22"/>
          <w:szCs w:val="22"/>
          <w:lang w:val="es-CO"/>
        </w:rPr>
        <w:t>. Las actividades que se podrán financiar serán:</w:t>
      </w:r>
    </w:p>
    <w:p w:rsidR="00984849" w:rsidRPr="0039191B" w:rsidRDefault="00984849" w:rsidP="00984849">
      <w:pPr>
        <w:jc w:val="both"/>
        <w:rPr>
          <w:rFonts w:ascii="Arial" w:hAnsi="Arial" w:cs="Arial"/>
          <w:i/>
          <w:sz w:val="22"/>
          <w:szCs w:val="22"/>
          <w:lang w:val="es-CO"/>
        </w:rPr>
      </w:pP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La siembra de cultivos de ciclo corto.</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 xml:space="preserve">La siembra de </w:t>
      </w:r>
      <w:r w:rsidR="002128D5" w:rsidRPr="0039191B">
        <w:rPr>
          <w:rFonts w:cs="Arial"/>
          <w:i/>
          <w:sz w:val="22"/>
          <w:szCs w:val="22"/>
          <w:lang w:val="es-CO"/>
        </w:rPr>
        <w:t>cultivos perennes.</w:t>
      </w:r>
      <w:r w:rsidRPr="0039191B">
        <w:rPr>
          <w:rFonts w:cs="Arial"/>
          <w:i/>
          <w:sz w:val="22"/>
          <w:szCs w:val="22"/>
          <w:lang w:val="es-CO"/>
        </w:rPr>
        <w:t xml:space="preserve"> </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Las actividades de fomento a la competitividad de los productores lecheros</w:t>
      </w:r>
      <w:r w:rsidR="002128D5" w:rsidRPr="0039191B">
        <w:rPr>
          <w:rFonts w:cs="Arial"/>
          <w:i/>
          <w:sz w:val="22"/>
          <w:szCs w:val="22"/>
          <w:lang w:val="es-CO"/>
        </w:rPr>
        <w:t>,</w:t>
      </w:r>
      <w:r w:rsidRPr="0039191B">
        <w:rPr>
          <w:rFonts w:cs="Arial"/>
          <w:i/>
          <w:sz w:val="22"/>
          <w:szCs w:val="22"/>
          <w:lang w:val="es-CO"/>
        </w:rPr>
        <w:t xml:space="preserve"> de acuerdo con lo establecido en el documento CONPES 3675 de 2010, “Política Nacional para mejorar la competitividad del Sector Lácteo Colombiano”</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La retención de vientres de ganado bovino y bufalino.</w:t>
      </w:r>
    </w:p>
    <w:p w:rsidR="00BF1B26" w:rsidRPr="0039191B" w:rsidRDefault="00BF1B26"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La adquisición</w:t>
      </w:r>
      <w:r w:rsidR="007F0F4A" w:rsidRPr="0039191B">
        <w:rPr>
          <w:rFonts w:cs="Arial"/>
          <w:i/>
          <w:sz w:val="22"/>
          <w:szCs w:val="22"/>
          <w:lang w:val="es-CO"/>
        </w:rPr>
        <w:t xml:space="preserve"> de animales y embriones que mejoren la productividad, de acuerdo con lo que se reglamente en el manual de servicios de FINAGRO.  </w:t>
      </w:r>
      <w:r w:rsidRPr="0039191B">
        <w:rPr>
          <w:rFonts w:cs="Arial"/>
          <w:i/>
          <w:sz w:val="22"/>
          <w:szCs w:val="22"/>
          <w:lang w:val="es-CO"/>
        </w:rPr>
        <w:t xml:space="preserve"> </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Compra de maquinaria nueva de uso agropecuario.</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Infraestructura y Adecuación de Tierras.</w:t>
      </w:r>
    </w:p>
    <w:p w:rsidR="00984849" w:rsidRPr="0039191B"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Infraestructura para la trasformación y/o Comercialización en los distintos eslabones de las cadenas productivas agropecuarias, forestales, acuícolas y de pesca.</w:t>
      </w:r>
    </w:p>
    <w:p w:rsidR="00FA24C3" w:rsidRDefault="00984849" w:rsidP="00380FBF">
      <w:pPr>
        <w:pStyle w:val="Prrafodelista"/>
        <w:numPr>
          <w:ilvl w:val="0"/>
          <w:numId w:val="26"/>
        </w:numPr>
        <w:ind w:left="284" w:hanging="284"/>
        <w:jc w:val="both"/>
        <w:rPr>
          <w:rFonts w:cs="Arial"/>
          <w:i/>
          <w:sz w:val="22"/>
          <w:szCs w:val="22"/>
          <w:lang w:val="es-CO"/>
        </w:rPr>
      </w:pPr>
      <w:r w:rsidRPr="0039191B">
        <w:rPr>
          <w:rFonts w:cs="Arial"/>
          <w:i/>
          <w:sz w:val="22"/>
          <w:szCs w:val="22"/>
          <w:lang w:val="es-CO"/>
        </w:rPr>
        <w:t>Compra de tierras para uso agropecuario.</w:t>
      </w:r>
    </w:p>
    <w:p w:rsidR="0070656B" w:rsidRDefault="0070656B" w:rsidP="00962684">
      <w:pPr>
        <w:pStyle w:val="Prrafodelista"/>
        <w:spacing w:line="120" w:lineRule="auto"/>
        <w:ind w:left="284"/>
        <w:jc w:val="both"/>
        <w:rPr>
          <w:rFonts w:cs="Arial"/>
          <w:i/>
          <w:sz w:val="22"/>
          <w:szCs w:val="22"/>
          <w:lang w:val="es-CO"/>
        </w:rPr>
      </w:pPr>
    </w:p>
    <w:p w:rsidR="00E72FDE" w:rsidRDefault="006304ED" w:rsidP="00962684">
      <w:pPr>
        <w:pStyle w:val="Prrafodelista"/>
        <w:ind w:left="0"/>
        <w:jc w:val="both"/>
        <w:rPr>
          <w:rFonts w:cs="Arial"/>
          <w:i/>
          <w:sz w:val="22"/>
          <w:szCs w:val="22"/>
          <w:lang w:val="es-CO"/>
        </w:rPr>
      </w:pPr>
      <w:r w:rsidRPr="00E9192A">
        <w:rPr>
          <w:rFonts w:cs="Arial"/>
          <w:b/>
          <w:i/>
          <w:sz w:val="22"/>
          <w:szCs w:val="22"/>
          <w:lang w:val="es-CO"/>
        </w:rPr>
        <w:t>Parágrafo 1o.</w:t>
      </w:r>
      <w:r>
        <w:rPr>
          <w:rFonts w:cs="Arial"/>
          <w:i/>
          <w:sz w:val="22"/>
          <w:szCs w:val="22"/>
          <w:lang w:val="es-CO"/>
        </w:rPr>
        <w:t xml:space="preserve"> los plazos en los créditos para cultivos</w:t>
      </w:r>
      <w:r w:rsidR="00E72FDE">
        <w:rPr>
          <w:rFonts w:cs="Arial"/>
          <w:i/>
          <w:sz w:val="22"/>
          <w:szCs w:val="22"/>
          <w:lang w:val="es-CO"/>
        </w:rPr>
        <w:t xml:space="preserve"> previsto</w:t>
      </w:r>
      <w:r>
        <w:rPr>
          <w:rFonts w:cs="Arial"/>
          <w:i/>
          <w:sz w:val="22"/>
          <w:szCs w:val="22"/>
          <w:lang w:val="es-CO"/>
        </w:rPr>
        <w:t xml:space="preserve">s en los literales a y b deberán tener en cuenta además del periodo vegetativo del cultivo, el </w:t>
      </w:r>
      <w:r w:rsidR="00E72FDE">
        <w:rPr>
          <w:rFonts w:cs="Arial"/>
          <w:i/>
          <w:sz w:val="22"/>
          <w:szCs w:val="22"/>
          <w:lang w:val="es-CO"/>
        </w:rPr>
        <w:t>periodo</w:t>
      </w:r>
      <w:r>
        <w:rPr>
          <w:rFonts w:cs="Arial"/>
          <w:i/>
          <w:sz w:val="22"/>
          <w:szCs w:val="22"/>
          <w:lang w:val="es-CO"/>
        </w:rPr>
        <w:t xml:space="preserve"> de comercialización de la cosecha</w:t>
      </w:r>
      <w:r w:rsidR="00E72FDE">
        <w:rPr>
          <w:rFonts w:cs="Arial"/>
          <w:i/>
          <w:sz w:val="22"/>
          <w:szCs w:val="22"/>
          <w:lang w:val="es-CO"/>
        </w:rPr>
        <w:t>.</w:t>
      </w:r>
    </w:p>
    <w:p w:rsidR="00E72FDE" w:rsidRDefault="00E72FDE" w:rsidP="00962684">
      <w:pPr>
        <w:pStyle w:val="Prrafodelista"/>
        <w:spacing w:line="120" w:lineRule="auto"/>
        <w:ind w:left="0"/>
        <w:jc w:val="both"/>
        <w:rPr>
          <w:rFonts w:cs="Arial"/>
          <w:i/>
          <w:sz w:val="22"/>
          <w:szCs w:val="22"/>
          <w:lang w:val="es-CO"/>
        </w:rPr>
      </w:pPr>
    </w:p>
    <w:p w:rsidR="00984849" w:rsidRPr="00466DCA" w:rsidRDefault="00E72FDE" w:rsidP="00962684">
      <w:pPr>
        <w:pStyle w:val="Prrafodelista"/>
        <w:ind w:left="0"/>
        <w:jc w:val="both"/>
        <w:rPr>
          <w:rFonts w:cs="Arial"/>
          <w:i/>
          <w:sz w:val="22"/>
          <w:szCs w:val="22"/>
          <w:lang w:val="es-CO"/>
        </w:rPr>
      </w:pPr>
      <w:r w:rsidRPr="00E9192A">
        <w:rPr>
          <w:rFonts w:cs="Arial"/>
          <w:b/>
          <w:i/>
          <w:sz w:val="22"/>
          <w:szCs w:val="22"/>
          <w:lang w:val="es-CO"/>
        </w:rPr>
        <w:t xml:space="preserve">Parágrafo 2o. </w:t>
      </w:r>
      <w:r>
        <w:rPr>
          <w:rFonts w:cs="Arial"/>
          <w:i/>
          <w:sz w:val="22"/>
          <w:szCs w:val="22"/>
          <w:lang w:val="es-CO"/>
        </w:rPr>
        <w:t xml:space="preserve">Los créditos financiados con tasa subsidiada no podrán acceder al </w:t>
      </w:r>
      <w:r w:rsidR="00E9192A">
        <w:rPr>
          <w:rFonts w:cs="Arial"/>
          <w:i/>
          <w:sz w:val="22"/>
          <w:szCs w:val="22"/>
          <w:lang w:val="es-CO"/>
        </w:rPr>
        <w:t xml:space="preserve">Incentivo </w:t>
      </w:r>
      <w:r>
        <w:rPr>
          <w:rFonts w:cs="Arial"/>
          <w:i/>
          <w:sz w:val="22"/>
          <w:szCs w:val="22"/>
          <w:lang w:val="es-CO"/>
        </w:rPr>
        <w:t xml:space="preserve">a la </w:t>
      </w:r>
      <w:r w:rsidR="00E9192A">
        <w:rPr>
          <w:rFonts w:cs="Arial"/>
          <w:i/>
          <w:sz w:val="22"/>
          <w:szCs w:val="22"/>
          <w:lang w:val="es-CO"/>
        </w:rPr>
        <w:t xml:space="preserve">Capitalización Rural </w:t>
      </w:r>
      <w:r>
        <w:rPr>
          <w:rFonts w:cs="Arial"/>
          <w:i/>
          <w:sz w:val="22"/>
          <w:szCs w:val="22"/>
          <w:lang w:val="es-CO"/>
        </w:rPr>
        <w:t>– ICR.</w:t>
      </w:r>
      <w:r w:rsidR="00E03481" w:rsidRPr="00466DCA">
        <w:rPr>
          <w:rFonts w:cs="Arial"/>
          <w:i/>
          <w:sz w:val="22"/>
          <w:szCs w:val="22"/>
          <w:lang w:val="es-CO"/>
        </w:rPr>
        <w:t>”</w:t>
      </w:r>
    </w:p>
    <w:p w:rsidR="00984849" w:rsidRPr="0039191B" w:rsidRDefault="00984849" w:rsidP="00103737">
      <w:pPr>
        <w:pStyle w:val="p2"/>
        <w:spacing w:line="240" w:lineRule="auto"/>
        <w:ind w:left="0"/>
        <w:rPr>
          <w:rFonts w:ascii="Arial" w:hAnsi="Arial" w:cs="Arial"/>
          <w:b/>
          <w:sz w:val="22"/>
          <w:szCs w:val="22"/>
          <w:lang w:val="es-CO"/>
        </w:rPr>
      </w:pPr>
    </w:p>
    <w:p w:rsidR="00EB3BFE" w:rsidRPr="000D33B7" w:rsidRDefault="000D68B7" w:rsidP="00103737">
      <w:pPr>
        <w:pStyle w:val="p2"/>
        <w:spacing w:line="240" w:lineRule="auto"/>
        <w:ind w:left="0"/>
        <w:rPr>
          <w:rFonts w:ascii="Arial" w:hAnsi="Arial" w:cs="Arial"/>
          <w:bCs/>
          <w:sz w:val="22"/>
          <w:szCs w:val="22"/>
          <w:lang w:val="es-CO"/>
        </w:rPr>
      </w:pPr>
      <w:r w:rsidRPr="000D33B7">
        <w:rPr>
          <w:rFonts w:ascii="Arial" w:hAnsi="Arial" w:cs="Arial"/>
          <w:b/>
          <w:sz w:val="22"/>
          <w:szCs w:val="22"/>
          <w:lang w:val="es-CO"/>
        </w:rPr>
        <w:t xml:space="preserve">Artículo </w:t>
      </w:r>
      <w:r w:rsidR="00984849" w:rsidRPr="000D33B7">
        <w:rPr>
          <w:rFonts w:ascii="Arial" w:hAnsi="Arial" w:cs="Arial"/>
          <w:b/>
          <w:sz w:val="22"/>
          <w:szCs w:val="22"/>
          <w:lang w:val="es-CO"/>
        </w:rPr>
        <w:t>2</w:t>
      </w:r>
      <w:r w:rsidR="00E03481" w:rsidRPr="000D33B7">
        <w:rPr>
          <w:rFonts w:ascii="Arial" w:hAnsi="Arial" w:cs="Arial"/>
          <w:b/>
          <w:sz w:val="22"/>
          <w:szCs w:val="22"/>
          <w:lang w:val="es-CO"/>
        </w:rPr>
        <w:t>o</w:t>
      </w:r>
      <w:r w:rsidRPr="000D33B7">
        <w:rPr>
          <w:rFonts w:ascii="Arial" w:hAnsi="Arial" w:cs="Arial"/>
          <w:b/>
          <w:sz w:val="22"/>
          <w:szCs w:val="22"/>
          <w:lang w:val="es-CO"/>
        </w:rPr>
        <w:t xml:space="preserve">. </w:t>
      </w:r>
      <w:r w:rsidR="006432E0" w:rsidRPr="000D33B7">
        <w:rPr>
          <w:rFonts w:ascii="Arial" w:hAnsi="Arial" w:cs="Arial"/>
          <w:sz w:val="22"/>
          <w:szCs w:val="22"/>
          <w:lang w:val="es-CO"/>
        </w:rPr>
        <w:t>Establecer</w:t>
      </w:r>
      <w:r w:rsidR="00925D47" w:rsidRPr="000D33B7">
        <w:rPr>
          <w:rFonts w:ascii="Arial" w:hAnsi="Arial" w:cs="Arial"/>
          <w:sz w:val="22"/>
          <w:szCs w:val="22"/>
          <w:lang w:val="es-CO"/>
        </w:rPr>
        <w:t xml:space="preserve"> </w:t>
      </w:r>
      <w:r w:rsidR="006432E0" w:rsidRPr="000D33B7">
        <w:rPr>
          <w:rFonts w:ascii="Arial" w:hAnsi="Arial" w:cs="Arial"/>
          <w:sz w:val="22"/>
          <w:szCs w:val="22"/>
          <w:lang w:val="es-CO"/>
        </w:rPr>
        <w:t>la</w:t>
      </w:r>
      <w:r w:rsidR="00925D47" w:rsidRPr="000D33B7">
        <w:rPr>
          <w:rFonts w:ascii="Arial" w:hAnsi="Arial" w:cs="Arial"/>
          <w:sz w:val="22"/>
          <w:szCs w:val="22"/>
          <w:lang w:val="es-CO"/>
        </w:rPr>
        <w:t xml:space="preserve"> </w:t>
      </w:r>
      <w:r w:rsidR="00296F12" w:rsidRPr="000D33B7">
        <w:rPr>
          <w:rFonts w:ascii="Arial" w:hAnsi="Arial" w:cs="Arial"/>
          <w:sz w:val="22"/>
          <w:szCs w:val="22"/>
          <w:lang w:val="es-CO"/>
        </w:rPr>
        <w:t xml:space="preserve">Línea Especial </w:t>
      </w:r>
      <w:r w:rsidR="00525879" w:rsidRPr="000D33B7">
        <w:rPr>
          <w:rFonts w:ascii="Arial" w:hAnsi="Arial" w:cs="Arial"/>
          <w:sz w:val="22"/>
          <w:szCs w:val="22"/>
          <w:lang w:val="es-CO"/>
        </w:rPr>
        <w:t xml:space="preserve">de </w:t>
      </w:r>
      <w:r w:rsidR="00296F12" w:rsidRPr="000D33B7">
        <w:rPr>
          <w:rFonts w:ascii="Arial" w:hAnsi="Arial" w:cs="Arial"/>
          <w:sz w:val="22"/>
          <w:szCs w:val="22"/>
          <w:lang w:val="es-CO"/>
        </w:rPr>
        <w:t xml:space="preserve">Crédito con Tasa Subsidiada </w:t>
      </w:r>
      <w:r w:rsidR="00925D47" w:rsidRPr="000D33B7">
        <w:rPr>
          <w:rFonts w:ascii="Arial" w:hAnsi="Arial" w:cs="Arial"/>
          <w:sz w:val="22"/>
          <w:szCs w:val="22"/>
          <w:lang w:val="es-CO"/>
        </w:rPr>
        <w:t xml:space="preserve">para </w:t>
      </w:r>
      <w:r w:rsidR="005F7A38" w:rsidRPr="000D33B7">
        <w:rPr>
          <w:rFonts w:ascii="Arial" w:hAnsi="Arial" w:cs="Arial"/>
          <w:sz w:val="22"/>
          <w:szCs w:val="22"/>
          <w:lang w:val="es-CO"/>
        </w:rPr>
        <w:t xml:space="preserve">la </w:t>
      </w:r>
      <w:r w:rsidR="00925D47" w:rsidRPr="000D33B7">
        <w:rPr>
          <w:rFonts w:ascii="Arial" w:hAnsi="Arial" w:cs="Arial"/>
          <w:sz w:val="22"/>
          <w:szCs w:val="22"/>
          <w:lang w:val="es-CO"/>
        </w:rPr>
        <w:t>Compra de Tierra</w:t>
      </w:r>
      <w:r w:rsidR="00466DCA" w:rsidRPr="000D33B7">
        <w:rPr>
          <w:rFonts w:ascii="Arial" w:hAnsi="Arial" w:cs="Arial"/>
          <w:sz w:val="22"/>
          <w:szCs w:val="22"/>
          <w:lang w:val="es-CO"/>
        </w:rPr>
        <w:t>s</w:t>
      </w:r>
      <w:r w:rsidR="00925D47" w:rsidRPr="000D33B7">
        <w:rPr>
          <w:rFonts w:ascii="Arial" w:hAnsi="Arial" w:cs="Arial"/>
          <w:sz w:val="22"/>
          <w:szCs w:val="22"/>
          <w:lang w:val="es-CO"/>
        </w:rPr>
        <w:t xml:space="preserve"> para</w:t>
      </w:r>
      <w:r w:rsidR="00EB3BFE" w:rsidRPr="000D33B7">
        <w:rPr>
          <w:rFonts w:ascii="Arial" w:hAnsi="Arial" w:cs="Arial"/>
          <w:sz w:val="22"/>
          <w:szCs w:val="22"/>
          <w:lang w:val="es-CO"/>
        </w:rPr>
        <w:t xml:space="preserve"> </w:t>
      </w:r>
      <w:r w:rsidR="00296F12" w:rsidRPr="000D33B7">
        <w:rPr>
          <w:rFonts w:ascii="Arial" w:hAnsi="Arial" w:cs="Arial"/>
          <w:sz w:val="22"/>
          <w:szCs w:val="22"/>
          <w:lang w:val="es-CO"/>
        </w:rPr>
        <w:t xml:space="preserve">Uso </w:t>
      </w:r>
      <w:r w:rsidR="00925D47" w:rsidRPr="000D33B7">
        <w:rPr>
          <w:rFonts w:ascii="Arial" w:hAnsi="Arial" w:cs="Arial"/>
          <w:sz w:val="22"/>
          <w:szCs w:val="22"/>
          <w:lang w:val="es-CO"/>
        </w:rPr>
        <w:t>Agropecuario</w:t>
      </w:r>
      <w:r w:rsidR="00525879" w:rsidRPr="000D33B7">
        <w:rPr>
          <w:rFonts w:ascii="Arial" w:hAnsi="Arial" w:cs="Arial"/>
          <w:sz w:val="22"/>
          <w:szCs w:val="22"/>
          <w:lang w:val="es-CO"/>
        </w:rPr>
        <w:t>,</w:t>
      </w:r>
      <w:r w:rsidR="00925D47" w:rsidRPr="000D33B7">
        <w:rPr>
          <w:rFonts w:ascii="Arial" w:hAnsi="Arial" w:cs="Arial"/>
          <w:sz w:val="22"/>
          <w:szCs w:val="22"/>
          <w:lang w:val="es-CO"/>
        </w:rPr>
        <w:t xml:space="preserve"> </w:t>
      </w:r>
      <w:r w:rsidR="008F6A6C" w:rsidRPr="000D33B7">
        <w:rPr>
          <w:rFonts w:ascii="Arial" w:hAnsi="Arial" w:cs="Arial"/>
          <w:sz w:val="22"/>
          <w:szCs w:val="22"/>
          <w:lang w:val="es-CO"/>
        </w:rPr>
        <w:t>con</w:t>
      </w:r>
      <w:r w:rsidR="00925D47" w:rsidRPr="000D33B7">
        <w:rPr>
          <w:rFonts w:ascii="Arial" w:hAnsi="Arial" w:cs="Arial"/>
          <w:sz w:val="22"/>
          <w:szCs w:val="22"/>
          <w:lang w:val="es-CO"/>
        </w:rPr>
        <w:t xml:space="preserve"> las siguientes</w:t>
      </w:r>
      <w:r w:rsidR="00925D47" w:rsidRPr="000D33B7">
        <w:rPr>
          <w:rFonts w:ascii="Arial" w:hAnsi="Arial" w:cs="Arial"/>
          <w:b/>
          <w:sz w:val="22"/>
          <w:szCs w:val="22"/>
          <w:lang w:val="es-CO"/>
        </w:rPr>
        <w:t xml:space="preserve"> </w:t>
      </w:r>
      <w:r w:rsidR="00103737" w:rsidRPr="000D33B7">
        <w:rPr>
          <w:rFonts w:ascii="Arial" w:hAnsi="Arial" w:cs="Arial"/>
          <w:bCs/>
          <w:sz w:val="22"/>
          <w:szCs w:val="22"/>
          <w:lang w:val="es-CO"/>
        </w:rPr>
        <w:t>c</w:t>
      </w:r>
      <w:r w:rsidRPr="000D33B7">
        <w:rPr>
          <w:rFonts w:ascii="Arial" w:hAnsi="Arial" w:cs="Arial"/>
          <w:bCs/>
          <w:sz w:val="22"/>
          <w:szCs w:val="22"/>
          <w:lang w:val="es-CO"/>
        </w:rPr>
        <w:t>ondiciones</w:t>
      </w:r>
      <w:r w:rsidR="00103737" w:rsidRPr="000D33B7">
        <w:rPr>
          <w:rFonts w:ascii="Arial" w:hAnsi="Arial" w:cs="Arial"/>
          <w:bCs/>
          <w:sz w:val="22"/>
          <w:szCs w:val="22"/>
          <w:lang w:val="es-CO"/>
        </w:rPr>
        <w:t xml:space="preserve"> </w:t>
      </w:r>
      <w:r w:rsidR="00925D47" w:rsidRPr="000D33B7">
        <w:rPr>
          <w:rFonts w:ascii="Arial" w:hAnsi="Arial" w:cs="Arial"/>
          <w:bCs/>
          <w:sz w:val="22"/>
          <w:szCs w:val="22"/>
          <w:lang w:val="es-CO"/>
        </w:rPr>
        <w:t>financieras</w:t>
      </w:r>
      <w:r w:rsidR="00EB3BFE" w:rsidRPr="000D33B7">
        <w:rPr>
          <w:rFonts w:ascii="Arial" w:hAnsi="Arial" w:cs="Arial"/>
          <w:bCs/>
          <w:sz w:val="22"/>
          <w:szCs w:val="22"/>
          <w:lang w:val="es-CO"/>
        </w:rPr>
        <w:t>:</w:t>
      </w:r>
    </w:p>
    <w:p w:rsidR="00622315" w:rsidRPr="000D33B7" w:rsidRDefault="00622315" w:rsidP="00103737">
      <w:pPr>
        <w:pStyle w:val="p2"/>
        <w:spacing w:line="240" w:lineRule="auto"/>
        <w:ind w:left="0"/>
        <w:rPr>
          <w:rFonts w:ascii="Arial" w:hAnsi="Arial" w:cs="Arial"/>
          <w:bCs/>
          <w:sz w:val="22"/>
          <w:szCs w:val="22"/>
          <w:lang w:val="es-CO"/>
        </w:rPr>
      </w:pPr>
    </w:p>
    <w:p w:rsidR="00622315" w:rsidRPr="005415E7" w:rsidRDefault="00622315" w:rsidP="006811EA">
      <w:pPr>
        <w:pStyle w:val="p2"/>
        <w:numPr>
          <w:ilvl w:val="0"/>
          <w:numId w:val="27"/>
        </w:numPr>
        <w:spacing w:line="240" w:lineRule="auto"/>
        <w:ind w:left="284" w:hanging="284"/>
        <w:rPr>
          <w:rFonts w:ascii="Arial" w:hAnsi="Arial" w:cs="Arial"/>
          <w:b/>
          <w:bCs/>
          <w:sz w:val="22"/>
          <w:szCs w:val="22"/>
          <w:lang w:val="es-CO"/>
        </w:rPr>
      </w:pPr>
      <w:r w:rsidRPr="000D33B7">
        <w:rPr>
          <w:rFonts w:ascii="Arial" w:hAnsi="Arial" w:cs="Arial"/>
          <w:sz w:val="22"/>
          <w:szCs w:val="22"/>
          <w:lang w:val="es-CO"/>
        </w:rPr>
        <w:t>Beneficiarios</w:t>
      </w:r>
      <w:r w:rsidR="00F1716F" w:rsidRPr="000D33B7">
        <w:rPr>
          <w:rFonts w:ascii="Arial" w:hAnsi="Arial" w:cs="Arial"/>
          <w:sz w:val="22"/>
          <w:szCs w:val="22"/>
          <w:lang w:val="es-CO"/>
        </w:rPr>
        <w:t>:</w:t>
      </w:r>
      <w:r w:rsidRPr="000D33B7">
        <w:rPr>
          <w:rFonts w:ascii="Arial" w:hAnsi="Arial" w:cs="Arial"/>
          <w:sz w:val="22"/>
          <w:szCs w:val="22"/>
          <w:lang w:val="es-CO"/>
        </w:rPr>
        <w:t xml:space="preserve"> </w:t>
      </w:r>
      <w:r w:rsidR="00EE02E2" w:rsidRPr="000D33B7">
        <w:rPr>
          <w:rFonts w:ascii="Arial" w:hAnsi="Arial" w:cs="Arial"/>
          <w:sz w:val="22"/>
          <w:szCs w:val="22"/>
          <w:lang w:val="es-CO"/>
        </w:rPr>
        <w:t xml:space="preserve">Podrán acceder a </w:t>
      </w:r>
      <w:r w:rsidRPr="000D33B7">
        <w:rPr>
          <w:rFonts w:ascii="Arial" w:hAnsi="Arial" w:cs="Arial"/>
          <w:sz w:val="22"/>
          <w:szCs w:val="22"/>
          <w:lang w:val="es-CO"/>
        </w:rPr>
        <w:t xml:space="preserve">esta línea, las personas naturales o jurídicas </w:t>
      </w:r>
      <w:r w:rsidR="001531DC" w:rsidRPr="000D33B7">
        <w:rPr>
          <w:rFonts w:ascii="Arial" w:hAnsi="Arial" w:cs="Arial"/>
          <w:sz w:val="22"/>
          <w:szCs w:val="22"/>
          <w:lang w:val="es-CO"/>
        </w:rPr>
        <w:t>definida</w:t>
      </w:r>
      <w:r w:rsidR="00FD7C9A" w:rsidRPr="000D33B7">
        <w:rPr>
          <w:rFonts w:ascii="Arial" w:hAnsi="Arial" w:cs="Arial"/>
          <w:sz w:val="22"/>
          <w:szCs w:val="22"/>
          <w:lang w:val="es-CO"/>
        </w:rPr>
        <w:t>s</w:t>
      </w:r>
      <w:r w:rsidR="001531DC" w:rsidRPr="000D33B7">
        <w:rPr>
          <w:rFonts w:ascii="Arial" w:hAnsi="Arial" w:cs="Arial"/>
          <w:sz w:val="22"/>
          <w:szCs w:val="22"/>
          <w:lang w:val="es-CO"/>
        </w:rPr>
        <w:t xml:space="preserve"> en </w:t>
      </w:r>
      <w:r w:rsidRPr="000D33B7">
        <w:rPr>
          <w:rFonts w:ascii="Arial" w:hAnsi="Arial" w:cs="Arial"/>
          <w:sz w:val="22"/>
          <w:szCs w:val="22"/>
          <w:lang w:val="es-CO"/>
        </w:rPr>
        <w:t xml:space="preserve">los </w:t>
      </w:r>
      <w:r w:rsidR="00971A10" w:rsidRPr="000D33B7">
        <w:rPr>
          <w:rFonts w:ascii="Arial" w:hAnsi="Arial" w:cs="Arial"/>
          <w:sz w:val="22"/>
          <w:szCs w:val="22"/>
          <w:lang w:val="es-CO"/>
        </w:rPr>
        <w:t xml:space="preserve">artículos </w:t>
      </w:r>
      <w:r w:rsidR="005034E3" w:rsidRPr="000D33B7">
        <w:rPr>
          <w:rFonts w:ascii="Arial" w:hAnsi="Arial" w:cs="Arial"/>
          <w:sz w:val="22"/>
          <w:szCs w:val="22"/>
          <w:lang w:val="es-CO"/>
        </w:rPr>
        <w:t>4o.</w:t>
      </w:r>
      <w:r w:rsidRPr="000D33B7">
        <w:rPr>
          <w:rFonts w:ascii="Arial" w:hAnsi="Arial" w:cs="Arial"/>
          <w:sz w:val="22"/>
          <w:szCs w:val="22"/>
          <w:lang w:val="es-CO"/>
        </w:rPr>
        <w:t xml:space="preserve"> y 5</w:t>
      </w:r>
      <w:r w:rsidR="005034E3" w:rsidRPr="000D33B7">
        <w:rPr>
          <w:rFonts w:ascii="Arial" w:hAnsi="Arial" w:cs="Arial"/>
          <w:sz w:val="22"/>
          <w:szCs w:val="22"/>
          <w:lang w:val="es-CO"/>
        </w:rPr>
        <w:t>o.</w:t>
      </w:r>
      <w:r w:rsidRPr="000D33B7">
        <w:rPr>
          <w:rFonts w:ascii="Arial" w:hAnsi="Arial" w:cs="Arial"/>
          <w:sz w:val="22"/>
          <w:szCs w:val="22"/>
          <w:lang w:val="es-CO"/>
        </w:rPr>
        <w:t xml:space="preserve"> del Decreto Ley 902 de 2017</w:t>
      </w:r>
      <w:r w:rsidR="00590A9A" w:rsidRPr="000D33B7">
        <w:rPr>
          <w:rFonts w:ascii="Arial" w:hAnsi="Arial" w:cs="Arial"/>
          <w:sz w:val="22"/>
          <w:szCs w:val="22"/>
          <w:lang w:val="es-CO"/>
        </w:rPr>
        <w:t xml:space="preserve">, conforme </w:t>
      </w:r>
      <w:r w:rsidR="007E3197" w:rsidRPr="000D33B7">
        <w:rPr>
          <w:rFonts w:ascii="Arial" w:hAnsi="Arial" w:cs="Arial"/>
          <w:sz w:val="22"/>
          <w:szCs w:val="22"/>
          <w:lang w:val="es-CO"/>
        </w:rPr>
        <w:t xml:space="preserve">a </w:t>
      </w:r>
      <w:r w:rsidR="00B86580" w:rsidRPr="000D33B7">
        <w:rPr>
          <w:rFonts w:ascii="Arial" w:hAnsi="Arial" w:cs="Arial"/>
          <w:sz w:val="22"/>
          <w:szCs w:val="22"/>
          <w:lang w:val="es-CO"/>
        </w:rPr>
        <w:t xml:space="preserve">la </w:t>
      </w:r>
      <w:r w:rsidR="00CD7C3D" w:rsidRPr="000D33B7">
        <w:rPr>
          <w:rFonts w:ascii="Arial" w:hAnsi="Arial" w:cs="Arial"/>
          <w:sz w:val="22"/>
          <w:szCs w:val="22"/>
          <w:lang w:val="es-CO"/>
        </w:rPr>
        <w:t>categorización</w:t>
      </w:r>
      <w:r w:rsidR="00590A9A" w:rsidRPr="000D33B7">
        <w:rPr>
          <w:rFonts w:ascii="Arial" w:hAnsi="Arial" w:cs="Arial"/>
          <w:sz w:val="22"/>
          <w:szCs w:val="22"/>
          <w:lang w:val="es-CO"/>
        </w:rPr>
        <w:t xml:space="preserve"> </w:t>
      </w:r>
      <w:r w:rsidR="00D30428" w:rsidRPr="000D33B7">
        <w:rPr>
          <w:rFonts w:ascii="Arial" w:hAnsi="Arial" w:cs="Arial"/>
          <w:sz w:val="22"/>
          <w:szCs w:val="22"/>
          <w:lang w:val="es-CO"/>
        </w:rPr>
        <w:t xml:space="preserve">por </w:t>
      </w:r>
      <w:r w:rsidR="00590A9A" w:rsidRPr="000D33B7">
        <w:rPr>
          <w:rFonts w:ascii="Arial" w:hAnsi="Arial" w:cs="Arial"/>
          <w:sz w:val="22"/>
          <w:szCs w:val="22"/>
          <w:lang w:val="es-CO"/>
        </w:rPr>
        <w:t>tipo de producto</w:t>
      </w:r>
      <w:r w:rsidR="00D30428" w:rsidRPr="000D33B7">
        <w:rPr>
          <w:rFonts w:ascii="Arial" w:hAnsi="Arial" w:cs="Arial"/>
          <w:sz w:val="22"/>
          <w:szCs w:val="22"/>
          <w:lang w:val="es-CO"/>
        </w:rPr>
        <w:t>r</w:t>
      </w:r>
      <w:r w:rsidR="00590A9A" w:rsidRPr="000D33B7">
        <w:rPr>
          <w:rFonts w:ascii="Arial" w:hAnsi="Arial" w:cs="Arial"/>
          <w:sz w:val="22"/>
          <w:szCs w:val="22"/>
          <w:lang w:val="es-CO"/>
        </w:rPr>
        <w:t xml:space="preserve"> previsto en </w:t>
      </w:r>
      <w:r w:rsidR="00451A98" w:rsidRPr="000D33B7">
        <w:rPr>
          <w:rFonts w:ascii="Arial" w:hAnsi="Arial" w:cs="Arial"/>
          <w:sz w:val="22"/>
          <w:szCs w:val="22"/>
          <w:lang w:val="es-CO"/>
        </w:rPr>
        <w:t xml:space="preserve">el Sistema Nacional de Crédito </w:t>
      </w:r>
      <w:r w:rsidR="00451A98" w:rsidRPr="005415E7">
        <w:rPr>
          <w:rFonts w:ascii="Arial" w:hAnsi="Arial" w:cs="Arial"/>
          <w:sz w:val="22"/>
          <w:szCs w:val="22"/>
          <w:lang w:val="es-CO"/>
        </w:rPr>
        <w:t>Agropecuario – SNCA</w:t>
      </w:r>
      <w:r w:rsidR="00566A68" w:rsidRPr="005415E7">
        <w:rPr>
          <w:rFonts w:ascii="Arial" w:hAnsi="Arial" w:cs="Arial"/>
          <w:sz w:val="22"/>
          <w:szCs w:val="22"/>
          <w:lang w:val="es-CO"/>
        </w:rPr>
        <w:t>.</w:t>
      </w:r>
      <w:r w:rsidRPr="005415E7">
        <w:rPr>
          <w:rFonts w:ascii="Arial" w:hAnsi="Arial" w:cs="Arial"/>
          <w:b/>
          <w:bCs/>
          <w:sz w:val="22"/>
          <w:szCs w:val="22"/>
          <w:lang w:val="es-CO"/>
        </w:rPr>
        <w:t xml:space="preserve"> </w:t>
      </w:r>
    </w:p>
    <w:p w:rsidR="00E12D71" w:rsidRPr="005415E7" w:rsidRDefault="00E12D71" w:rsidP="00E12D71">
      <w:pPr>
        <w:pStyle w:val="p2"/>
        <w:spacing w:line="240" w:lineRule="auto"/>
        <w:ind w:left="284"/>
        <w:rPr>
          <w:rFonts w:ascii="Arial" w:hAnsi="Arial" w:cs="Arial"/>
          <w:bCs/>
          <w:spacing w:val="-3"/>
          <w:sz w:val="22"/>
          <w:szCs w:val="22"/>
          <w:lang w:val="es-CO"/>
        </w:rPr>
      </w:pPr>
    </w:p>
    <w:p w:rsidR="00E12D71" w:rsidRPr="005415E7" w:rsidRDefault="00E12D71" w:rsidP="00E12D71">
      <w:pPr>
        <w:pStyle w:val="p2"/>
        <w:spacing w:line="240" w:lineRule="auto"/>
        <w:ind w:left="284"/>
        <w:rPr>
          <w:rFonts w:ascii="Arial" w:hAnsi="Arial" w:cs="Arial"/>
          <w:b/>
          <w:bCs/>
          <w:sz w:val="22"/>
          <w:szCs w:val="22"/>
          <w:lang w:val="es-CO"/>
        </w:rPr>
      </w:pPr>
      <w:r w:rsidRPr="005415E7">
        <w:rPr>
          <w:rFonts w:ascii="Arial" w:hAnsi="Arial" w:cs="Arial"/>
          <w:bCs/>
          <w:spacing w:val="-3"/>
          <w:sz w:val="22"/>
          <w:szCs w:val="22"/>
          <w:lang w:val="es-CO"/>
        </w:rPr>
        <w:t>Para ser beneficiario de la presente línea, el productor deberá contar con los siguientes requisitos:</w:t>
      </w:r>
    </w:p>
    <w:p w:rsidR="00E12D71" w:rsidRPr="005415E7" w:rsidRDefault="00E12D71" w:rsidP="00E12D71">
      <w:pPr>
        <w:pStyle w:val="Prrafodelista"/>
        <w:rPr>
          <w:rFonts w:cs="Arial"/>
          <w:bCs/>
          <w:spacing w:val="-3"/>
          <w:sz w:val="22"/>
          <w:szCs w:val="22"/>
          <w:lang w:val="es-CO"/>
        </w:rPr>
      </w:pPr>
    </w:p>
    <w:p w:rsidR="00E12D71" w:rsidRPr="005415E7" w:rsidRDefault="00E12D71" w:rsidP="00E12D71">
      <w:pPr>
        <w:pStyle w:val="p2"/>
        <w:numPr>
          <w:ilvl w:val="0"/>
          <w:numId w:val="31"/>
        </w:numPr>
        <w:spacing w:line="240" w:lineRule="auto"/>
        <w:ind w:left="567" w:hanging="283"/>
        <w:rPr>
          <w:rFonts w:ascii="Arial" w:hAnsi="Arial" w:cs="Arial"/>
          <w:bCs/>
          <w:spacing w:val="-3"/>
          <w:sz w:val="22"/>
          <w:szCs w:val="22"/>
          <w:lang w:val="es-CO"/>
        </w:rPr>
      </w:pPr>
      <w:r w:rsidRPr="005415E7">
        <w:rPr>
          <w:rFonts w:ascii="Arial" w:hAnsi="Arial" w:cs="Arial"/>
          <w:bCs/>
          <w:spacing w:val="-3"/>
          <w:sz w:val="22"/>
          <w:szCs w:val="22"/>
          <w:lang w:val="es-CO"/>
        </w:rPr>
        <w:t xml:space="preserve">Encontrarse inscrito </w:t>
      </w:r>
      <w:r w:rsidRPr="005415E7">
        <w:rPr>
          <w:rFonts w:ascii="Arial" w:hAnsi="Arial" w:cs="Arial"/>
          <w:sz w:val="22"/>
          <w:szCs w:val="22"/>
          <w:lang w:val="es-CO"/>
        </w:rPr>
        <w:t>en el Registro de Sujetos de Ordenamiento – RESO, administrado por la Subdirección de Sistemas de Información de Tierras de la Agencia Nacional de Tierras, e identificado como “</w:t>
      </w:r>
      <w:r w:rsidRPr="005415E7">
        <w:rPr>
          <w:rFonts w:ascii="Arial" w:hAnsi="Arial" w:cs="Arial"/>
          <w:i/>
          <w:sz w:val="22"/>
          <w:szCs w:val="22"/>
          <w:lang w:val="es-CO"/>
        </w:rPr>
        <w:t>Sujeto de acceso a tierra y formalización a título gratuito”</w:t>
      </w:r>
      <w:r w:rsidRPr="005415E7">
        <w:rPr>
          <w:rFonts w:ascii="Arial" w:hAnsi="Arial" w:cs="Arial"/>
          <w:sz w:val="22"/>
          <w:szCs w:val="22"/>
          <w:lang w:val="es-CO"/>
        </w:rPr>
        <w:t xml:space="preserve"> o “</w:t>
      </w:r>
      <w:r w:rsidRPr="005415E7">
        <w:rPr>
          <w:rFonts w:ascii="Arial" w:hAnsi="Arial" w:cs="Arial"/>
          <w:i/>
          <w:sz w:val="22"/>
          <w:szCs w:val="22"/>
          <w:lang w:val="es-CO"/>
        </w:rPr>
        <w:t>Sujeto de acceso a tierra y formalización a título parcialmente gratuito”</w:t>
      </w:r>
      <w:r w:rsidRPr="005415E7">
        <w:rPr>
          <w:rFonts w:ascii="Arial" w:hAnsi="Arial" w:cs="Arial"/>
          <w:bCs/>
          <w:spacing w:val="-3"/>
          <w:sz w:val="22"/>
          <w:szCs w:val="22"/>
          <w:lang w:val="es-CO"/>
        </w:rPr>
        <w:t>.</w:t>
      </w:r>
    </w:p>
    <w:p w:rsidR="00E12D71" w:rsidRPr="005415E7" w:rsidRDefault="00E12D71" w:rsidP="00E12D71">
      <w:pPr>
        <w:pStyle w:val="p2"/>
        <w:spacing w:line="240" w:lineRule="auto"/>
        <w:ind w:left="567"/>
        <w:rPr>
          <w:rFonts w:ascii="Arial" w:hAnsi="Arial" w:cs="Arial"/>
          <w:bCs/>
          <w:spacing w:val="-3"/>
          <w:sz w:val="22"/>
          <w:szCs w:val="22"/>
          <w:lang w:val="es-CO"/>
        </w:rPr>
      </w:pPr>
    </w:p>
    <w:p w:rsidR="00E12D71" w:rsidRPr="00DA0E25" w:rsidRDefault="00E12D71" w:rsidP="00E12D71">
      <w:pPr>
        <w:pStyle w:val="p2"/>
        <w:numPr>
          <w:ilvl w:val="0"/>
          <w:numId w:val="31"/>
        </w:numPr>
        <w:spacing w:line="240" w:lineRule="auto"/>
        <w:ind w:left="567" w:hanging="283"/>
        <w:rPr>
          <w:rFonts w:ascii="Arial" w:hAnsi="Arial" w:cs="Arial"/>
          <w:bCs/>
          <w:spacing w:val="-3"/>
          <w:sz w:val="22"/>
          <w:szCs w:val="22"/>
          <w:lang w:val="es-CO"/>
        </w:rPr>
      </w:pPr>
      <w:r w:rsidRPr="005415E7">
        <w:rPr>
          <w:rFonts w:ascii="Arial" w:hAnsi="Arial" w:cs="Arial"/>
          <w:bCs/>
          <w:spacing w:val="-3"/>
          <w:sz w:val="22"/>
          <w:szCs w:val="22"/>
          <w:lang w:val="es-CO"/>
        </w:rPr>
        <w:t>Poseer un patrimonio neto que no supere los setecientos (700) salarios mínimos mensuales legales</w:t>
      </w:r>
      <w:r w:rsidRPr="00DA0E25">
        <w:rPr>
          <w:rFonts w:ascii="Arial" w:hAnsi="Arial" w:cs="Arial"/>
          <w:bCs/>
          <w:spacing w:val="-3"/>
          <w:sz w:val="22"/>
          <w:szCs w:val="22"/>
          <w:lang w:val="es-CO"/>
        </w:rPr>
        <w:t xml:space="preserve"> vigentes - SMMLV.</w:t>
      </w:r>
    </w:p>
    <w:p w:rsidR="00E12D71" w:rsidRDefault="00E12D71" w:rsidP="006811EA">
      <w:pPr>
        <w:pStyle w:val="p2"/>
        <w:spacing w:line="240" w:lineRule="auto"/>
        <w:ind w:left="284" w:hanging="284"/>
        <w:rPr>
          <w:rFonts w:ascii="Arial" w:hAnsi="Arial" w:cs="Arial"/>
          <w:bCs/>
          <w:sz w:val="22"/>
          <w:szCs w:val="22"/>
          <w:lang w:val="es-CO"/>
        </w:rPr>
      </w:pPr>
    </w:p>
    <w:p w:rsidR="0039191B" w:rsidRPr="00E12D71" w:rsidRDefault="00E12D71" w:rsidP="006811EA">
      <w:pPr>
        <w:pStyle w:val="p2"/>
        <w:spacing w:line="240" w:lineRule="auto"/>
        <w:ind w:left="284" w:hanging="284"/>
        <w:rPr>
          <w:rFonts w:ascii="Arial" w:hAnsi="Arial" w:cs="Arial"/>
          <w:bCs/>
          <w:sz w:val="22"/>
          <w:szCs w:val="22"/>
          <w:lang w:val="es-CO"/>
        </w:rPr>
      </w:pPr>
      <w:r w:rsidRPr="00E12D71">
        <w:rPr>
          <w:rFonts w:ascii="Arial" w:hAnsi="Arial" w:cs="Arial"/>
          <w:bCs/>
          <w:sz w:val="22"/>
          <w:szCs w:val="22"/>
          <w:lang w:val="es-CO"/>
        </w:rPr>
        <w:t>Es</w:t>
      </w:r>
      <w:r>
        <w:rPr>
          <w:rFonts w:ascii="Arial" w:hAnsi="Arial" w:cs="Arial"/>
          <w:bCs/>
          <w:sz w:val="22"/>
          <w:szCs w:val="22"/>
          <w:lang w:val="es-CO"/>
        </w:rPr>
        <w:t>tos requisitos deberán acreditarse ante el Intermediario Financiero.</w:t>
      </w:r>
    </w:p>
    <w:p w:rsidR="00E12D71" w:rsidRDefault="00E12D71" w:rsidP="006811EA">
      <w:pPr>
        <w:pStyle w:val="p2"/>
        <w:spacing w:line="240" w:lineRule="auto"/>
        <w:ind w:left="284" w:hanging="284"/>
        <w:rPr>
          <w:rFonts w:ascii="Arial" w:hAnsi="Arial" w:cs="Arial"/>
          <w:b/>
          <w:bCs/>
          <w:sz w:val="22"/>
          <w:szCs w:val="22"/>
          <w:lang w:val="es-CO"/>
        </w:rPr>
      </w:pPr>
    </w:p>
    <w:p w:rsidR="00241BB2" w:rsidRPr="000D33B7" w:rsidRDefault="0039191B" w:rsidP="006811EA">
      <w:pPr>
        <w:pStyle w:val="p2"/>
        <w:numPr>
          <w:ilvl w:val="0"/>
          <w:numId w:val="27"/>
        </w:numPr>
        <w:spacing w:line="240" w:lineRule="auto"/>
        <w:ind w:left="284" w:hanging="284"/>
        <w:rPr>
          <w:rFonts w:ascii="Arial" w:hAnsi="Arial" w:cs="Arial"/>
          <w:b/>
          <w:bCs/>
          <w:sz w:val="22"/>
          <w:szCs w:val="22"/>
          <w:lang w:val="es-CO"/>
        </w:rPr>
      </w:pPr>
      <w:r w:rsidRPr="000D33B7">
        <w:rPr>
          <w:rFonts w:ascii="Arial" w:hAnsi="Arial" w:cs="Arial"/>
          <w:bCs/>
          <w:spacing w:val="-3"/>
          <w:sz w:val="22"/>
          <w:szCs w:val="22"/>
          <w:lang w:val="es-CO"/>
        </w:rPr>
        <w:t>Plazo del Crédito: El plazo para el pago del crédito será hasta de quince (15) años y tendrá hasta un (1) año de gracia.</w:t>
      </w:r>
    </w:p>
    <w:p w:rsidR="00241BB2" w:rsidRDefault="00241BB2" w:rsidP="006811EA">
      <w:pPr>
        <w:pStyle w:val="Prrafodelista"/>
        <w:ind w:left="284" w:hanging="284"/>
        <w:rPr>
          <w:bCs/>
          <w:spacing w:val="-3"/>
          <w:sz w:val="22"/>
          <w:szCs w:val="22"/>
          <w:lang w:val="es-CO"/>
        </w:rPr>
      </w:pPr>
    </w:p>
    <w:p w:rsidR="001D05BF" w:rsidRPr="00CE2BDA" w:rsidRDefault="006811EA" w:rsidP="00CA70E9">
      <w:pPr>
        <w:pStyle w:val="p2"/>
        <w:numPr>
          <w:ilvl w:val="0"/>
          <w:numId w:val="27"/>
        </w:numPr>
        <w:spacing w:line="240" w:lineRule="auto"/>
        <w:ind w:left="284" w:hanging="284"/>
        <w:rPr>
          <w:rFonts w:ascii="Arial" w:hAnsi="Arial" w:cs="Arial"/>
          <w:b/>
          <w:bCs/>
          <w:sz w:val="22"/>
          <w:szCs w:val="22"/>
          <w:lang w:val="es-CO"/>
        </w:rPr>
      </w:pPr>
      <w:r w:rsidRPr="006811EA">
        <w:rPr>
          <w:rFonts w:ascii="Arial" w:hAnsi="Arial" w:cs="Arial"/>
          <w:bCs/>
          <w:spacing w:val="-3"/>
          <w:sz w:val="22"/>
          <w:szCs w:val="22"/>
          <w:lang w:val="es-CO"/>
        </w:rPr>
        <w:t>Tasa de Interés, tasa de redescuento y subsidio a la tasa de interés:</w:t>
      </w:r>
    </w:p>
    <w:p w:rsidR="00CE2BDA" w:rsidRDefault="00CE2BDA" w:rsidP="00CE2BDA">
      <w:pPr>
        <w:pStyle w:val="Prrafodelista"/>
        <w:rPr>
          <w:rFonts w:cs="Arial"/>
          <w:b/>
          <w:bCs/>
          <w:sz w:val="22"/>
          <w:szCs w:val="22"/>
          <w:lang w:val="es-CO"/>
        </w:rPr>
      </w:pPr>
    </w:p>
    <w:tbl>
      <w:tblPr>
        <w:tblW w:w="8155" w:type="dxa"/>
        <w:tblInd w:w="279" w:type="dxa"/>
        <w:tblLayout w:type="fixed"/>
        <w:tblCellMar>
          <w:left w:w="70" w:type="dxa"/>
          <w:right w:w="70" w:type="dxa"/>
        </w:tblCellMar>
        <w:tblLook w:val="04A0" w:firstRow="1" w:lastRow="0" w:firstColumn="1" w:lastColumn="0" w:noHBand="0" w:noVBand="1"/>
      </w:tblPr>
      <w:tblGrid>
        <w:gridCol w:w="1843"/>
        <w:gridCol w:w="1501"/>
        <w:gridCol w:w="1926"/>
        <w:gridCol w:w="945"/>
        <w:gridCol w:w="1940"/>
      </w:tblGrid>
      <w:tr w:rsidR="00A12861" w:rsidRPr="00ED7F7C" w:rsidTr="00D36164">
        <w:trPr>
          <w:trHeight w:val="377"/>
        </w:trPr>
        <w:tc>
          <w:tcPr>
            <w:tcW w:w="184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rsidR="00A12861" w:rsidRPr="00CE2BDA" w:rsidRDefault="00CF5162">
            <w:pPr>
              <w:jc w:val="center"/>
              <w:rPr>
                <w:rFonts w:ascii="Arial" w:hAnsi="Arial" w:cs="Arial"/>
                <w:b/>
                <w:bCs/>
                <w:color w:val="FFFFFF"/>
                <w:sz w:val="18"/>
                <w:szCs w:val="18"/>
              </w:rPr>
            </w:pPr>
            <w:r w:rsidRPr="00CE2BDA">
              <w:rPr>
                <w:rFonts w:ascii="Arial" w:hAnsi="Arial" w:cs="Arial"/>
                <w:b/>
                <w:bCs/>
                <w:color w:val="FFFFFF"/>
                <w:sz w:val="18"/>
                <w:szCs w:val="18"/>
              </w:rPr>
              <w:t>Tipo d</w:t>
            </w:r>
            <w:r w:rsidR="001C4DB1" w:rsidRPr="00CE2BDA">
              <w:rPr>
                <w:rFonts w:ascii="Arial" w:hAnsi="Arial" w:cs="Arial"/>
                <w:b/>
                <w:bCs/>
                <w:color w:val="FFFFFF"/>
                <w:sz w:val="18"/>
                <w:szCs w:val="18"/>
              </w:rPr>
              <w:t>e Productor</w:t>
            </w:r>
          </w:p>
        </w:tc>
        <w:tc>
          <w:tcPr>
            <w:tcW w:w="1501" w:type="dxa"/>
            <w:tcBorders>
              <w:top w:val="single" w:sz="4" w:space="0" w:color="auto"/>
              <w:left w:val="nil"/>
              <w:bottom w:val="single" w:sz="4" w:space="0" w:color="auto"/>
              <w:right w:val="single" w:sz="4" w:space="0" w:color="auto"/>
            </w:tcBorders>
            <w:shd w:val="clear" w:color="auto" w:fill="70AD47" w:themeFill="accent6"/>
            <w:vAlign w:val="center"/>
            <w:hideMark/>
          </w:tcPr>
          <w:p w:rsidR="00A12861" w:rsidRPr="00CE2BDA" w:rsidRDefault="00A12861">
            <w:pPr>
              <w:jc w:val="center"/>
              <w:rPr>
                <w:rFonts w:ascii="Arial" w:hAnsi="Arial" w:cs="Arial"/>
                <w:b/>
                <w:bCs/>
                <w:color w:val="FFFFFF"/>
                <w:sz w:val="18"/>
                <w:szCs w:val="18"/>
              </w:rPr>
            </w:pPr>
            <w:r w:rsidRPr="00CE2BDA">
              <w:rPr>
                <w:rFonts w:ascii="Arial" w:hAnsi="Arial" w:cs="Arial"/>
                <w:b/>
                <w:bCs/>
                <w:color w:val="FFFFFF"/>
                <w:sz w:val="18"/>
                <w:szCs w:val="18"/>
              </w:rPr>
              <w:t>Tasa de Redescuento</w:t>
            </w:r>
          </w:p>
        </w:tc>
        <w:tc>
          <w:tcPr>
            <w:tcW w:w="1926" w:type="dxa"/>
            <w:tcBorders>
              <w:top w:val="single" w:sz="4" w:space="0" w:color="auto"/>
              <w:left w:val="nil"/>
              <w:bottom w:val="single" w:sz="4" w:space="0" w:color="auto"/>
              <w:right w:val="single" w:sz="4" w:space="0" w:color="auto"/>
            </w:tcBorders>
            <w:shd w:val="clear" w:color="auto" w:fill="70AD47" w:themeFill="accent6"/>
            <w:vAlign w:val="center"/>
            <w:hideMark/>
          </w:tcPr>
          <w:p w:rsidR="00A12861" w:rsidRPr="00CE2BDA" w:rsidRDefault="00A12861">
            <w:pPr>
              <w:jc w:val="center"/>
              <w:rPr>
                <w:rFonts w:ascii="Arial" w:hAnsi="Arial" w:cs="Arial"/>
                <w:b/>
                <w:bCs/>
                <w:color w:val="FFFFFF"/>
                <w:sz w:val="18"/>
                <w:szCs w:val="18"/>
              </w:rPr>
            </w:pPr>
            <w:r w:rsidRPr="00CE2BDA">
              <w:rPr>
                <w:rFonts w:ascii="Arial" w:hAnsi="Arial" w:cs="Arial"/>
                <w:b/>
                <w:bCs/>
                <w:color w:val="FFFFFF"/>
                <w:sz w:val="18"/>
                <w:szCs w:val="18"/>
              </w:rPr>
              <w:t xml:space="preserve">Tasa de </w:t>
            </w:r>
            <w:r w:rsidR="0039056C" w:rsidRPr="00CE2BDA">
              <w:rPr>
                <w:rFonts w:ascii="Arial" w:hAnsi="Arial" w:cs="Arial"/>
                <w:b/>
                <w:bCs/>
                <w:color w:val="FFFFFF"/>
                <w:sz w:val="18"/>
                <w:szCs w:val="18"/>
              </w:rPr>
              <w:t>Interés</w:t>
            </w:r>
          </w:p>
        </w:tc>
        <w:tc>
          <w:tcPr>
            <w:tcW w:w="945" w:type="dxa"/>
            <w:tcBorders>
              <w:top w:val="single" w:sz="4" w:space="0" w:color="auto"/>
              <w:left w:val="nil"/>
              <w:bottom w:val="single" w:sz="4" w:space="0" w:color="auto"/>
              <w:right w:val="single" w:sz="4" w:space="0" w:color="auto"/>
            </w:tcBorders>
            <w:shd w:val="clear" w:color="auto" w:fill="70AD47" w:themeFill="accent6"/>
            <w:vAlign w:val="center"/>
            <w:hideMark/>
          </w:tcPr>
          <w:p w:rsidR="00A12861" w:rsidRPr="00CE2BDA" w:rsidRDefault="00A12861">
            <w:pPr>
              <w:jc w:val="center"/>
              <w:rPr>
                <w:rFonts w:ascii="Arial" w:hAnsi="Arial" w:cs="Arial"/>
                <w:b/>
                <w:bCs/>
                <w:color w:val="FFFFFF"/>
                <w:sz w:val="18"/>
                <w:szCs w:val="18"/>
              </w:rPr>
            </w:pPr>
            <w:r w:rsidRPr="00CE2BDA">
              <w:rPr>
                <w:rFonts w:ascii="Arial" w:hAnsi="Arial" w:cs="Arial"/>
                <w:b/>
                <w:bCs/>
                <w:color w:val="FFFFFF"/>
                <w:sz w:val="18"/>
                <w:szCs w:val="18"/>
              </w:rPr>
              <w:t>Subsidio</w:t>
            </w:r>
          </w:p>
        </w:tc>
        <w:tc>
          <w:tcPr>
            <w:tcW w:w="1940" w:type="dxa"/>
            <w:tcBorders>
              <w:top w:val="single" w:sz="4" w:space="0" w:color="auto"/>
              <w:left w:val="nil"/>
              <w:bottom w:val="single" w:sz="4" w:space="0" w:color="auto"/>
              <w:right w:val="single" w:sz="4" w:space="0" w:color="auto"/>
            </w:tcBorders>
            <w:shd w:val="clear" w:color="auto" w:fill="70AD47" w:themeFill="accent6"/>
            <w:vAlign w:val="center"/>
            <w:hideMark/>
          </w:tcPr>
          <w:p w:rsidR="00A12861" w:rsidRPr="00CE2BDA" w:rsidRDefault="00A12861">
            <w:pPr>
              <w:jc w:val="center"/>
              <w:rPr>
                <w:rFonts w:ascii="Arial" w:hAnsi="Arial" w:cs="Arial"/>
                <w:b/>
                <w:bCs/>
                <w:color w:val="FFFFFF"/>
                <w:sz w:val="18"/>
                <w:szCs w:val="18"/>
              </w:rPr>
            </w:pPr>
            <w:r w:rsidRPr="00CE2BDA">
              <w:rPr>
                <w:rFonts w:ascii="Arial" w:hAnsi="Arial" w:cs="Arial"/>
                <w:b/>
                <w:bCs/>
                <w:color w:val="FFFFFF"/>
                <w:sz w:val="18"/>
                <w:szCs w:val="18"/>
              </w:rPr>
              <w:t>Tasa de Interés Final</w:t>
            </w:r>
          </w:p>
        </w:tc>
      </w:tr>
      <w:tr w:rsidR="004728D2" w:rsidRPr="00ED7F7C" w:rsidTr="00D36164">
        <w:trPr>
          <w:trHeight w:val="285"/>
        </w:trPr>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4728D2" w:rsidRPr="00ED7F7C" w:rsidRDefault="004728D2">
            <w:pPr>
              <w:rPr>
                <w:rFonts w:ascii="Arial" w:hAnsi="Arial" w:cs="Arial"/>
                <w:color w:val="000000"/>
                <w:sz w:val="18"/>
                <w:szCs w:val="18"/>
                <w:lang w:val="es-CO"/>
              </w:rPr>
            </w:pPr>
            <w:r w:rsidRPr="00ED7F7C">
              <w:rPr>
                <w:rFonts w:ascii="Arial" w:hAnsi="Arial" w:cs="Arial"/>
                <w:color w:val="000000"/>
                <w:sz w:val="18"/>
                <w:szCs w:val="18"/>
                <w:lang w:val="es-CO"/>
              </w:rPr>
              <w:t>Pequeño Productor</w:t>
            </w:r>
          </w:p>
        </w:tc>
        <w:tc>
          <w:tcPr>
            <w:tcW w:w="1501"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rsidP="00ED7F7C">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DTF – 2,5% </w:t>
            </w:r>
            <w:r w:rsidR="00ED7F7C">
              <w:rPr>
                <w:rFonts w:ascii="Arial" w:hAnsi="Arial" w:cs="Arial"/>
                <w:color w:val="000000"/>
                <w:sz w:val="18"/>
                <w:szCs w:val="18"/>
                <w:lang w:val="es-CO"/>
              </w:rPr>
              <w:t>e.a.</w:t>
            </w:r>
          </w:p>
        </w:tc>
        <w:tc>
          <w:tcPr>
            <w:tcW w:w="1926"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+ 7% </w:t>
            </w:r>
            <w:r w:rsidR="00354D93">
              <w:rPr>
                <w:rFonts w:ascii="Arial" w:hAnsi="Arial" w:cs="Arial"/>
                <w:color w:val="000000"/>
                <w:sz w:val="18"/>
                <w:szCs w:val="18"/>
                <w:lang w:val="es-CO"/>
              </w:rPr>
              <w:t>e.a.</w:t>
            </w:r>
          </w:p>
        </w:tc>
        <w:tc>
          <w:tcPr>
            <w:tcW w:w="945" w:type="dxa"/>
            <w:vMerge w:val="restart"/>
            <w:tcBorders>
              <w:top w:val="nil"/>
              <w:left w:val="single" w:sz="4" w:space="0" w:color="auto"/>
              <w:right w:val="single" w:sz="4" w:space="0" w:color="auto"/>
            </w:tcBorders>
            <w:shd w:val="clear" w:color="auto" w:fill="E2EFD9" w:themeFill="accent6" w:themeFillTint="33"/>
            <w:noWrap/>
            <w:vAlign w:val="center"/>
            <w:hideMark/>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3%</w:t>
            </w:r>
          </w:p>
        </w:tc>
        <w:tc>
          <w:tcPr>
            <w:tcW w:w="1940"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+ 4% </w:t>
            </w:r>
            <w:r w:rsidR="00354D93">
              <w:rPr>
                <w:rFonts w:ascii="Arial" w:hAnsi="Arial" w:cs="Arial"/>
                <w:color w:val="000000"/>
                <w:sz w:val="18"/>
                <w:szCs w:val="18"/>
                <w:lang w:val="es-CO"/>
              </w:rPr>
              <w:t>e.a.</w:t>
            </w:r>
          </w:p>
        </w:tc>
      </w:tr>
      <w:tr w:rsidR="004728D2" w:rsidRPr="00ED7F7C" w:rsidTr="00D36164">
        <w:trPr>
          <w:trHeight w:val="285"/>
        </w:trPr>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4728D2" w:rsidRPr="00ED7F7C" w:rsidRDefault="004728D2">
            <w:pPr>
              <w:rPr>
                <w:rFonts w:ascii="Arial" w:hAnsi="Arial" w:cs="Arial"/>
                <w:color w:val="000000"/>
                <w:sz w:val="18"/>
                <w:szCs w:val="18"/>
                <w:lang w:val="es-CO"/>
              </w:rPr>
            </w:pPr>
            <w:r w:rsidRPr="00ED7F7C">
              <w:rPr>
                <w:rFonts w:ascii="Arial" w:hAnsi="Arial" w:cs="Arial"/>
                <w:color w:val="000000"/>
                <w:sz w:val="18"/>
                <w:szCs w:val="18"/>
                <w:lang w:val="es-CO"/>
              </w:rPr>
              <w:t>Mediano Productor</w:t>
            </w:r>
          </w:p>
        </w:tc>
        <w:tc>
          <w:tcPr>
            <w:tcW w:w="1501"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DTF + 1% </w:t>
            </w:r>
            <w:r w:rsidR="00354D93">
              <w:rPr>
                <w:rFonts w:ascii="Arial" w:hAnsi="Arial" w:cs="Arial"/>
                <w:color w:val="000000"/>
                <w:sz w:val="18"/>
                <w:szCs w:val="18"/>
                <w:lang w:val="es-CO"/>
              </w:rPr>
              <w:t>e.a.</w:t>
            </w:r>
          </w:p>
        </w:tc>
        <w:tc>
          <w:tcPr>
            <w:tcW w:w="1926"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rsidP="00354D93">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+ 10% </w:t>
            </w:r>
            <w:r w:rsidR="00354D93">
              <w:rPr>
                <w:rFonts w:ascii="Arial" w:hAnsi="Arial" w:cs="Arial"/>
                <w:color w:val="000000"/>
                <w:sz w:val="18"/>
                <w:szCs w:val="18"/>
                <w:lang w:val="es-CO"/>
              </w:rPr>
              <w:t>e.a.</w:t>
            </w:r>
          </w:p>
        </w:tc>
        <w:tc>
          <w:tcPr>
            <w:tcW w:w="945" w:type="dxa"/>
            <w:vMerge/>
            <w:tcBorders>
              <w:left w:val="single" w:sz="4" w:space="0" w:color="auto"/>
              <w:right w:val="single" w:sz="4" w:space="0" w:color="auto"/>
            </w:tcBorders>
            <w:shd w:val="clear" w:color="auto" w:fill="E2EFD9" w:themeFill="accent6" w:themeFillTint="33"/>
            <w:vAlign w:val="center"/>
            <w:hideMark/>
          </w:tcPr>
          <w:p w:rsidR="004728D2" w:rsidRPr="00ED7F7C" w:rsidRDefault="004728D2">
            <w:pPr>
              <w:rPr>
                <w:rFonts w:ascii="Arial" w:hAnsi="Arial" w:cs="Arial"/>
                <w:color w:val="000000"/>
                <w:sz w:val="18"/>
                <w:szCs w:val="18"/>
                <w:lang w:val="es-CO"/>
              </w:rPr>
            </w:pPr>
          </w:p>
        </w:tc>
        <w:tc>
          <w:tcPr>
            <w:tcW w:w="1940" w:type="dxa"/>
            <w:tcBorders>
              <w:top w:val="nil"/>
              <w:left w:val="nil"/>
              <w:bottom w:val="single" w:sz="4" w:space="0" w:color="auto"/>
              <w:right w:val="single" w:sz="4" w:space="0" w:color="auto"/>
            </w:tcBorders>
            <w:shd w:val="clear" w:color="auto" w:fill="E2EFD9" w:themeFill="accent6" w:themeFillTint="33"/>
            <w:noWrap/>
            <w:vAlign w:val="bottom"/>
            <w:hideMark/>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+ 7% </w:t>
            </w:r>
            <w:r w:rsidR="00354D93">
              <w:rPr>
                <w:rFonts w:ascii="Arial" w:hAnsi="Arial" w:cs="Arial"/>
                <w:color w:val="000000"/>
                <w:sz w:val="18"/>
                <w:szCs w:val="18"/>
                <w:lang w:val="es-CO"/>
              </w:rPr>
              <w:t>e.a.</w:t>
            </w:r>
          </w:p>
        </w:tc>
      </w:tr>
      <w:tr w:rsidR="004728D2" w:rsidRPr="00ED7F7C" w:rsidTr="00D36164">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4728D2" w:rsidRPr="00ED7F7C" w:rsidRDefault="004728D2">
            <w:pPr>
              <w:rPr>
                <w:rFonts w:ascii="Arial" w:hAnsi="Arial" w:cs="Arial"/>
                <w:color w:val="000000"/>
                <w:sz w:val="18"/>
                <w:szCs w:val="18"/>
                <w:lang w:val="es-CO"/>
              </w:rPr>
            </w:pPr>
            <w:r w:rsidRPr="00ED7F7C">
              <w:rPr>
                <w:rFonts w:ascii="Arial" w:hAnsi="Arial" w:cs="Arial"/>
                <w:color w:val="000000"/>
                <w:sz w:val="18"/>
                <w:szCs w:val="18"/>
                <w:lang w:val="es-CO"/>
              </w:rPr>
              <w:t>Mujer Rural</w:t>
            </w:r>
            <w:r w:rsidR="003B72B5" w:rsidRPr="00ED7F7C">
              <w:rPr>
                <w:rFonts w:ascii="Arial" w:hAnsi="Arial" w:cs="Arial"/>
                <w:color w:val="000000"/>
                <w:sz w:val="18"/>
                <w:szCs w:val="18"/>
                <w:lang w:val="es-CO"/>
              </w:rPr>
              <w:t xml:space="preserve"> de Bajos Ingresos</w:t>
            </w:r>
          </w:p>
        </w:tc>
        <w:tc>
          <w:tcPr>
            <w:tcW w:w="15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4728D2" w:rsidRPr="00ED7F7C" w:rsidRDefault="00BC3498">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DTF – 2,5% </w:t>
            </w:r>
            <w:r w:rsidR="00354D93">
              <w:rPr>
                <w:rFonts w:ascii="Arial" w:hAnsi="Arial" w:cs="Arial"/>
                <w:color w:val="000000"/>
                <w:sz w:val="18"/>
                <w:szCs w:val="18"/>
                <w:lang w:val="es-CO"/>
              </w:rPr>
              <w:t>e.a.</w:t>
            </w:r>
            <w:r w:rsidR="00ED7F7C">
              <w:rPr>
                <w:rFonts w:ascii="Arial" w:hAnsi="Arial" w:cs="Arial"/>
                <w:color w:val="000000"/>
                <w:sz w:val="18"/>
                <w:szCs w:val="18"/>
                <w:lang w:val="es-CO"/>
              </w:rPr>
              <w:t>.</w:t>
            </w:r>
          </w:p>
        </w:tc>
        <w:tc>
          <w:tcPr>
            <w:tcW w:w="192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+ 5 </w:t>
            </w:r>
            <w:r w:rsidR="00354D93">
              <w:rPr>
                <w:rFonts w:ascii="Arial" w:hAnsi="Arial" w:cs="Arial"/>
                <w:color w:val="000000"/>
                <w:sz w:val="18"/>
                <w:szCs w:val="18"/>
                <w:lang w:val="es-CO"/>
              </w:rPr>
              <w:t>e.a.</w:t>
            </w:r>
          </w:p>
        </w:tc>
        <w:tc>
          <w:tcPr>
            <w:tcW w:w="945" w:type="dxa"/>
            <w:vMerge/>
            <w:tcBorders>
              <w:left w:val="single" w:sz="4" w:space="0" w:color="auto"/>
              <w:bottom w:val="single" w:sz="4" w:space="0" w:color="auto"/>
              <w:right w:val="single" w:sz="4" w:space="0" w:color="auto"/>
            </w:tcBorders>
            <w:shd w:val="clear" w:color="auto" w:fill="E2EFD9" w:themeFill="accent6" w:themeFillTint="33"/>
            <w:vAlign w:val="center"/>
          </w:tcPr>
          <w:p w:rsidR="004728D2" w:rsidRPr="00ED7F7C" w:rsidRDefault="004728D2">
            <w:pPr>
              <w:rPr>
                <w:rFonts w:ascii="Arial" w:hAnsi="Arial" w:cs="Arial"/>
                <w:color w:val="000000"/>
                <w:sz w:val="18"/>
                <w:szCs w:val="18"/>
                <w:lang w:val="es-CO"/>
              </w:rPr>
            </w:pPr>
          </w:p>
        </w:tc>
        <w:tc>
          <w:tcPr>
            <w:tcW w:w="194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4728D2" w:rsidRPr="00ED7F7C" w:rsidRDefault="004728D2">
            <w:pPr>
              <w:jc w:val="center"/>
              <w:rPr>
                <w:rFonts w:ascii="Arial" w:hAnsi="Arial" w:cs="Arial"/>
                <w:color w:val="000000"/>
                <w:sz w:val="18"/>
                <w:szCs w:val="18"/>
                <w:lang w:val="es-CO"/>
              </w:rPr>
            </w:pPr>
            <w:r w:rsidRPr="00ED7F7C">
              <w:rPr>
                <w:rFonts w:ascii="Arial" w:hAnsi="Arial" w:cs="Arial"/>
                <w:color w:val="000000"/>
                <w:sz w:val="18"/>
                <w:szCs w:val="18"/>
                <w:lang w:val="es-CO"/>
              </w:rPr>
              <w:t xml:space="preserve">Hasta DTF + 2% </w:t>
            </w:r>
            <w:r w:rsidR="00354D93">
              <w:rPr>
                <w:rFonts w:ascii="Arial" w:hAnsi="Arial" w:cs="Arial"/>
                <w:color w:val="000000"/>
                <w:sz w:val="18"/>
                <w:szCs w:val="18"/>
                <w:lang w:val="es-CO"/>
              </w:rPr>
              <w:t>e.a.</w:t>
            </w:r>
          </w:p>
        </w:tc>
      </w:tr>
    </w:tbl>
    <w:p w:rsidR="000826FE" w:rsidRDefault="000826FE" w:rsidP="00D36164">
      <w:pPr>
        <w:pStyle w:val="Textoindependiente"/>
        <w:ind w:left="284"/>
        <w:outlineLvl w:val="0"/>
        <w:rPr>
          <w:bCs/>
          <w:sz w:val="18"/>
          <w:szCs w:val="22"/>
          <w:lang w:val="es-CO"/>
        </w:rPr>
      </w:pPr>
    </w:p>
    <w:p w:rsidR="000826FE" w:rsidRDefault="000826FE" w:rsidP="00D36164">
      <w:pPr>
        <w:pStyle w:val="Textoindependiente"/>
        <w:ind w:left="284"/>
        <w:outlineLvl w:val="0"/>
        <w:rPr>
          <w:bCs/>
          <w:sz w:val="18"/>
          <w:szCs w:val="22"/>
          <w:lang w:val="es-CO"/>
        </w:rPr>
      </w:pPr>
    </w:p>
    <w:p w:rsidR="00962684" w:rsidRDefault="00962684" w:rsidP="00962684">
      <w:pPr>
        <w:suppressAutoHyphens/>
        <w:ind w:left="284" w:right="51"/>
        <w:jc w:val="both"/>
        <w:rPr>
          <w:rFonts w:ascii="Arial" w:hAnsi="Arial" w:cs="Arial"/>
          <w:bCs/>
          <w:spacing w:val="-3"/>
          <w:sz w:val="22"/>
          <w:szCs w:val="22"/>
          <w:lang w:val="es-CO"/>
        </w:rPr>
      </w:pPr>
      <w:r>
        <w:rPr>
          <w:rFonts w:ascii="Arial" w:hAnsi="Arial" w:cs="Arial"/>
          <w:bCs/>
          <w:spacing w:val="-3"/>
          <w:sz w:val="22"/>
          <w:szCs w:val="22"/>
          <w:lang w:val="es-CO"/>
        </w:rPr>
        <w:t xml:space="preserve">De conformidad con el artículo 2o. de la Resolución No. 8 de 2018, </w:t>
      </w:r>
      <w:r w:rsidRPr="00146A0C">
        <w:rPr>
          <w:rFonts w:ascii="Arial" w:hAnsi="Arial" w:cs="Arial"/>
          <w:bCs/>
          <w:spacing w:val="-3"/>
          <w:sz w:val="22"/>
          <w:szCs w:val="22"/>
          <w:lang w:val="es-CO"/>
        </w:rPr>
        <w:t xml:space="preserve">FINAGRO señalará la equivalencia de tasas a IBR aplicable </w:t>
      </w:r>
      <w:r w:rsidR="004E40FA">
        <w:rPr>
          <w:rFonts w:ascii="Arial" w:hAnsi="Arial" w:cs="Arial"/>
          <w:bCs/>
          <w:spacing w:val="-3"/>
          <w:sz w:val="22"/>
          <w:szCs w:val="22"/>
          <w:lang w:val="es-CO"/>
        </w:rPr>
        <w:t>para esta línea</w:t>
      </w:r>
      <w:r w:rsidRPr="00146A0C">
        <w:rPr>
          <w:rFonts w:ascii="Arial" w:hAnsi="Arial" w:cs="Arial"/>
          <w:bCs/>
          <w:spacing w:val="-3"/>
          <w:sz w:val="22"/>
          <w:szCs w:val="22"/>
          <w:lang w:val="es-CO"/>
        </w:rPr>
        <w:t>.</w:t>
      </w:r>
    </w:p>
    <w:p w:rsidR="00151025" w:rsidRPr="0039191B" w:rsidRDefault="00151025" w:rsidP="00103737">
      <w:pPr>
        <w:suppressAutoHyphens/>
        <w:ind w:right="51"/>
        <w:jc w:val="both"/>
        <w:rPr>
          <w:rFonts w:ascii="Arial" w:hAnsi="Arial" w:cs="Arial"/>
          <w:bCs/>
          <w:spacing w:val="-3"/>
          <w:sz w:val="22"/>
          <w:szCs w:val="22"/>
          <w:lang w:val="es-CO"/>
        </w:rPr>
      </w:pPr>
    </w:p>
    <w:p w:rsidR="00BE7213" w:rsidRPr="00906EA2" w:rsidRDefault="00F30FBD" w:rsidP="00CA70E9">
      <w:pPr>
        <w:pStyle w:val="p2"/>
        <w:numPr>
          <w:ilvl w:val="0"/>
          <w:numId w:val="27"/>
        </w:numPr>
        <w:spacing w:line="240" w:lineRule="auto"/>
        <w:ind w:left="284" w:hanging="284"/>
        <w:rPr>
          <w:rFonts w:ascii="Arial" w:hAnsi="Arial" w:cs="Arial"/>
          <w:bCs/>
          <w:spacing w:val="-3"/>
          <w:sz w:val="22"/>
          <w:szCs w:val="22"/>
          <w:lang w:val="es-CO"/>
        </w:rPr>
      </w:pPr>
      <w:r w:rsidRPr="00906EA2">
        <w:rPr>
          <w:rFonts w:ascii="Arial" w:hAnsi="Arial" w:cs="Arial"/>
          <w:bCs/>
          <w:spacing w:val="-3"/>
          <w:sz w:val="22"/>
          <w:szCs w:val="22"/>
          <w:lang w:val="es-CO"/>
        </w:rPr>
        <w:t>A</w:t>
      </w:r>
      <w:r w:rsidR="000D68B7" w:rsidRPr="00906EA2">
        <w:rPr>
          <w:rFonts w:ascii="Arial" w:hAnsi="Arial" w:cs="Arial"/>
          <w:bCs/>
          <w:spacing w:val="-3"/>
          <w:sz w:val="22"/>
          <w:szCs w:val="22"/>
          <w:lang w:val="es-CO"/>
        </w:rPr>
        <w:t>mortización</w:t>
      </w:r>
      <w:r w:rsidRPr="00906EA2">
        <w:rPr>
          <w:rFonts w:ascii="Arial" w:hAnsi="Arial" w:cs="Arial"/>
          <w:bCs/>
          <w:spacing w:val="-3"/>
          <w:sz w:val="22"/>
          <w:szCs w:val="22"/>
          <w:lang w:val="es-CO"/>
        </w:rPr>
        <w:t>: la amortización</w:t>
      </w:r>
      <w:r w:rsidR="000D68B7" w:rsidRPr="00906EA2">
        <w:rPr>
          <w:rFonts w:ascii="Arial" w:hAnsi="Arial" w:cs="Arial"/>
          <w:bCs/>
          <w:spacing w:val="-3"/>
          <w:sz w:val="22"/>
          <w:szCs w:val="22"/>
          <w:lang w:val="es-CO"/>
        </w:rPr>
        <w:t xml:space="preserve"> de la deuda</w:t>
      </w:r>
      <w:r w:rsidR="00BE7213" w:rsidRPr="00906EA2">
        <w:rPr>
          <w:rFonts w:ascii="Arial" w:hAnsi="Arial" w:cs="Arial"/>
          <w:bCs/>
          <w:spacing w:val="-3"/>
          <w:sz w:val="22"/>
          <w:szCs w:val="22"/>
          <w:lang w:val="es-CO"/>
        </w:rPr>
        <w:t xml:space="preserve"> será</w:t>
      </w:r>
      <w:r w:rsidR="002B57B2" w:rsidRPr="00906EA2">
        <w:rPr>
          <w:rFonts w:ascii="Arial" w:hAnsi="Arial" w:cs="Arial"/>
          <w:bCs/>
          <w:spacing w:val="-3"/>
          <w:sz w:val="22"/>
          <w:szCs w:val="22"/>
          <w:lang w:val="es-CO"/>
        </w:rPr>
        <w:t xml:space="preserve"> hasta</w:t>
      </w:r>
      <w:r w:rsidR="00BE7213" w:rsidRPr="00906EA2">
        <w:rPr>
          <w:rFonts w:ascii="Arial" w:hAnsi="Arial" w:cs="Arial"/>
          <w:bCs/>
          <w:spacing w:val="-3"/>
          <w:sz w:val="22"/>
          <w:szCs w:val="22"/>
          <w:lang w:val="es-CO"/>
        </w:rPr>
        <w:t xml:space="preserve"> año</w:t>
      </w:r>
      <w:r w:rsidR="00A64E2A" w:rsidRPr="00906EA2">
        <w:rPr>
          <w:rFonts w:ascii="Arial" w:hAnsi="Arial" w:cs="Arial"/>
          <w:bCs/>
          <w:spacing w:val="-3"/>
          <w:sz w:val="22"/>
          <w:szCs w:val="22"/>
          <w:lang w:val="es-CO"/>
        </w:rPr>
        <w:t xml:space="preserve"> </w:t>
      </w:r>
      <w:r w:rsidR="00BE7213" w:rsidRPr="00906EA2">
        <w:rPr>
          <w:rFonts w:ascii="Arial" w:hAnsi="Arial" w:cs="Arial"/>
          <w:bCs/>
          <w:spacing w:val="-3"/>
          <w:sz w:val="22"/>
          <w:szCs w:val="22"/>
          <w:lang w:val="es-CO"/>
        </w:rPr>
        <w:t>vencido</w:t>
      </w:r>
      <w:r w:rsidR="00525879" w:rsidRPr="00906EA2">
        <w:rPr>
          <w:rFonts w:ascii="Arial" w:hAnsi="Arial" w:cs="Arial"/>
          <w:bCs/>
          <w:spacing w:val="-3"/>
          <w:sz w:val="22"/>
          <w:szCs w:val="22"/>
          <w:lang w:val="es-CO"/>
        </w:rPr>
        <w:t>.</w:t>
      </w:r>
    </w:p>
    <w:p w:rsidR="00BF2E66" w:rsidRPr="00906EA2" w:rsidRDefault="00BF2E66" w:rsidP="00CA70E9">
      <w:pPr>
        <w:pStyle w:val="p2"/>
        <w:spacing w:line="240" w:lineRule="auto"/>
        <w:ind w:left="284"/>
        <w:rPr>
          <w:rFonts w:ascii="Arial" w:hAnsi="Arial" w:cs="Arial"/>
          <w:bCs/>
          <w:spacing w:val="-3"/>
          <w:sz w:val="22"/>
          <w:szCs w:val="22"/>
          <w:lang w:val="es-CO"/>
        </w:rPr>
      </w:pPr>
    </w:p>
    <w:p w:rsidR="00542708" w:rsidRPr="00906EA2" w:rsidRDefault="009A1448" w:rsidP="00CA70E9">
      <w:pPr>
        <w:pStyle w:val="p2"/>
        <w:numPr>
          <w:ilvl w:val="0"/>
          <w:numId w:val="27"/>
        </w:numPr>
        <w:spacing w:line="240" w:lineRule="auto"/>
        <w:ind w:left="284" w:hanging="284"/>
        <w:rPr>
          <w:rFonts w:ascii="Arial" w:hAnsi="Arial" w:cs="Arial"/>
          <w:bCs/>
          <w:spacing w:val="-3"/>
          <w:sz w:val="22"/>
          <w:szCs w:val="22"/>
          <w:lang w:val="es-CO"/>
        </w:rPr>
      </w:pPr>
      <w:r w:rsidRPr="00906EA2">
        <w:rPr>
          <w:rFonts w:ascii="Arial" w:hAnsi="Arial" w:cs="Arial"/>
          <w:bCs/>
          <w:spacing w:val="-3"/>
          <w:sz w:val="22"/>
          <w:szCs w:val="22"/>
          <w:lang w:val="es-CO"/>
        </w:rPr>
        <w:t xml:space="preserve"> </w:t>
      </w:r>
      <w:r w:rsidR="00BF2E66" w:rsidRPr="00906EA2">
        <w:rPr>
          <w:rFonts w:ascii="Arial" w:hAnsi="Arial" w:cs="Arial"/>
          <w:bCs/>
          <w:spacing w:val="-3"/>
          <w:sz w:val="22"/>
          <w:szCs w:val="22"/>
          <w:lang w:val="es-CO"/>
        </w:rPr>
        <w:t>Garantía FAG: Los créditos otorgados por esta línea, tendrán acceso a la garantía otorgada por el Fondo Agropecuario de Garantías</w:t>
      </w:r>
      <w:r w:rsidR="0024470F" w:rsidRPr="00906EA2">
        <w:rPr>
          <w:rFonts w:ascii="Arial" w:hAnsi="Arial" w:cs="Arial"/>
          <w:bCs/>
          <w:spacing w:val="-3"/>
          <w:sz w:val="22"/>
          <w:szCs w:val="22"/>
          <w:lang w:val="es-CO"/>
        </w:rPr>
        <w:t xml:space="preserve"> - FAG</w:t>
      </w:r>
      <w:r w:rsidR="00BF2E66" w:rsidRPr="00906EA2">
        <w:rPr>
          <w:rFonts w:ascii="Arial" w:hAnsi="Arial" w:cs="Arial"/>
          <w:bCs/>
          <w:spacing w:val="-3"/>
          <w:sz w:val="22"/>
          <w:szCs w:val="22"/>
          <w:lang w:val="es-CO"/>
        </w:rPr>
        <w:t xml:space="preserve">, </w:t>
      </w:r>
      <w:r w:rsidR="00542708" w:rsidRPr="00906EA2">
        <w:rPr>
          <w:rFonts w:ascii="Arial" w:hAnsi="Arial" w:cs="Arial"/>
          <w:bCs/>
          <w:spacing w:val="-3"/>
          <w:sz w:val="22"/>
          <w:szCs w:val="22"/>
          <w:lang w:val="es-CO"/>
        </w:rPr>
        <w:t>así</w:t>
      </w:r>
      <w:r w:rsidR="00DA3939" w:rsidRPr="00906EA2">
        <w:rPr>
          <w:rFonts w:ascii="Arial" w:hAnsi="Arial" w:cs="Arial"/>
          <w:bCs/>
          <w:spacing w:val="-3"/>
          <w:sz w:val="22"/>
          <w:szCs w:val="22"/>
          <w:lang w:val="es-CO"/>
        </w:rPr>
        <w:t>:</w:t>
      </w:r>
      <w:r w:rsidR="00542708" w:rsidRPr="00906EA2">
        <w:rPr>
          <w:rFonts w:ascii="Arial" w:hAnsi="Arial" w:cs="Arial"/>
          <w:bCs/>
          <w:spacing w:val="-3"/>
          <w:sz w:val="22"/>
          <w:szCs w:val="22"/>
          <w:lang w:val="es-CO"/>
        </w:rPr>
        <w:t xml:space="preserve"> </w:t>
      </w:r>
    </w:p>
    <w:p w:rsidR="00542708" w:rsidRPr="00906EA2" w:rsidRDefault="00542708" w:rsidP="00542708">
      <w:pPr>
        <w:pStyle w:val="Prrafodelista"/>
        <w:rPr>
          <w:rFonts w:cs="Arial"/>
          <w:bCs/>
          <w:spacing w:val="-3"/>
          <w:sz w:val="22"/>
          <w:szCs w:val="22"/>
          <w:lang w:val="es-CO"/>
        </w:rPr>
      </w:pPr>
    </w:p>
    <w:p w:rsidR="00542708" w:rsidRPr="00906EA2" w:rsidRDefault="00DC4A8F" w:rsidP="00542708">
      <w:pPr>
        <w:pStyle w:val="p2"/>
        <w:tabs>
          <w:tab w:val="clear" w:pos="170"/>
          <w:tab w:val="left" w:pos="284"/>
        </w:tabs>
        <w:spacing w:line="240" w:lineRule="auto"/>
        <w:ind w:left="284"/>
        <w:rPr>
          <w:rFonts w:ascii="Arial" w:hAnsi="Arial" w:cs="Arial"/>
          <w:bCs/>
          <w:spacing w:val="-3"/>
          <w:sz w:val="22"/>
          <w:szCs w:val="22"/>
          <w:lang w:val="es-CO"/>
        </w:rPr>
      </w:pPr>
      <w:r w:rsidRPr="00906EA2">
        <w:rPr>
          <w:rFonts w:ascii="Arial" w:hAnsi="Arial" w:cs="Arial"/>
          <w:bCs/>
          <w:spacing w:val="-3"/>
          <w:sz w:val="22"/>
          <w:szCs w:val="22"/>
          <w:lang w:val="es-CO"/>
        </w:rPr>
        <w:t xml:space="preserve"> </w:t>
      </w:r>
      <w:r w:rsidR="00542708" w:rsidRPr="00906EA2">
        <w:rPr>
          <w:rFonts w:ascii="Arial" w:hAnsi="Arial" w:cs="Arial"/>
          <w:bCs/>
          <w:spacing w:val="-3"/>
          <w:sz w:val="22"/>
          <w:szCs w:val="22"/>
          <w:lang w:val="es-CO"/>
        </w:rPr>
        <w:t>i.</w:t>
      </w:r>
      <w:r w:rsidR="00FC19C2" w:rsidRPr="00906EA2">
        <w:rPr>
          <w:rFonts w:ascii="Arial" w:hAnsi="Arial" w:cs="Arial"/>
          <w:bCs/>
          <w:spacing w:val="-3"/>
          <w:sz w:val="22"/>
          <w:szCs w:val="22"/>
          <w:lang w:val="es-CO"/>
        </w:rPr>
        <w:t xml:space="preserve"> </w:t>
      </w:r>
      <w:r w:rsidR="00542708" w:rsidRPr="00906EA2">
        <w:rPr>
          <w:rFonts w:ascii="Arial" w:hAnsi="Arial" w:cs="Arial"/>
          <w:bCs/>
          <w:spacing w:val="-3"/>
          <w:sz w:val="22"/>
          <w:szCs w:val="22"/>
          <w:lang w:val="es-CO"/>
        </w:rPr>
        <w:t xml:space="preserve"> Hasta </w:t>
      </w:r>
      <w:r w:rsidR="00FC19C2" w:rsidRPr="00906EA2">
        <w:rPr>
          <w:rFonts w:ascii="Arial" w:hAnsi="Arial" w:cs="Arial"/>
          <w:bCs/>
          <w:spacing w:val="-3"/>
          <w:sz w:val="22"/>
          <w:szCs w:val="22"/>
          <w:lang w:val="es-CO"/>
        </w:rPr>
        <w:t>el</w:t>
      </w:r>
      <w:r w:rsidR="00BF2E66" w:rsidRPr="00906EA2">
        <w:rPr>
          <w:rFonts w:ascii="Arial" w:hAnsi="Arial" w:cs="Arial"/>
          <w:bCs/>
          <w:spacing w:val="-3"/>
          <w:sz w:val="22"/>
          <w:szCs w:val="22"/>
          <w:lang w:val="es-CO"/>
        </w:rPr>
        <w:t xml:space="preserve"> 40 % para pequeño productor</w:t>
      </w:r>
      <w:r w:rsidR="00542708" w:rsidRPr="00906EA2">
        <w:rPr>
          <w:rFonts w:ascii="Arial" w:hAnsi="Arial" w:cs="Arial"/>
          <w:bCs/>
          <w:spacing w:val="-3"/>
          <w:sz w:val="22"/>
          <w:szCs w:val="22"/>
          <w:lang w:val="es-CO"/>
        </w:rPr>
        <w:t>.</w:t>
      </w:r>
      <w:r w:rsidR="00267F78" w:rsidRPr="00906EA2">
        <w:rPr>
          <w:rFonts w:ascii="Arial" w:hAnsi="Arial" w:cs="Arial"/>
          <w:bCs/>
          <w:spacing w:val="-3"/>
          <w:sz w:val="22"/>
          <w:szCs w:val="22"/>
          <w:lang w:val="es-CO"/>
        </w:rPr>
        <w:t xml:space="preserve"> </w:t>
      </w:r>
    </w:p>
    <w:p w:rsidR="00BF2E66" w:rsidRDefault="00542708" w:rsidP="00DC4A8F">
      <w:pPr>
        <w:pStyle w:val="p2"/>
        <w:tabs>
          <w:tab w:val="clear" w:pos="170"/>
          <w:tab w:val="left" w:pos="284"/>
        </w:tabs>
        <w:spacing w:line="240" w:lineRule="auto"/>
        <w:ind w:left="624" w:hanging="340"/>
        <w:rPr>
          <w:rFonts w:ascii="Arial" w:hAnsi="Arial" w:cs="Arial"/>
          <w:bCs/>
          <w:spacing w:val="-3"/>
          <w:sz w:val="22"/>
          <w:szCs w:val="22"/>
          <w:lang w:val="es-CO"/>
        </w:rPr>
      </w:pPr>
      <w:r w:rsidRPr="00906EA2">
        <w:rPr>
          <w:rFonts w:ascii="Arial" w:hAnsi="Arial" w:cs="Arial"/>
          <w:bCs/>
          <w:spacing w:val="-3"/>
          <w:sz w:val="22"/>
          <w:szCs w:val="22"/>
          <w:lang w:val="es-CO"/>
        </w:rPr>
        <w:t xml:space="preserve">ii. </w:t>
      </w:r>
      <w:r w:rsidR="00C33E09" w:rsidRPr="00906EA2">
        <w:rPr>
          <w:rFonts w:ascii="Arial" w:hAnsi="Arial" w:cs="Arial"/>
          <w:bCs/>
          <w:spacing w:val="-3"/>
          <w:sz w:val="22"/>
          <w:szCs w:val="22"/>
          <w:lang w:val="es-CO"/>
        </w:rPr>
        <w:t xml:space="preserve"> </w:t>
      </w:r>
      <w:r w:rsidRPr="00906EA2">
        <w:rPr>
          <w:rFonts w:ascii="Arial" w:hAnsi="Arial" w:cs="Arial"/>
          <w:bCs/>
          <w:spacing w:val="-3"/>
          <w:sz w:val="22"/>
          <w:szCs w:val="22"/>
          <w:lang w:val="es-CO"/>
        </w:rPr>
        <w:t xml:space="preserve">Hasta </w:t>
      </w:r>
      <w:r w:rsidR="00FC19C2" w:rsidRPr="00906EA2">
        <w:rPr>
          <w:rFonts w:ascii="Arial" w:hAnsi="Arial" w:cs="Arial"/>
          <w:bCs/>
          <w:spacing w:val="-3"/>
          <w:sz w:val="22"/>
          <w:szCs w:val="22"/>
          <w:lang w:val="es-CO"/>
        </w:rPr>
        <w:t xml:space="preserve">el </w:t>
      </w:r>
      <w:r w:rsidR="00267F78" w:rsidRPr="00906EA2">
        <w:rPr>
          <w:rFonts w:ascii="Arial" w:hAnsi="Arial" w:cs="Arial"/>
          <w:bCs/>
          <w:spacing w:val="-3"/>
          <w:sz w:val="22"/>
          <w:szCs w:val="22"/>
          <w:lang w:val="es-CO"/>
        </w:rPr>
        <w:t xml:space="preserve">50% para </w:t>
      </w:r>
      <w:r w:rsidR="00DC4A8F" w:rsidRPr="00906EA2">
        <w:rPr>
          <w:rFonts w:ascii="Arial" w:hAnsi="Arial" w:cs="Arial"/>
          <w:bCs/>
          <w:spacing w:val="-3"/>
          <w:sz w:val="22"/>
          <w:szCs w:val="22"/>
          <w:lang w:val="es-CO"/>
        </w:rPr>
        <w:t xml:space="preserve">pequeño productor </w:t>
      </w:r>
      <w:r w:rsidR="00267F78" w:rsidRPr="00906EA2">
        <w:rPr>
          <w:rFonts w:ascii="Arial" w:hAnsi="Arial" w:cs="Arial"/>
          <w:bCs/>
          <w:spacing w:val="-3"/>
          <w:sz w:val="22"/>
          <w:szCs w:val="22"/>
          <w:lang w:val="es-CO"/>
        </w:rPr>
        <w:t>mujer</w:t>
      </w:r>
      <w:r w:rsidR="003E2F13" w:rsidRPr="00906EA2">
        <w:rPr>
          <w:rFonts w:ascii="Arial" w:hAnsi="Arial" w:cs="Arial"/>
          <w:bCs/>
          <w:spacing w:val="-3"/>
          <w:sz w:val="22"/>
          <w:szCs w:val="22"/>
          <w:lang w:val="es-CO"/>
        </w:rPr>
        <w:t xml:space="preserve"> rural</w:t>
      </w:r>
      <w:r w:rsidR="00DC4A8F" w:rsidRPr="00906EA2">
        <w:rPr>
          <w:rFonts w:ascii="Arial" w:hAnsi="Arial" w:cs="Arial"/>
          <w:bCs/>
          <w:spacing w:val="-3"/>
          <w:sz w:val="22"/>
          <w:szCs w:val="22"/>
          <w:lang w:val="es-CO"/>
        </w:rPr>
        <w:t xml:space="preserve"> o se encuentre dentro de las                 Zonas más afectadas por el Conflicto armado - ZOMAC</w:t>
      </w:r>
      <w:r w:rsidR="00BF2E66" w:rsidRPr="00906EA2">
        <w:rPr>
          <w:rFonts w:ascii="Arial" w:hAnsi="Arial" w:cs="Arial"/>
          <w:bCs/>
          <w:spacing w:val="-3"/>
          <w:sz w:val="22"/>
          <w:szCs w:val="22"/>
          <w:lang w:val="es-CO"/>
        </w:rPr>
        <w:t>.</w:t>
      </w:r>
    </w:p>
    <w:p w:rsidR="00577F74" w:rsidRDefault="00577F74" w:rsidP="00577F74">
      <w:pPr>
        <w:pStyle w:val="p2"/>
        <w:tabs>
          <w:tab w:val="clear" w:pos="170"/>
          <w:tab w:val="left" w:pos="284"/>
        </w:tabs>
        <w:spacing w:line="240" w:lineRule="auto"/>
        <w:ind w:left="0"/>
        <w:rPr>
          <w:rFonts w:ascii="Arial" w:hAnsi="Arial" w:cs="Arial"/>
          <w:bCs/>
          <w:spacing w:val="-3"/>
          <w:sz w:val="22"/>
          <w:szCs w:val="22"/>
          <w:lang w:val="es-CO"/>
        </w:rPr>
      </w:pPr>
    </w:p>
    <w:p w:rsidR="00462E4E" w:rsidRDefault="00F523AC" w:rsidP="00A20D95">
      <w:pPr>
        <w:pStyle w:val="p2"/>
        <w:tabs>
          <w:tab w:val="clear" w:pos="170"/>
          <w:tab w:val="left" w:pos="284"/>
        </w:tabs>
        <w:spacing w:line="240" w:lineRule="auto"/>
        <w:ind w:left="284"/>
        <w:rPr>
          <w:rFonts w:ascii="Arial" w:hAnsi="Arial" w:cs="Arial"/>
          <w:bCs/>
          <w:spacing w:val="-3"/>
          <w:sz w:val="22"/>
          <w:szCs w:val="22"/>
          <w:lang w:val="es-CO"/>
        </w:rPr>
      </w:pPr>
      <w:r w:rsidRPr="001551F9">
        <w:rPr>
          <w:rFonts w:ascii="Arial" w:hAnsi="Arial" w:cs="Arial"/>
          <w:bCs/>
          <w:spacing w:val="-3"/>
          <w:sz w:val="22"/>
          <w:szCs w:val="22"/>
          <w:lang w:val="es-CO"/>
        </w:rPr>
        <w:t>Para acceder a esta garantía</w:t>
      </w:r>
      <w:r w:rsidR="00A20D95" w:rsidRPr="001551F9">
        <w:rPr>
          <w:rFonts w:ascii="Arial" w:hAnsi="Arial" w:cs="Arial"/>
          <w:bCs/>
          <w:spacing w:val="-3"/>
          <w:sz w:val="22"/>
          <w:szCs w:val="22"/>
          <w:lang w:val="es-CO"/>
        </w:rPr>
        <w:t xml:space="preserve"> FAG</w:t>
      </w:r>
      <w:r w:rsidRPr="001551F9">
        <w:rPr>
          <w:rFonts w:ascii="Arial" w:hAnsi="Arial" w:cs="Arial"/>
          <w:bCs/>
          <w:spacing w:val="-3"/>
          <w:sz w:val="22"/>
          <w:szCs w:val="22"/>
          <w:lang w:val="es-CO"/>
        </w:rPr>
        <w:t>, el beneficiario deberá constituir hipoteca de primer grado sobre la propiedad objeto de financiación en favor del Intermediario Financiero.</w:t>
      </w:r>
      <w:r w:rsidR="00A20D95" w:rsidRPr="001551F9">
        <w:rPr>
          <w:rFonts w:ascii="Arial" w:hAnsi="Arial" w:cs="Arial"/>
          <w:bCs/>
          <w:spacing w:val="-3"/>
          <w:sz w:val="22"/>
          <w:szCs w:val="22"/>
          <w:lang w:val="es-CO"/>
        </w:rPr>
        <w:t xml:space="preserve"> </w:t>
      </w:r>
      <w:r w:rsidR="00462E4E" w:rsidRPr="001551F9">
        <w:rPr>
          <w:rFonts w:ascii="Arial" w:hAnsi="Arial" w:cs="Arial"/>
          <w:bCs/>
          <w:spacing w:val="-3"/>
          <w:sz w:val="22"/>
          <w:szCs w:val="22"/>
          <w:lang w:val="es-CO"/>
        </w:rPr>
        <w:t>El crédito no podrá ser superior al ochenta por ciento (80%) del valor del inmueble a financiar.</w:t>
      </w:r>
    </w:p>
    <w:p w:rsidR="00462E4E" w:rsidRDefault="00462E4E" w:rsidP="00A20D95">
      <w:pPr>
        <w:pStyle w:val="p2"/>
        <w:tabs>
          <w:tab w:val="clear" w:pos="170"/>
          <w:tab w:val="left" w:pos="284"/>
        </w:tabs>
        <w:spacing w:line="240" w:lineRule="auto"/>
        <w:ind w:left="284"/>
        <w:rPr>
          <w:rFonts w:ascii="Arial" w:hAnsi="Arial" w:cs="Arial"/>
          <w:bCs/>
          <w:spacing w:val="-3"/>
          <w:sz w:val="22"/>
          <w:szCs w:val="22"/>
          <w:lang w:val="es-CO"/>
        </w:rPr>
      </w:pPr>
    </w:p>
    <w:p w:rsidR="00577F74" w:rsidRPr="00BF2E66" w:rsidRDefault="00462E4E" w:rsidP="00A20D95">
      <w:pPr>
        <w:pStyle w:val="p2"/>
        <w:tabs>
          <w:tab w:val="clear" w:pos="170"/>
          <w:tab w:val="left" w:pos="284"/>
        </w:tabs>
        <w:spacing w:line="240" w:lineRule="auto"/>
        <w:ind w:left="284"/>
        <w:rPr>
          <w:rFonts w:ascii="Arial" w:hAnsi="Arial" w:cs="Arial"/>
          <w:bCs/>
          <w:spacing w:val="-3"/>
          <w:sz w:val="22"/>
          <w:szCs w:val="22"/>
          <w:lang w:val="es-CO"/>
        </w:rPr>
      </w:pPr>
      <w:r>
        <w:rPr>
          <w:rFonts w:ascii="Arial" w:hAnsi="Arial" w:cs="Arial"/>
          <w:bCs/>
          <w:spacing w:val="-3"/>
          <w:sz w:val="22"/>
          <w:szCs w:val="22"/>
          <w:lang w:val="es-CO"/>
        </w:rPr>
        <w:t xml:space="preserve">Las comisiones a cobrar por estas garantías serán las previstas en el reglamento del FAG aprobado por esta Comisión.  </w:t>
      </w:r>
    </w:p>
    <w:p w:rsidR="00103737" w:rsidRPr="0039191B" w:rsidRDefault="00103737" w:rsidP="009B04F2">
      <w:pPr>
        <w:pStyle w:val="p2"/>
        <w:spacing w:line="240" w:lineRule="auto"/>
        <w:ind w:left="284"/>
        <w:rPr>
          <w:rFonts w:ascii="Arial" w:hAnsi="Arial" w:cs="Arial"/>
          <w:bCs/>
          <w:spacing w:val="-3"/>
          <w:sz w:val="22"/>
          <w:szCs w:val="22"/>
          <w:lang w:val="es-CO"/>
        </w:rPr>
      </w:pPr>
    </w:p>
    <w:p w:rsidR="00103737" w:rsidRPr="00A30575" w:rsidRDefault="00A20D95" w:rsidP="00125127">
      <w:pPr>
        <w:pStyle w:val="p2"/>
        <w:numPr>
          <w:ilvl w:val="0"/>
          <w:numId w:val="27"/>
        </w:numPr>
        <w:spacing w:line="240" w:lineRule="auto"/>
        <w:ind w:left="284" w:hanging="284"/>
        <w:rPr>
          <w:rFonts w:ascii="Arial" w:hAnsi="Arial" w:cs="Arial"/>
          <w:bCs/>
          <w:spacing w:val="-3"/>
          <w:sz w:val="22"/>
          <w:szCs w:val="22"/>
          <w:lang w:val="es-CO"/>
        </w:rPr>
      </w:pPr>
      <w:r>
        <w:rPr>
          <w:rFonts w:ascii="Arial" w:hAnsi="Arial" w:cs="Arial"/>
          <w:bCs/>
          <w:spacing w:val="-3"/>
          <w:sz w:val="22"/>
          <w:szCs w:val="22"/>
          <w:lang w:val="es-CO"/>
        </w:rPr>
        <w:t>El margen de redescuento</w:t>
      </w:r>
      <w:r w:rsidR="000D68B7" w:rsidRPr="00A30575">
        <w:rPr>
          <w:rFonts w:ascii="Arial" w:hAnsi="Arial" w:cs="Arial"/>
          <w:bCs/>
          <w:spacing w:val="-3"/>
          <w:sz w:val="22"/>
          <w:szCs w:val="22"/>
          <w:lang w:val="es-CO"/>
        </w:rPr>
        <w:t xml:space="preserve"> </w:t>
      </w:r>
      <w:r w:rsidR="000B0D20" w:rsidRPr="00A30575">
        <w:rPr>
          <w:rFonts w:ascii="Arial" w:hAnsi="Arial" w:cs="Arial"/>
          <w:bCs/>
          <w:spacing w:val="-3"/>
          <w:sz w:val="22"/>
          <w:szCs w:val="22"/>
          <w:lang w:val="es-CO"/>
        </w:rPr>
        <w:t xml:space="preserve">para el </w:t>
      </w:r>
      <w:r w:rsidR="002536AA" w:rsidRPr="00A30575">
        <w:rPr>
          <w:rFonts w:ascii="Arial" w:hAnsi="Arial" w:cs="Arial"/>
          <w:bCs/>
          <w:spacing w:val="-3"/>
          <w:sz w:val="22"/>
          <w:szCs w:val="22"/>
          <w:lang w:val="es-CO"/>
        </w:rPr>
        <w:t>intermediario financiero</w:t>
      </w:r>
      <w:r w:rsidR="009B04F2" w:rsidRPr="00A30575">
        <w:rPr>
          <w:rFonts w:ascii="Arial" w:hAnsi="Arial" w:cs="Arial"/>
          <w:bCs/>
          <w:spacing w:val="-3"/>
          <w:sz w:val="22"/>
          <w:szCs w:val="22"/>
          <w:lang w:val="es-CO"/>
        </w:rPr>
        <w:t xml:space="preserve"> </w:t>
      </w:r>
      <w:r w:rsidR="00BE7213" w:rsidRPr="00A30575">
        <w:rPr>
          <w:rFonts w:ascii="Arial" w:hAnsi="Arial" w:cs="Arial"/>
          <w:bCs/>
          <w:spacing w:val="-3"/>
          <w:sz w:val="22"/>
          <w:szCs w:val="22"/>
          <w:lang w:val="es-CO"/>
        </w:rPr>
        <w:t>será de</w:t>
      </w:r>
      <w:r w:rsidR="00847F52" w:rsidRPr="00A30575">
        <w:rPr>
          <w:rFonts w:ascii="Arial" w:hAnsi="Arial" w:cs="Arial"/>
          <w:bCs/>
          <w:spacing w:val="-3"/>
          <w:sz w:val="22"/>
          <w:szCs w:val="22"/>
          <w:lang w:val="es-CO"/>
        </w:rPr>
        <w:t xml:space="preserve"> hasta del </w:t>
      </w:r>
      <w:r w:rsidR="00B21442" w:rsidRPr="00A30575">
        <w:rPr>
          <w:rFonts w:ascii="Arial" w:hAnsi="Arial" w:cs="Arial"/>
          <w:bCs/>
          <w:spacing w:val="-3"/>
          <w:sz w:val="22"/>
          <w:szCs w:val="22"/>
          <w:lang w:val="es-CO"/>
        </w:rPr>
        <w:t xml:space="preserve">cien por ciento </w:t>
      </w:r>
      <w:r w:rsidR="003C1E63" w:rsidRPr="00A30575">
        <w:rPr>
          <w:rFonts w:ascii="Arial" w:hAnsi="Arial" w:cs="Arial"/>
          <w:bCs/>
          <w:spacing w:val="-3"/>
          <w:sz w:val="22"/>
          <w:szCs w:val="22"/>
          <w:lang w:val="es-CO"/>
        </w:rPr>
        <w:t>(</w:t>
      </w:r>
      <w:r w:rsidR="00EE2D33" w:rsidRPr="00A30575">
        <w:rPr>
          <w:rFonts w:ascii="Arial" w:hAnsi="Arial" w:cs="Arial"/>
          <w:bCs/>
          <w:spacing w:val="-3"/>
          <w:sz w:val="22"/>
          <w:szCs w:val="22"/>
          <w:lang w:val="es-CO"/>
        </w:rPr>
        <w:t>100</w:t>
      </w:r>
      <w:r w:rsidR="00BE7213" w:rsidRPr="00A30575">
        <w:rPr>
          <w:rFonts w:ascii="Arial" w:hAnsi="Arial" w:cs="Arial"/>
          <w:bCs/>
          <w:spacing w:val="-3"/>
          <w:sz w:val="22"/>
          <w:szCs w:val="22"/>
          <w:lang w:val="es-CO"/>
        </w:rPr>
        <w:t>%</w:t>
      </w:r>
      <w:r w:rsidR="003C1E63" w:rsidRPr="00A30575">
        <w:rPr>
          <w:rFonts w:ascii="Arial" w:hAnsi="Arial" w:cs="Arial"/>
          <w:bCs/>
          <w:spacing w:val="-3"/>
          <w:sz w:val="22"/>
          <w:szCs w:val="22"/>
          <w:lang w:val="es-CO"/>
        </w:rPr>
        <w:t>)</w:t>
      </w:r>
      <w:r w:rsidR="00EB3BFE" w:rsidRPr="00A30575">
        <w:rPr>
          <w:rFonts w:ascii="Arial" w:hAnsi="Arial" w:cs="Arial"/>
          <w:bCs/>
          <w:spacing w:val="-3"/>
          <w:sz w:val="22"/>
          <w:szCs w:val="22"/>
          <w:lang w:val="es-CO"/>
        </w:rPr>
        <w:t xml:space="preserve"> del</w:t>
      </w:r>
      <w:r w:rsidR="009B04F2" w:rsidRPr="00A30575">
        <w:rPr>
          <w:rFonts w:ascii="Arial" w:hAnsi="Arial" w:cs="Arial"/>
          <w:bCs/>
          <w:spacing w:val="-3"/>
          <w:sz w:val="22"/>
          <w:szCs w:val="22"/>
          <w:lang w:val="es-CO"/>
        </w:rPr>
        <w:t xml:space="preserve"> </w:t>
      </w:r>
      <w:r w:rsidR="005E5B03" w:rsidRPr="00A30575">
        <w:rPr>
          <w:rFonts w:ascii="Arial" w:hAnsi="Arial" w:cs="Arial"/>
          <w:bCs/>
          <w:spacing w:val="-3"/>
          <w:sz w:val="22"/>
          <w:szCs w:val="22"/>
          <w:lang w:val="es-CO"/>
        </w:rPr>
        <w:t>valor del</w:t>
      </w:r>
      <w:r w:rsidR="00EB3BFE" w:rsidRPr="00A30575">
        <w:rPr>
          <w:rFonts w:ascii="Arial" w:hAnsi="Arial" w:cs="Arial"/>
          <w:bCs/>
          <w:spacing w:val="-3"/>
          <w:sz w:val="22"/>
          <w:szCs w:val="22"/>
          <w:lang w:val="es-CO"/>
        </w:rPr>
        <w:t xml:space="preserve"> crédito</w:t>
      </w:r>
      <w:r w:rsidR="00525879" w:rsidRPr="00A30575">
        <w:rPr>
          <w:rFonts w:ascii="Arial" w:hAnsi="Arial" w:cs="Arial"/>
          <w:bCs/>
          <w:spacing w:val="-3"/>
          <w:sz w:val="22"/>
          <w:szCs w:val="22"/>
          <w:lang w:val="es-CO"/>
        </w:rPr>
        <w:t>.</w:t>
      </w:r>
    </w:p>
    <w:p w:rsidR="0097041F" w:rsidRPr="0039191B" w:rsidRDefault="0097041F" w:rsidP="00103737">
      <w:pPr>
        <w:suppressAutoHyphens/>
        <w:ind w:right="51"/>
        <w:jc w:val="both"/>
        <w:rPr>
          <w:rFonts w:ascii="Arial" w:hAnsi="Arial" w:cs="Arial"/>
          <w:bCs/>
          <w:spacing w:val="-3"/>
          <w:sz w:val="22"/>
          <w:szCs w:val="22"/>
          <w:lang w:val="es-CO"/>
        </w:rPr>
      </w:pPr>
    </w:p>
    <w:p w:rsidR="00382252" w:rsidRDefault="00353C6B" w:rsidP="00F334CF">
      <w:pPr>
        <w:jc w:val="both"/>
        <w:rPr>
          <w:rFonts w:ascii="Arial" w:hAnsi="Arial" w:cs="Arial"/>
          <w:sz w:val="22"/>
          <w:szCs w:val="22"/>
          <w:lang w:val="es-CO"/>
        </w:rPr>
      </w:pPr>
      <w:r>
        <w:rPr>
          <w:rFonts w:ascii="Arial" w:hAnsi="Arial" w:cs="Arial"/>
          <w:b/>
          <w:sz w:val="22"/>
          <w:szCs w:val="22"/>
          <w:lang w:val="es-CO"/>
        </w:rPr>
        <w:t>Artículo 3</w:t>
      </w:r>
      <w:r w:rsidRPr="00353C6B">
        <w:rPr>
          <w:rFonts w:ascii="Arial" w:hAnsi="Arial" w:cs="Arial"/>
          <w:b/>
          <w:sz w:val="22"/>
          <w:szCs w:val="22"/>
          <w:lang w:val="es-CO"/>
        </w:rPr>
        <w:t>o.</w:t>
      </w:r>
      <w:r w:rsidRPr="00353C6B">
        <w:rPr>
          <w:rFonts w:ascii="Arial" w:hAnsi="Arial" w:cs="Arial"/>
          <w:sz w:val="22"/>
          <w:szCs w:val="22"/>
          <w:lang w:val="es-CO"/>
        </w:rPr>
        <w:t xml:space="preserve"> </w:t>
      </w:r>
      <w:r w:rsidR="00947B12">
        <w:rPr>
          <w:rFonts w:ascii="Arial" w:hAnsi="Arial" w:cs="Arial"/>
          <w:sz w:val="22"/>
          <w:szCs w:val="22"/>
          <w:lang w:val="es-CO"/>
        </w:rPr>
        <w:t xml:space="preserve"> </w:t>
      </w:r>
      <w:r w:rsidR="002A4112">
        <w:rPr>
          <w:rFonts w:ascii="Arial" w:hAnsi="Arial" w:cs="Arial"/>
          <w:sz w:val="22"/>
          <w:szCs w:val="22"/>
          <w:lang w:val="es-CO"/>
        </w:rPr>
        <w:t>P</w:t>
      </w:r>
      <w:r w:rsidR="003300F3">
        <w:rPr>
          <w:rFonts w:ascii="Arial" w:hAnsi="Arial" w:cs="Arial"/>
          <w:sz w:val="22"/>
          <w:szCs w:val="22"/>
          <w:lang w:val="es-CO"/>
        </w:rPr>
        <w:t xml:space="preserve">ara efectos del control </w:t>
      </w:r>
      <w:r w:rsidR="00382252">
        <w:rPr>
          <w:rFonts w:ascii="Arial" w:hAnsi="Arial" w:cs="Arial"/>
          <w:sz w:val="22"/>
          <w:szCs w:val="22"/>
          <w:lang w:val="es-CO"/>
        </w:rPr>
        <w:t xml:space="preserve">y seguimiento </w:t>
      </w:r>
      <w:r w:rsidR="003300F3">
        <w:rPr>
          <w:rFonts w:ascii="Arial" w:hAnsi="Arial" w:cs="Arial"/>
          <w:sz w:val="22"/>
          <w:szCs w:val="22"/>
          <w:lang w:val="es-CO"/>
        </w:rPr>
        <w:t>de la inversión</w:t>
      </w:r>
      <w:r w:rsidR="00851E45">
        <w:rPr>
          <w:rFonts w:ascii="Arial" w:hAnsi="Arial" w:cs="Arial"/>
          <w:sz w:val="22"/>
          <w:szCs w:val="22"/>
          <w:lang w:val="es-CO"/>
        </w:rPr>
        <w:t>,</w:t>
      </w:r>
      <w:r w:rsidR="003300F3">
        <w:rPr>
          <w:rFonts w:ascii="Arial" w:hAnsi="Arial" w:cs="Arial"/>
          <w:sz w:val="22"/>
          <w:szCs w:val="22"/>
          <w:lang w:val="es-CO"/>
        </w:rPr>
        <w:t xml:space="preserve"> el Intermediario Financiero </w:t>
      </w:r>
      <w:r w:rsidR="00851E45">
        <w:rPr>
          <w:rFonts w:ascii="Arial" w:hAnsi="Arial" w:cs="Arial"/>
          <w:sz w:val="22"/>
          <w:szCs w:val="22"/>
          <w:lang w:val="es-CO"/>
        </w:rPr>
        <w:t xml:space="preserve">exigirá </w:t>
      </w:r>
      <w:r w:rsidR="00382252">
        <w:rPr>
          <w:rFonts w:ascii="Arial" w:hAnsi="Arial" w:cs="Arial"/>
          <w:sz w:val="22"/>
          <w:szCs w:val="22"/>
          <w:lang w:val="es-CO"/>
        </w:rPr>
        <w:t>la presentación de la escritura pública de tradición del bien y el certificado de libertad y tradición en el que conste su registro.</w:t>
      </w:r>
    </w:p>
    <w:p w:rsidR="00382252" w:rsidRDefault="00382252" w:rsidP="00353C6B">
      <w:pPr>
        <w:pStyle w:val="p2"/>
        <w:spacing w:line="240" w:lineRule="auto"/>
        <w:ind w:left="0"/>
        <w:rPr>
          <w:rFonts w:ascii="Arial" w:hAnsi="Arial" w:cs="Arial"/>
          <w:sz w:val="22"/>
          <w:szCs w:val="22"/>
          <w:lang w:val="es-CO"/>
        </w:rPr>
      </w:pPr>
    </w:p>
    <w:p w:rsidR="00353C6B" w:rsidRPr="00353C6B" w:rsidRDefault="009030FD" w:rsidP="00353C6B">
      <w:pPr>
        <w:pStyle w:val="p2"/>
        <w:spacing w:line="240" w:lineRule="auto"/>
        <w:ind w:left="0"/>
        <w:rPr>
          <w:rFonts w:ascii="Arial" w:hAnsi="Arial" w:cs="Arial"/>
          <w:sz w:val="22"/>
          <w:szCs w:val="22"/>
          <w:lang w:val="es-CO"/>
        </w:rPr>
      </w:pPr>
      <w:r>
        <w:rPr>
          <w:rFonts w:ascii="Arial" w:hAnsi="Arial" w:cs="Arial"/>
          <w:b/>
          <w:sz w:val="22"/>
          <w:szCs w:val="22"/>
          <w:lang w:val="es-CO"/>
        </w:rPr>
        <w:t xml:space="preserve">Artículo </w:t>
      </w:r>
      <w:r w:rsidR="00F334CF">
        <w:rPr>
          <w:rFonts w:ascii="Arial" w:hAnsi="Arial" w:cs="Arial"/>
          <w:b/>
          <w:sz w:val="22"/>
          <w:szCs w:val="22"/>
          <w:lang w:val="es-CO"/>
        </w:rPr>
        <w:t>4</w:t>
      </w:r>
      <w:r w:rsidRPr="00353C6B">
        <w:rPr>
          <w:rFonts w:ascii="Arial" w:hAnsi="Arial" w:cs="Arial"/>
          <w:b/>
          <w:sz w:val="22"/>
          <w:szCs w:val="22"/>
          <w:lang w:val="es-CO"/>
        </w:rPr>
        <w:t>o.</w:t>
      </w:r>
      <w:r w:rsidRPr="00353C6B">
        <w:rPr>
          <w:rFonts w:ascii="Arial" w:hAnsi="Arial" w:cs="Arial"/>
          <w:sz w:val="22"/>
          <w:szCs w:val="22"/>
          <w:lang w:val="es-CO"/>
        </w:rPr>
        <w:t xml:space="preserve"> </w:t>
      </w:r>
      <w:r w:rsidR="00353C6B" w:rsidRPr="00353C6B">
        <w:rPr>
          <w:rFonts w:ascii="Arial" w:hAnsi="Arial" w:cs="Arial"/>
          <w:sz w:val="22"/>
          <w:szCs w:val="22"/>
          <w:lang w:val="es-CO"/>
        </w:rPr>
        <w:t>FINAGRO adoptará los procedimientos y medidas necesarias para el desarrollo de la presente resolución para lo cual expedirá la circular reglamentaria correspondiente.</w:t>
      </w:r>
    </w:p>
    <w:p w:rsidR="00353C6B" w:rsidRPr="00353C6B" w:rsidRDefault="00353C6B" w:rsidP="00353C6B">
      <w:pPr>
        <w:pStyle w:val="p2"/>
        <w:spacing w:line="240" w:lineRule="auto"/>
        <w:ind w:left="0"/>
        <w:rPr>
          <w:rFonts w:ascii="Arial" w:hAnsi="Arial" w:cs="Arial"/>
          <w:sz w:val="22"/>
          <w:szCs w:val="22"/>
          <w:lang w:val="es-CO"/>
        </w:rPr>
      </w:pPr>
    </w:p>
    <w:p w:rsidR="00353C6B" w:rsidRPr="00353C6B" w:rsidRDefault="000B123E" w:rsidP="00353C6B">
      <w:pPr>
        <w:pStyle w:val="p2"/>
        <w:spacing w:line="240" w:lineRule="auto"/>
        <w:ind w:left="0"/>
        <w:rPr>
          <w:rFonts w:ascii="Arial" w:hAnsi="Arial" w:cs="Arial"/>
          <w:sz w:val="22"/>
          <w:szCs w:val="22"/>
          <w:lang w:val="es-CO"/>
        </w:rPr>
      </w:pPr>
      <w:r>
        <w:rPr>
          <w:rFonts w:ascii="Arial" w:hAnsi="Arial" w:cs="Arial"/>
          <w:b/>
          <w:sz w:val="22"/>
          <w:szCs w:val="22"/>
          <w:lang w:val="es-CO"/>
        </w:rPr>
        <w:t xml:space="preserve">Artículo </w:t>
      </w:r>
      <w:r w:rsidR="00F334CF">
        <w:rPr>
          <w:rFonts w:ascii="Arial" w:hAnsi="Arial" w:cs="Arial"/>
          <w:b/>
          <w:sz w:val="22"/>
          <w:szCs w:val="22"/>
          <w:lang w:val="es-CO"/>
        </w:rPr>
        <w:t>5</w:t>
      </w:r>
      <w:r w:rsidR="00353C6B" w:rsidRPr="00353C6B">
        <w:rPr>
          <w:rFonts w:ascii="Arial" w:hAnsi="Arial" w:cs="Arial"/>
          <w:b/>
          <w:sz w:val="22"/>
          <w:szCs w:val="22"/>
          <w:lang w:val="es-CO"/>
        </w:rPr>
        <w:t>o.</w:t>
      </w:r>
      <w:r w:rsidR="00353C6B" w:rsidRPr="00353C6B">
        <w:rPr>
          <w:rFonts w:ascii="Arial" w:hAnsi="Arial" w:cs="Arial"/>
          <w:sz w:val="22"/>
          <w:szCs w:val="22"/>
          <w:lang w:val="es-CO"/>
        </w:rPr>
        <w:t xml:space="preserve"> La presente resolución rige a partir de la fecha de su publicación en el Diario Oficial, y sus efectos aplicarán a partir de la fecha en que FINAGRO disponga de los recursos presupuestales. </w:t>
      </w:r>
    </w:p>
    <w:p w:rsidR="00353C6B" w:rsidRPr="00353C6B" w:rsidRDefault="00353C6B" w:rsidP="00353C6B">
      <w:pPr>
        <w:pStyle w:val="p2"/>
        <w:spacing w:line="240" w:lineRule="auto"/>
        <w:ind w:left="0"/>
        <w:rPr>
          <w:rFonts w:ascii="Arial" w:hAnsi="Arial" w:cs="Arial"/>
          <w:sz w:val="22"/>
          <w:szCs w:val="22"/>
          <w:lang w:val="es-CO"/>
        </w:rPr>
      </w:pPr>
    </w:p>
    <w:p w:rsidR="00353C6B" w:rsidRPr="00353C6B" w:rsidRDefault="00353C6B" w:rsidP="00353C6B">
      <w:pPr>
        <w:pStyle w:val="p2"/>
        <w:spacing w:line="240" w:lineRule="auto"/>
        <w:ind w:left="0"/>
        <w:rPr>
          <w:rFonts w:ascii="Arial" w:hAnsi="Arial" w:cs="Arial"/>
          <w:sz w:val="22"/>
          <w:szCs w:val="22"/>
          <w:lang w:val="es-CO"/>
        </w:rPr>
      </w:pPr>
      <w:r w:rsidRPr="00353C6B">
        <w:rPr>
          <w:rFonts w:ascii="Arial" w:hAnsi="Arial" w:cs="Arial"/>
          <w:b/>
          <w:sz w:val="22"/>
          <w:szCs w:val="22"/>
          <w:lang w:val="es-CO"/>
        </w:rPr>
        <w:t xml:space="preserve">Artículo </w:t>
      </w:r>
      <w:r w:rsidR="00F334CF">
        <w:rPr>
          <w:rFonts w:ascii="Arial" w:hAnsi="Arial" w:cs="Arial"/>
          <w:b/>
          <w:sz w:val="22"/>
          <w:szCs w:val="22"/>
          <w:lang w:val="es-CO"/>
        </w:rPr>
        <w:t>6</w:t>
      </w:r>
      <w:r>
        <w:rPr>
          <w:rFonts w:ascii="Arial" w:hAnsi="Arial" w:cs="Arial"/>
          <w:b/>
          <w:sz w:val="22"/>
          <w:szCs w:val="22"/>
          <w:lang w:val="es-CO"/>
        </w:rPr>
        <w:t>o</w:t>
      </w:r>
      <w:r w:rsidRPr="00353C6B">
        <w:rPr>
          <w:rFonts w:ascii="Arial" w:hAnsi="Arial" w:cs="Arial"/>
          <w:b/>
          <w:sz w:val="22"/>
          <w:szCs w:val="22"/>
          <w:lang w:val="es-CO"/>
        </w:rPr>
        <w:t>.</w:t>
      </w:r>
      <w:r w:rsidRPr="00353C6B">
        <w:rPr>
          <w:rFonts w:ascii="Arial" w:hAnsi="Arial" w:cs="Arial"/>
          <w:sz w:val="22"/>
          <w:szCs w:val="22"/>
          <w:lang w:val="es-CO"/>
        </w:rPr>
        <w:t xml:space="preserve"> Los términos y condiciones establecidos en las demás resoluciones de la Comisión Nacional de Crédito Agropecuario permanecerán inalterados y conservarán todo su vigencia y efecto, en cuanto no se opongan a lo establecido en la presente resolución.</w:t>
      </w:r>
    </w:p>
    <w:p w:rsidR="00353C6B" w:rsidRPr="00353C6B" w:rsidRDefault="00353C6B" w:rsidP="00353C6B">
      <w:pPr>
        <w:pStyle w:val="p2"/>
        <w:spacing w:line="240" w:lineRule="auto"/>
        <w:ind w:left="0"/>
        <w:rPr>
          <w:rFonts w:ascii="Arial" w:hAnsi="Arial" w:cs="Arial"/>
          <w:sz w:val="22"/>
          <w:szCs w:val="22"/>
          <w:lang w:val="es-CO"/>
        </w:rPr>
      </w:pPr>
    </w:p>
    <w:p w:rsidR="00353C6B" w:rsidRPr="00353C6B" w:rsidRDefault="00353C6B" w:rsidP="00353C6B">
      <w:pPr>
        <w:pStyle w:val="p2"/>
        <w:spacing w:line="240" w:lineRule="auto"/>
        <w:ind w:left="0"/>
        <w:rPr>
          <w:rFonts w:ascii="Arial" w:hAnsi="Arial" w:cs="Arial"/>
          <w:sz w:val="22"/>
          <w:szCs w:val="22"/>
          <w:lang w:val="es-CO"/>
        </w:rPr>
      </w:pPr>
      <w:r w:rsidRPr="00353C6B">
        <w:rPr>
          <w:rFonts w:ascii="Arial" w:hAnsi="Arial" w:cs="Arial"/>
          <w:sz w:val="22"/>
          <w:szCs w:val="22"/>
          <w:lang w:val="es-CO"/>
        </w:rPr>
        <w:t>D</w:t>
      </w:r>
      <w:r>
        <w:rPr>
          <w:rFonts w:ascii="Arial" w:hAnsi="Arial" w:cs="Arial"/>
          <w:sz w:val="22"/>
          <w:szCs w:val="22"/>
          <w:lang w:val="es-CO"/>
        </w:rPr>
        <w:t xml:space="preserve">ada en Bogotá D.C., a los </w:t>
      </w:r>
      <w:r w:rsidR="0087371E">
        <w:rPr>
          <w:rFonts w:ascii="Arial" w:hAnsi="Arial" w:cs="Arial"/>
          <w:sz w:val="22"/>
          <w:szCs w:val="22"/>
          <w:lang w:val="es-CO"/>
        </w:rPr>
        <w:t>_______</w:t>
      </w:r>
    </w:p>
    <w:p w:rsidR="00353C6B" w:rsidRPr="00353C6B" w:rsidRDefault="00353C6B" w:rsidP="00353C6B">
      <w:pPr>
        <w:jc w:val="both"/>
        <w:rPr>
          <w:rFonts w:ascii="Arial" w:eastAsiaTheme="minorHAnsi" w:hAnsi="Arial" w:cs="Arial"/>
          <w:b/>
          <w:sz w:val="22"/>
          <w:szCs w:val="22"/>
          <w:lang w:val="es-CO" w:eastAsia="en-US" w:bidi="es-CO"/>
        </w:rPr>
      </w:pPr>
    </w:p>
    <w:p w:rsidR="00353C6B" w:rsidRPr="00353C6B" w:rsidRDefault="00353C6B" w:rsidP="00353C6B">
      <w:pPr>
        <w:jc w:val="both"/>
        <w:rPr>
          <w:rFonts w:ascii="Arial" w:eastAsiaTheme="minorHAnsi" w:hAnsi="Arial" w:cs="Arial"/>
          <w:b/>
          <w:sz w:val="22"/>
          <w:szCs w:val="22"/>
          <w:lang w:val="es-CO" w:eastAsia="en-US" w:bidi="es-CO"/>
        </w:rPr>
      </w:pPr>
    </w:p>
    <w:p w:rsidR="00353C6B" w:rsidRPr="00353C6B" w:rsidRDefault="00353C6B" w:rsidP="00353C6B">
      <w:pPr>
        <w:jc w:val="both"/>
        <w:rPr>
          <w:rFonts w:ascii="Arial" w:eastAsiaTheme="minorHAnsi" w:hAnsi="Arial" w:cs="Arial"/>
          <w:b/>
          <w:sz w:val="22"/>
          <w:szCs w:val="22"/>
          <w:lang w:val="es-CO" w:eastAsia="en-US" w:bidi="es-CO"/>
        </w:rPr>
      </w:pPr>
    </w:p>
    <w:p w:rsidR="00353C6B" w:rsidRPr="00353C6B" w:rsidRDefault="00353C6B" w:rsidP="00353C6B">
      <w:pPr>
        <w:jc w:val="both"/>
        <w:rPr>
          <w:rFonts w:ascii="Arial" w:eastAsiaTheme="minorHAnsi" w:hAnsi="Arial" w:cs="Arial"/>
          <w:b/>
          <w:sz w:val="22"/>
          <w:szCs w:val="22"/>
          <w:lang w:val="es-CO" w:eastAsia="en-US" w:bidi="es-CO"/>
        </w:rPr>
      </w:pPr>
    </w:p>
    <w:p w:rsidR="00353C6B" w:rsidRPr="00353C6B" w:rsidRDefault="00353C6B" w:rsidP="00353C6B">
      <w:pPr>
        <w:jc w:val="both"/>
        <w:rPr>
          <w:rFonts w:ascii="Arial" w:eastAsiaTheme="minorHAnsi" w:hAnsi="Arial" w:cs="Arial"/>
          <w:b/>
          <w:sz w:val="22"/>
          <w:szCs w:val="22"/>
          <w:lang w:val="es-CO" w:eastAsia="en-US" w:bidi="es-CO"/>
        </w:rPr>
      </w:pPr>
      <w:r w:rsidRPr="00353C6B">
        <w:rPr>
          <w:rFonts w:ascii="Arial" w:eastAsiaTheme="minorHAnsi" w:hAnsi="Arial" w:cs="Arial"/>
          <w:b/>
          <w:sz w:val="22"/>
          <w:szCs w:val="22"/>
          <w:lang w:val="es-CO" w:eastAsia="en-US" w:bidi="es-CO"/>
        </w:rPr>
        <w:t>ANDRÉS VALENCIA</w:t>
      </w:r>
      <w:r w:rsidRPr="00353C6B">
        <w:rPr>
          <w:rFonts w:ascii="Arial" w:eastAsiaTheme="minorHAnsi" w:hAnsi="Arial" w:cs="Arial"/>
          <w:b/>
          <w:sz w:val="22"/>
          <w:szCs w:val="22"/>
          <w:lang w:val="es-CO" w:eastAsia="en-US" w:bidi="es-CO"/>
        </w:rPr>
        <w:tab/>
        <w:t xml:space="preserve"> PINZÓN</w:t>
      </w:r>
      <w:r w:rsidRPr="00353C6B">
        <w:rPr>
          <w:rFonts w:ascii="Arial" w:eastAsiaTheme="minorHAnsi" w:hAnsi="Arial" w:cs="Arial"/>
          <w:b/>
          <w:sz w:val="22"/>
          <w:szCs w:val="22"/>
          <w:lang w:val="es-CO" w:eastAsia="en-US" w:bidi="es-CO"/>
        </w:rPr>
        <w:tab/>
      </w:r>
      <w:r w:rsidRPr="00353C6B">
        <w:rPr>
          <w:rFonts w:ascii="Arial" w:eastAsiaTheme="minorHAnsi" w:hAnsi="Arial" w:cs="Arial"/>
          <w:b/>
          <w:sz w:val="22"/>
          <w:szCs w:val="22"/>
          <w:lang w:val="es-CO" w:eastAsia="en-US" w:bidi="es-CO"/>
        </w:rPr>
        <w:tab/>
      </w:r>
      <w:r w:rsidRPr="00353C6B">
        <w:rPr>
          <w:rFonts w:ascii="Arial" w:eastAsiaTheme="minorHAnsi" w:hAnsi="Arial" w:cs="Arial"/>
          <w:b/>
          <w:sz w:val="22"/>
          <w:szCs w:val="22"/>
          <w:lang w:val="es-CO" w:eastAsia="en-US" w:bidi="es-CO"/>
        </w:rPr>
        <w:tab/>
        <w:t>CLAUDIA ACOSTA ECHEVERRÍA</w:t>
      </w:r>
    </w:p>
    <w:p w:rsidR="006C355C" w:rsidRPr="0039191B" w:rsidRDefault="00353C6B" w:rsidP="00A96646">
      <w:pPr>
        <w:jc w:val="center"/>
        <w:rPr>
          <w:rFonts w:ascii="Arial" w:hAnsi="Arial" w:cs="Arial"/>
          <w:bCs/>
          <w:sz w:val="22"/>
          <w:szCs w:val="22"/>
          <w:lang w:val="es-CO"/>
        </w:rPr>
      </w:pPr>
      <w:r w:rsidRPr="008D63B6">
        <w:rPr>
          <w:rFonts w:ascii="Arial" w:eastAsiaTheme="minorHAnsi" w:hAnsi="Arial" w:cs="Arial"/>
          <w:sz w:val="22"/>
          <w:szCs w:val="22"/>
          <w:lang w:val="es-CO" w:eastAsia="en-US" w:bidi="es-CO"/>
        </w:rPr>
        <w:t>Presidente</w:t>
      </w:r>
      <w:r w:rsidRPr="008D63B6">
        <w:rPr>
          <w:rFonts w:ascii="Arial" w:eastAsiaTheme="minorHAnsi" w:hAnsi="Arial" w:cs="Arial"/>
          <w:sz w:val="22"/>
          <w:szCs w:val="22"/>
          <w:lang w:val="es-CO" w:eastAsia="en-US" w:bidi="es-CO"/>
        </w:rPr>
        <w:tab/>
      </w:r>
      <w:r w:rsidRPr="008D63B6">
        <w:rPr>
          <w:rFonts w:ascii="Arial" w:eastAsiaTheme="minorHAnsi" w:hAnsi="Arial" w:cs="Arial"/>
          <w:sz w:val="22"/>
          <w:szCs w:val="22"/>
          <w:lang w:val="es-CO" w:eastAsia="en-US" w:bidi="es-CO"/>
        </w:rPr>
        <w:tab/>
      </w:r>
      <w:r w:rsidRPr="008D63B6">
        <w:rPr>
          <w:rFonts w:ascii="Arial" w:eastAsiaTheme="minorHAnsi" w:hAnsi="Arial" w:cs="Arial"/>
          <w:sz w:val="22"/>
          <w:szCs w:val="22"/>
          <w:lang w:val="es-CO" w:eastAsia="en-US" w:bidi="es-CO"/>
        </w:rPr>
        <w:tab/>
      </w:r>
      <w:r w:rsidRPr="008D63B6">
        <w:rPr>
          <w:rFonts w:ascii="Arial" w:eastAsiaTheme="minorHAnsi" w:hAnsi="Arial" w:cs="Arial"/>
          <w:sz w:val="22"/>
          <w:szCs w:val="22"/>
          <w:lang w:val="es-CO" w:eastAsia="en-US" w:bidi="es-CO"/>
        </w:rPr>
        <w:tab/>
      </w:r>
      <w:r w:rsidRPr="008D63B6">
        <w:rPr>
          <w:rFonts w:ascii="Arial" w:eastAsiaTheme="minorHAnsi" w:hAnsi="Arial" w:cs="Arial"/>
          <w:sz w:val="22"/>
          <w:szCs w:val="22"/>
          <w:lang w:val="es-CO" w:eastAsia="en-US" w:bidi="es-CO"/>
        </w:rPr>
        <w:tab/>
      </w:r>
      <w:r w:rsidRPr="008D63B6">
        <w:rPr>
          <w:rFonts w:ascii="Arial" w:eastAsiaTheme="minorHAnsi" w:hAnsi="Arial" w:cs="Arial"/>
          <w:sz w:val="22"/>
          <w:szCs w:val="22"/>
          <w:lang w:val="es-CO" w:eastAsia="en-US" w:bidi="es-CO"/>
        </w:rPr>
        <w:tab/>
        <w:t>Secretaria Técnica (E)</w:t>
      </w:r>
    </w:p>
    <w:sectPr w:rsidR="006C355C" w:rsidRPr="0039191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E31" w:rsidRDefault="00FD5E31">
      <w:r>
        <w:separator/>
      </w:r>
    </w:p>
  </w:endnote>
  <w:endnote w:type="continuationSeparator" w:id="0">
    <w:p w:rsidR="00FD5E31" w:rsidRDefault="00FD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E31" w:rsidRDefault="00FD5E31">
      <w:r>
        <w:separator/>
      </w:r>
    </w:p>
  </w:footnote>
  <w:footnote w:type="continuationSeparator" w:id="0">
    <w:p w:rsidR="00FD5E31" w:rsidRDefault="00FD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FD7"/>
    <w:multiLevelType w:val="hybridMultilevel"/>
    <w:tmpl w:val="A8FC80B8"/>
    <w:lvl w:ilvl="0" w:tplc="8DD0011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B5696"/>
    <w:multiLevelType w:val="hybridMultilevel"/>
    <w:tmpl w:val="FDBA64EE"/>
    <w:lvl w:ilvl="0" w:tplc="2006E6A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40258"/>
    <w:multiLevelType w:val="hybridMultilevel"/>
    <w:tmpl w:val="5978CFC8"/>
    <w:lvl w:ilvl="0" w:tplc="5052EB8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C665C0"/>
    <w:multiLevelType w:val="hybridMultilevel"/>
    <w:tmpl w:val="38D84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0463EE"/>
    <w:multiLevelType w:val="hybridMultilevel"/>
    <w:tmpl w:val="FAB495BA"/>
    <w:lvl w:ilvl="0" w:tplc="8BF80FAE">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557184"/>
    <w:multiLevelType w:val="hybridMultilevel"/>
    <w:tmpl w:val="147888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671C1B"/>
    <w:multiLevelType w:val="hybridMultilevel"/>
    <w:tmpl w:val="C5747BB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0742C7"/>
    <w:multiLevelType w:val="hybridMultilevel"/>
    <w:tmpl w:val="115C44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305E8D"/>
    <w:multiLevelType w:val="hybridMultilevel"/>
    <w:tmpl w:val="97BA290A"/>
    <w:lvl w:ilvl="0" w:tplc="E3A6105A">
      <w:start w:val="2"/>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319F51C4"/>
    <w:multiLevelType w:val="hybridMultilevel"/>
    <w:tmpl w:val="B832C71C"/>
    <w:lvl w:ilvl="0" w:tplc="25860646">
      <w:start w:val="1"/>
      <w:numFmt w:val="lowerLetter"/>
      <w:lvlText w:val="%1."/>
      <w:lvlJc w:val="left"/>
      <w:pPr>
        <w:ind w:left="902" w:hanging="360"/>
      </w:pPr>
      <w:rPr>
        <w:rFonts w:ascii="Arial" w:eastAsia="Arial" w:hAnsi="Arial" w:cs="Arial"/>
        <w:spacing w:val="-1"/>
        <w:w w:val="100"/>
        <w:sz w:val="22"/>
        <w:szCs w:val="22"/>
        <w:lang w:val="es-CO" w:eastAsia="es-CO" w:bidi="es-CO"/>
      </w:rPr>
    </w:lvl>
    <w:lvl w:ilvl="1" w:tplc="D04A4C2C">
      <w:numFmt w:val="bullet"/>
      <w:lvlText w:val="•"/>
      <w:lvlJc w:val="left"/>
      <w:pPr>
        <w:ind w:left="1696" w:hanging="360"/>
      </w:pPr>
      <w:rPr>
        <w:rFonts w:hint="default"/>
        <w:lang w:val="es-CO" w:eastAsia="es-CO" w:bidi="es-CO"/>
      </w:rPr>
    </w:lvl>
    <w:lvl w:ilvl="2" w:tplc="B62095A0">
      <w:numFmt w:val="bullet"/>
      <w:lvlText w:val="•"/>
      <w:lvlJc w:val="left"/>
      <w:pPr>
        <w:ind w:left="2493" w:hanging="360"/>
      </w:pPr>
      <w:rPr>
        <w:rFonts w:hint="default"/>
        <w:lang w:val="es-CO" w:eastAsia="es-CO" w:bidi="es-CO"/>
      </w:rPr>
    </w:lvl>
    <w:lvl w:ilvl="3" w:tplc="C23E39EE">
      <w:numFmt w:val="bullet"/>
      <w:lvlText w:val="•"/>
      <w:lvlJc w:val="left"/>
      <w:pPr>
        <w:ind w:left="3289" w:hanging="360"/>
      </w:pPr>
      <w:rPr>
        <w:rFonts w:hint="default"/>
        <w:lang w:val="es-CO" w:eastAsia="es-CO" w:bidi="es-CO"/>
      </w:rPr>
    </w:lvl>
    <w:lvl w:ilvl="4" w:tplc="ADC4ADD8">
      <w:numFmt w:val="bullet"/>
      <w:lvlText w:val="•"/>
      <w:lvlJc w:val="left"/>
      <w:pPr>
        <w:ind w:left="4086" w:hanging="360"/>
      </w:pPr>
      <w:rPr>
        <w:rFonts w:hint="default"/>
        <w:lang w:val="es-CO" w:eastAsia="es-CO" w:bidi="es-CO"/>
      </w:rPr>
    </w:lvl>
    <w:lvl w:ilvl="5" w:tplc="C7B4DF64">
      <w:numFmt w:val="bullet"/>
      <w:lvlText w:val="•"/>
      <w:lvlJc w:val="left"/>
      <w:pPr>
        <w:ind w:left="4883" w:hanging="360"/>
      </w:pPr>
      <w:rPr>
        <w:rFonts w:hint="default"/>
        <w:lang w:val="es-CO" w:eastAsia="es-CO" w:bidi="es-CO"/>
      </w:rPr>
    </w:lvl>
    <w:lvl w:ilvl="6" w:tplc="A19A0FEC">
      <w:numFmt w:val="bullet"/>
      <w:lvlText w:val="•"/>
      <w:lvlJc w:val="left"/>
      <w:pPr>
        <w:ind w:left="5679" w:hanging="360"/>
      </w:pPr>
      <w:rPr>
        <w:rFonts w:hint="default"/>
        <w:lang w:val="es-CO" w:eastAsia="es-CO" w:bidi="es-CO"/>
      </w:rPr>
    </w:lvl>
    <w:lvl w:ilvl="7" w:tplc="2ABCB558">
      <w:numFmt w:val="bullet"/>
      <w:lvlText w:val="•"/>
      <w:lvlJc w:val="left"/>
      <w:pPr>
        <w:ind w:left="6476" w:hanging="360"/>
      </w:pPr>
      <w:rPr>
        <w:rFonts w:hint="default"/>
        <w:lang w:val="es-CO" w:eastAsia="es-CO" w:bidi="es-CO"/>
      </w:rPr>
    </w:lvl>
    <w:lvl w:ilvl="8" w:tplc="93186F46">
      <w:numFmt w:val="bullet"/>
      <w:lvlText w:val="•"/>
      <w:lvlJc w:val="left"/>
      <w:pPr>
        <w:ind w:left="7273" w:hanging="360"/>
      </w:pPr>
      <w:rPr>
        <w:rFonts w:hint="default"/>
        <w:lang w:val="es-CO" w:eastAsia="es-CO" w:bidi="es-CO"/>
      </w:rPr>
    </w:lvl>
  </w:abstractNum>
  <w:abstractNum w:abstractNumId="10" w15:restartNumberingAfterBreak="0">
    <w:nsid w:val="391F2B02"/>
    <w:multiLevelType w:val="hybridMultilevel"/>
    <w:tmpl w:val="4FFE2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7B10C9"/>
    <w:multiLevelType w:val="hybridMultilevel"/>
    <w:tmpl w:val="54800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603D19"/>
    <w:multiLevelType w:val="hybridMultilevel"/>
    <w:tmpl w:val="F31AB0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45DC4303"/>
    <w:multiLevelType w:val="hybridMultilevel"/>
    <w:tmpl w:val="BFD4BB3A"/>
    <w:lvl w:ilvl="0" w:tplc="49220E30">
      <w:start w:val="3"/>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A4501BB"/>
    <w:multiLevelType w:val="hybridMultilevel"/>
    <w:tmpl w:val="B5FE7E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1F5407"/>
    <w:multiLevelType w:val="hybridMultilevel"/>
    <w:tmpl w:val="29527796"/>
    <w:lvl w:ilvl="0" w:tplc="708E6D5E">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4B3AE0"/>
    <w:multiLevelType w:val="hybridMultilevel"/>
    <w:tmpl w:val="94949CEC"/>
    <w:lvl w:ilvl="0" w:tplc="90E8A702">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F9C4CD0"/>
    <w:multiLevelType w:val="hybridMultilevel"/>
    <w:tmpl w:val="A6EC22A8"/>
    <w:lvl w:ilvl="0" w:tplc="AF34E9F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F75B07"/>
    <w:multiLevelType w:val="hybridMultilevel"/>
    <w:tmpl w:val="5704A1FE"/>
    <w:lvl w:ilvl="0" w:tplc="240A0017">
      <w:start w:val="1"/>
      <w:numFmt w:val="lowerLetter"/>
      <w:lvlText w:val="%1)"/>
      <w:lvlJc w:val="left"/>
      <w:pPr>
        <w:ind w:left="720" w:hanging="360"/>
      </w:pPr>
      <w:rPr>
        <w:rFonts w:hint="default"/>
      </w:rPr>
    </w:lvl>
    <w:lvl w:ilvl="1" w:tplc="26D2C642">
      <w:start w:val="5"/>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F43BC7"/>
    <w:multiLevelType w:val="hybridMultilevel"/>
    <w:tmpl w:val="DDE40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D4072B"/>
    <w:multiLevelType w:val="hybridMultilevel"/>
    <w:tmpl w:val="B1F223CE"/>
    <w:lvl w:ilvl="0" w:tplc="D04A645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66D22"/>
    <w:multiLevelType w:val="hybridMultilevel"/>
    <w:tmpl w:val="044C15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661CCA"/>
    <w:multiLevelType w:val="hybridMultilevel"/>
    <w:tmpl w:val="B31E2206"/>
    <w:lvl w:ilvl="0" w:tplc="18C6DFF8">
      <w:start w:val="9"/>
      <w:numFmt w:val="lowerLetter"/>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5DE96E3D"/>
    <w:multiLevelType w:val="hybridMultilevel"/>
    <w:tmpl w:val="D02C9CD6"/>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C95A9E"/>
    <w:multiLevelType w:val="hybridMultilevel"/>
    <w:tmpl w:val="E3F26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2A15C3"/>
    <w:multiLevelType w:val="hybridMultilevel"/>
    <w:tmpl w:val="69EC0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19514B"/>
    <w:multiLevelType w:val="hybridMultilevel"/>
    <w:tmpl w:val="9C96B3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AB7728"/>
    <w:multiLevelType w:val="hybridMultilevel"/>
    <w:tmpl w:val="3AE00E54"/>
    <w:lvl w:ilvl="0" w:tplc="AF34E9F6">
      <w:start w:val="1"/>
      <w:numFmt w:val="bullet"/>
      <w:lvlText w:val="-"/>
      <w:lvlJc w:val="left"/>
      <w:pPr>
        <w:ind w:left="1474" w:hanging="360"/>
      </w:pPr>
      <w:rPr>
        <w:rFonts w:ascii="Calibri" w:eastAsiaTheme="minorHAnsi" w:hAnsi="Calibri" w:cs="Calibri" w:hint="default"/>
      </w:rPr>
    </w:lvl>
    <w:lvl w:ilvl="1" w:tplc="240A0003" w:tentative="1">
      <w:start w:val="1"/>
      <w:numFmt w:val="bullet"/>
      <w:lvlText w:val="o"/>
      <w:lvlJc w:val="left"/>
      <w:pPr>
        <w:ind w:left="2194" w:hanging="360"/>
      </w:pPr>
      <w:rPr>
        <w:rFonts w:ascii="Courier New" w:hAnsi="Courier New" w:cs="Courier New" w:hint="default"/>
      </w:rPr>
    </w:lvl>
    <w:lvl w:ilvl="2" w:tplc="240A0005" w:tentative="1">
      <w:start w:val="1"/>
      <w:numFmt w:val="bullet"/>
      <w:lvlText w:val=""/>
      <w:lvlJc w:val="left"/>
      <w:pPr>
        <w:ind w:left="2914" w:hanging="360"/>
      </w:pPr>
      <w:rPr>
        <w:rFonts w:ascii="Wingdings" w:hAnsi="Wingdings" w:hint="default"/>
      </w:rPr>
    </w:lvl>
    <w:lvl w:ilvl="3" w:tplc="240A0001" w:tentative="1">
      <w:start w:val="1"/>
      <w:numFmt w:val="bullet"/>
      <w:lvlText w:val=""/>
      <w:lvlJc w:val="left"/>
      <w:pPr>
        <w:ind w:left="3634" w:hanging="360"/>
      </w:pPr>
      <w:rPr>
        <w:rFonts w:ascii="Symbol" w:hAnsi="Symbol" w:hint="default"/>
      </w:rPr>
    </w:lvl>
    <w:lvl w:ilvl="4" w:tplc="240A0003" w:tentative="1">
      <w:start w:val="1"/>
      <w:numFmt w:val="bullet"/>
      <w:lvlText w:val="o"/>
      <w:lvlJc w:val="left"/>
      <w:pPr>
        <w:ind w:left="4354" w:hanging="360"/>
      </w:pPr>
      <w:rPr>
        <w:rFonts w:ascii="Courier New" w:hAnsi="Courier New" w:cs="Courier New" w:hint="default"/>
      </w:rPr>
    </w:lvl>
    <w:lvl w:ilvl="5" w:tplc="240A0005" w:tentative="1">
      <w:start w:val="1"/>
      <w:numFmt w:val="bullet"/>
      <w:lvlText w:val=""/>
      <w:lvlJc w:val="left"/>
      <w:pPr>
        <w:ind w:left="5074" w:hanging="360"/>
      </w:pPr>
      <w:rPr>
        <w:rFonts w:ascii="Wingdings" w:hAnsi="Wingdings" w:hint="default"/>
      </w:rPr>
    </w:lvl>
    <w:lvl w:ilvl="6" w:tplc="240A0001" w:tentative="1">
      <w:start w:val="1"/>
      <w:numFmt w:val="bullet"/>
      <w:lvlText w:val=""/>
      <w:lvlJc w:val="left"/>
      <w:pPr>
        <w:ind w:left="5794" w:hanging="360"/>
      </w:pPr>
      <w:rPr>
        <w:rFonts w:ascii="Symbol" w:hAnsi="Symbol" w:hint="default"/>
      </w:rPr>
    </w:lvl>
    <w:lvl w:ilvl="7" w:tplc="240A0003" w:tentative="1">
      <w:start w:val="1"/>
      <w:numFmt w:val="bullet"/>
      <w:lvlText w:val="o"/>
      <w:lvlJc w:val="left"/>
      <w:pPr>
        <w:ind w:left="6514" w:hanging="360"/>
      </w:pPr>
      <w:rPr>
        <w:rFonts w:ascii="Courier New" w:hAnsi="Courier New" w:cs="Courier New" w:hint="default"/>
      </w:rPr>
    </w:lvl>
    <w:lvl w:ilvl="8" w:tplc="240A0005" w:tentative="1">
      <w:start w:val="1"/>
      <w:numFmt w:val="bullet"/>
      <w:lvlText w:val=""/>
      <w:lvlJc w:val="left"/>
      <w:pPr>
        <w:ind w:left="7234" w:hanging="360"/>
      </w:pPr>
      <w:rPr>
        <w:rFonts w:ascii="Wingdings" w:hAnsi="Wingdings" w:hint="default"/>
      </w:rPr>
    </w:lvl>
  </w:abstractNum>
  <w:abstractNum w:abstractNumId="28"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B6769EF"/>
    <w:multiLevelType w:val="hybridMultilevel"/>
    <w:tmpl w:val="A10006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5"/>
  </w:num>
  <w:num w:numId="3">
    <w:abstractNumId w:val="27"/>
  </w:num>
  <w:num w:numId="4">
    <w:abstractNumId w:val="0"/>
  </w:num>
  <w:num w:numId="5">
    <w:abstractNumId w:val="23"/>
  </w:num>
  <w:num w:numId="6">
    <w:abstractNumId w:val="18"/>
  </w:num>
  <w:num w:numId="7">
    <w:abstractNumId w:val="21"/>
  </w:num>
  <w:num w:numId="8">
    <w:abstractNumId w:val="2"/>
  </w:num>
  <w:num w:numId="9">
    <w:abstractNumId w:val="10"/>
  </w:num>
  <w:num w:numId="10">
    <w:abstractNumId w:val="26"/>
  </w:num>
  <w:num w:numId="11">
    <w:abstractNumId w:val="6"/>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7"/>
  </w:num>
  <w:num w:numId="17">
    <w:abstractNumId w:val="14"/>
  </w:num>
  <w:num w:numId="18">
    <w:abstractNumId w:val="11"/>
  </w:num>
  <w:num w:numId="19">
    <w:abstractNumId w:val="12"/>
  </w:num>
  <w:num w:numId="20">
    <w:abstractNumId w:val="3"/>
  </w:num>
  <w:num w:numId="21">
    <w:abstractNumId w:val="13"/>
  </w:num>
  <w:num w:numId="22">
    <w:abstractNumId w:val="25"/>
  </w:num>
  <w:num w:numId="23">
    <w:abstractNumId w:val="24"/>
  </w:num>
  <w:num w:numId="24">
    <w:abstractNumId w:val="4"/>
  </w:num>
  <w:num w:numId="25">
    <w:abstractNumId w:val="16"/>
  </w:num>
  <w:num w:numId="26">
    <w:abstractNumId w:val="7"/>
  </w:num>
  <w:num w:numId="27">
    <w:abstractNumId w:val="28"/>
  </w:num>
  <w:num w:numId="28">
    <w:abstractNumId w:val="9"/>
  </w:num>
  <w:num w:numId="29">
    <w:abstractNumId w:val="22"/>
  </w:num>
  <w:num w:numId="30">
    <w:abstractNumId w:val="8"/>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5C"/>
    <w:rsid w:val="000002CB"/>
    <w:rsid w:val="00001D67"/>
    <w:rsid w:val="00016D9F"/>
    <w:rsid w:val="000313F8"/>
    <w:rsid w:val="00031C95"/>
    <w:rsid w:val="00032FB9"/>
    <w:rsid w:val="000357BD"/>
    <w:rsid w:val="00050D2F"/>
    <w:rsid w:val="00051A63"/>
    <w:rsid w:val="000555E1"/>
    <w:rsid w:val="000705C9"/>
    <w:rsid w:val="00081005"/>
    <w:rsid w:val="000826FE"/>
    <w:rsid w:val="000A4E33"/>
    <w:rsid w:val="000B0D20"/>
    <w:rsid w:val="000B123E"/>
    <w:rsid w:val="000B1F5A"/>
    <w:rsid w:val="000C0D0D"/>
    <w:rsid w:val="000C6A24"/>
    <w:rsid w:val="000D33B7"/>
    <w:rsid w:val="000D68B7"/>
    <w:rsid w:val="0010130F"/>
    <w:rsid w:val="00103737"/>
    <w:rsid w:val="001169A0"/>
    <w:rsid w:val="00123736"/>
    <w:rsid w:val="00125127"/>
    <w:rsid w:val="00130A62"/>
    <w:rsid w:val="001428CB"/>
    <w:rsid w:val="00146A0C"/>
    <w:rsid w:val="00150340"/>
    <w:rsid w:val="00151025"/>
    <w:rsid w:val="001531DC"/>
    <w:rsid w:val="001551F9"/>
    <w:rsid w:val="00162F14"/>
    <w:rsid w:val="0016794F"/>
    <w:rsid w:val="00170E9B"/>
    <w:rsid w:val="00190926"/>
    <w:rsid w:val="0019514B"/>
    <w:rsid w:val="00197312"/>
    <w:rsid w:val="001A7074"/>
    <w:rsid w:val="001A7588"/>
    <w:rsid w:val="001C4DB1"/>
    <w:rsid w:val="001C75B1"/>
    <w:rsid w:val="001C7C99"/>
    <w:rsid w:val="001D02CE"/>
    <w:rsid w:val="001D05BF"/>
    <w:rsid w:val="001D2779"/>
    <w:rsid w:val="001D4B2F"/>
    <w:rsid w:val="001E37C3"/>
    <w:rsid w:val="001E4997"/>
    <w:rsid w:val="001F7A8F"/>
    <w:rsid w:val="001F7E75"/>
    <w:rsid w:val="0020003C"/>
    <w:rsid w:val="002004A8"/>
    <w:rsid w:val="00206988"/>
    <w:rsid w:val="00210E2B"/>
    <w:rsid w:val="002128D5"/>
    <w:rsid w:val="00214A0B"/>
    <w:rsid w:val="00237F64"/>
    <w:rsid w:val="0024146F"/>
    <w:rsid w:val="00241BB2"/>
    <w:rsid w:val="0024470F"/>
    <w:rsid w:val="002536AA"/>
    <w:rsid w:val="00257006"/>
    <w:rsid w:val="00257BB5"/>
    <w:rsid w:val="00267F78"/>
    <w:rsid w:val="00277C0E"/>
    <w:rsid w:val="00285FA2"/>
    <w:rsid w:val="00293DA4"/>
    <w:rsid w:val="0029460E"/>
    <w:rsid w:val="00294AEE"/>
    <w:rsid w:val="00296F12"/>
    <w:rsid w:val="002A4112"/>
    <w:rsid w:val="002A590C"/>
    <w:rsid w:val="002B40DC"/>
    <w:rsid w:val="002B57B2"/>
    <w:rsid w:val="002D1AD7"/>
    <w:rsid w:val="002D3251"/>
    <w:rsid w:val="002D6AFC"/>
    <w:rsid w:val="003010FD"/>
    <w:rsid w:val="003114C7"/>
    <w:rsid w:val="00314C01"/>
    <w:rsid w:val="003172E9"/>
    <w:rsid w:val="0031730D"/>
    <w:rsid w:val="00321E7F"/>
    <w:rsid w:val="003300F3"/>
    <w:rsid w:val="00353C6B"/>
    <w:rsid w:val="00354D93"/>
    <w:rsid w:val="003567BC"/>
    <w:rsid w:val="0035756D"/>
    <w:rsid w:val="00380FBF"/>
    <w:rsid w:val="00382014"/>
    <w:rsid w:val="00382252"/>
    <w:rsid w:val="0038620C"/>
    <w:rsid w:val="0039056C"/>
    <w:rsid w:val="0039191B"/>
    <w:rsid w:val="0039750E"/>
    <w:rsid w:val="003A47D0"/>
    <w:rsid w:val="003A5806"/>
    <w:rsid w:val="003B0086"/>
    <w:rsid w:val="003B72B5"/>
    <w:rsid w:val="003C1E63"/>
    <w:rsid w:val="003C2B72"/>
    <w:rsid w:val="003E2F13"/>
    <w:rsid w:val="003E5045"/>
    <w:rsid w:val="00405774"/>
    <w:rsid w:val="0040702E"/>
    <w:rsid w:val="004228FD"/>
    <w:rsid w:val="00435C4B"/>
    <w:rsid w:val="00445B2A"/>
    <w:rsid w:val="00447856"/>
    <w:rsid w:val="00451A98"/>
    <w:rsid w:val="00462E4E"/>
    <w:rsid w:val="00466DCA"/>
    <w:rsid w:val="00471B2D"/>
    <w:rsid w:val="004728D2"/>
    <w:rsid w:val="00475A12"/>
    <w:rsid w:val="00494786"/>
    <w:rsid w:val="004A0E27"/>
    <w:rsid w:val="004A4914"/>
    <w:rsid w:val="004A658F"/>
    <w:rsid w:val="004B17F0"/>
    <w:rsid w:val="004D23B7"/>
    <w:rsid w:val="004D595A"/>
    <w:rsid w:val="004E40FA"/>
    <w:rsid w:val="004E4E2A"/>
    <w:rsid w:val="004E5746"/>
    <w:rsid w:val="004F1E91"/>
    <w:rsid w:val="004F48C0"/>
    <w:rsid w:val="005034E3"/>
    <w:rsid w:val="005059E6"/>
    <w:rsid w:val="00524F36"/>
    <w:rsid w:val="00525879"/>
    <w:rsid w:val="005415E7"/>
    <w:rsid w:val="00542708"/>
    <w:rsid w:val="00545A6D"/>
    <w:rsid w:val="00551CC4"/>
    <w:rsid w:val="005576BE"/>
    <w:rsid w:val="00560987"/>
    <w:rsid w:val="005614EB"/>
    <w:rsid w:val="00564ABE"/>
    <w:rsid w:val="00566A68"/>
    <w:rsid w:val="00573BB3"/>
    <w:rsid w:val="00575CF3"/>
    <w:rsid w:val="0057641D"/>
    <w:rsid w:val="00577F74"/>
    <w:rsid w:val="00590A9A"/>
    <w:rsid w:val="005A1155"/>
    <w:rsid w:val="005A6F11"/>
    <w:rsid w:val="005B0566"/>
    <w:rsid w:val="005C0AAD"/>
    <w:rsid w:val="005C5D86"/>
    <w:rsid w:val="005D0256"/>
    <w:rsid w:val="005D12C0"/>
    <w:rsid w:val="005D487C"/>
    <w:rsid w:val="005E5B03"/>
    <w:rsid w:val="005F04A2"/>
    <w:rsid w:val="005F7A38"/>
    <w:rsid w:val="005F7AC0"/>
    <w:rsid w:val="00607447"/>
    <w:rsid w:val="00622315"/>
    <w:rsid w:val="006304ED"/>
    <w:rsid w:val="00633B47"/>
    <w:rsid w:val="00641EB4"/>
    <w:rsid w:val="00642FDA"/>
    <w:rsid w:val="006432E0"/>
    <w:rsid w:val="00643590"/>
    <w:rsid w:val="00657E6F"/>
    <w:rsid w:val="006731FA"/>
    <w:rsid w:val="006811EA"/>
    <w:rsid w:val="006A3362"/>
    <w:rsid w:val="006A7FAC"/>
    <w:rsid w:val="006B0BF9"/>
    <w:rsid w:val="006B32B9"/>
    <w:rsid w:val="006C355C"/>
    <w:rsid w:val="006C786F"/>
    <w:rsid w:val="006D2223"/>
    <w:rsid w:val="00700E67"/>
    <w:rsid w:val="0070656B"/>
    <w:rsid w:val="00712AE3"/>
    <w:rsid w:val="00724D32"/>
    <w:rsid w:val="00735A90"/>
    <w:rsid w:val="00740531"/>
    <w:rsid w:val="00743874"/>
    <w:rsid w:val="00750140"/>
    <w:rsid w:val="00760D89"/>
    <w:rsid w:val="00761C7B"/>
    <w:rsid w:val="00765EB0"/>
    <w:rsid w:val="00772AC6"/>
    <w:rsid w:val="0077531B"/>
    <w:rsid w:val="007920E0"/>
    <w:rsid w:val="007967D8"/>
    <w:rsid w:val="007A06EE"/>
    <w:rsid w:val="007A35BD"/>
    <w:rsid w:val="007B2372"/>
    <w:rsid w:val="007B3F5A"/>
    <w:rsid w:val="007C0AF8"/>
    <w:rsid w:val="007C2C71"/>
    <w:rsid w:val="007C37BC"/>
    <w:rsid w:val="007C4331"/>
    <w:rsid w:val="007D3A35"/>
    <w:rsid w:val="007E3197"/>
    <w:rsid w:val="007E7526"/>
    <w:rsid w:val="007F0F4A"/>
    <w:rsid w:val="007F3C27"/>
    <w:rsid w:val="007F63A3"/>
    <w:rsid w:val="008178BE"/>
    <w:rsid w:val="00825A22"/>
    <w:rsid w:val="00847F52"/>
    <w:rsid w:val="00850E27"/>
    <w:rsid w:val="00851E45"/>
    <w:rsid w:val="00852918"/>
    <w:rsid w:val="00855737"/>
    <w:rsid w:val="00865C9E"/>
    <w:rsid w:val="0087371E"/>
    <w:rsid w:val="008741CB"/>
    <w:rsid w:val="00897223"/>
    <w:rsid w:val="008A0466"/>
    <w:rsid w:val="008A770B"/>
    <w:rsid w:val="008B59F4"/>
    <w:rsid w:val="008B7B5C"/>
    <w:rsid w:val="008D17CA"/>
    <w:rsid w:val="008D63B6"/>
    <w:rsid w:val="008E2222"/>
    <w:rsid w:val="008E756B"/>
    <w:rsid w:val="008F6A6C"/>
    <w:rsid w:val="009030FD"/>
    <w:rsid w:val="00903DA7"/>
    <w:rsid w:val="00906EA2"/>
    <w:rsid w:val="00925D47"/>
    <w:rsid w:val="00932BC5"/>
    <w:rsid w:val="00947B12"/>
    <w:rsid w:val="00962684"/>
    <w:rsid w:val="0097041F"/>
    <w:rsid w:val="00971A10"/>
    <w:rsid w:val="00973652"/>
    <w:rsid w:val="00977917"/>
    <w:rsid w:val="0098053D"/>
    <w:rsid w:val="0098286B"/>
    <w:rsid w:val="00982D7A"/>
    <w:rsid w:val="00984849"/>
    <w:rsid w:val="009A1448"/>
    <w:rsid w:val="009A39FA"/>
    <w:rsid w:val="009A49E6"/>
    <w:rsid w:val="009A7C23"/>
    <w:rsid w:val="009B04F2"/>
    <w:rsid w:val="009B474D"/>
    <w:rsid w:val="009D62EF"/>
    <w:rsid w:val="009F3B2A"/>
    <w:rsid w:val="00A06448"/>
    <w:rsid w:val="00A12861"/>
    <w:rsid w:val="00A16608"/>
    <w:rsid w:val="00A20AE4"/>
    <w:rsid w:val="00A20D95"/>
    <w:rsid w:val="00A2251A"/>
    <w:rsid w:val="00A30575"/>
    <w:rsid w:val="00A535E8"/>
    <w:rsid w:val="00A541A7"/>
    <w:rsid w:val="00A63DF2"/>
    <w:rsid w:val="00A64E2A"/>
    <w:rsid w:val="00A77D62"/>
    <w:rsid w:val="00A87071"/>
    <w:rsid w:val="00A94DDA"/>
    <w:rsid w:val="00A96646"/>
    <w:rsid w:val="00A97253"/>
    <w:rsid w:val="00AA0A54"/>
    <w:rsid w:val="00AA12B8"/>
    <w:rsid w:val="00AA4C14"/>
    <w:rsid w:val="00AB098F"/>
    <w:rsid w:val="00AC1A63"/>
    <w:rsid w:val="00AC413C"/>
    <w:rsid w:val="00AD5CD7"/>
    <w:rsid w:val="00AE104A"/>
    <w:rsid w:val="00AE398C"/>
    <w:rsid w:val="00AE7B08"/>
    <w:rsid w:val="00B04F28"/>
    <w:rsid w:val="00B21442"/>
    <w:rsid w:val="00B36336"/>
    <w:rsid w:val="00B44144"/>
    <w:rsid w:val="00B533E9"/>
    <w:rsid w:val="00B64EC5"/>
    <w:rsid w:val="00B70837"/>
    <w:rsid w:val="00B86580"/>
    <w:rsid w:val="00BB1635"/>
    <w:rsid w:val="00BB3C17"/>
    <w:rsid w:val="00BC307C"/>
    <w:rsid w:val="00BC3498"/>
    <w:rsid w:val="00BD3979"/>
    <w:rsid w:val="00BE3612"/>
    <w:rsid w:val="00BE621E"/>
    <w:rsid w:val="00BE7213"/>
    <w:rsid w:val="00BF068C"/>
    <w:rsid w:val="00BF1B26"/>
    <w:rsid w:val="00BF1F56"/>
    <w:rsid w:val="00BF2E66"/>
    <w:rsid w:val="00BF5E8B"/>
    <w:rsid w:val="00C0079E"/>
    <w:rsid w:val="00C02C26"/>
    <w:rsid w:val="00C10C23"/>
    <w:rsid w:val="00C33E09"/>
    <w:rsid w:val="00C3598F"/>
    <w:rsid w:val="00C5139F"/>
    <w:rsid w:val="00C54829"/>
    <w:rsid w:val="00C71267"/>
    <w:rsid w:val="00C96746"/>
    <w:rsid w:val="00CA70E9"/>
    <w:rsid w:val="00CB2964"/>
    <w:rsid w:val="00CC0BE7"/>
    <w:rsid w:val="00CC29D2"/>
    <w:rsid w:val="00CD4C46"/>
    <w:rsid w:val="00CD7C3D"/>
    <w:rsid w:val="00CE2BDA"/>
    <w:rsid w:val="00CE36CA"/>
    <w:rsid w:val="00CF3EFD"/>
    <w:rsid w:val="00CF5162"/>
    <w:rsid w:val="00D05E9D"/>
    <w:rsid w:val="00D07199"/>
    <w:rsid w:val="00D1779B"/>
    <w:rsid w:val="00D200F8"/>
    <w:rsid w:val="00D30428"/>
    <w:rsid w:val="00D36164"/>
    <w:rsid w:val="00D366E5"/>
    <w:rsid w:val="00D77318"/>
    <w:rsid w:val="00D86DA2"/>
    <w:rsid w:val="00DA0156"/>
    <w:rsid w:val="00DA0E25"/>
    <w:rsid w:val="00DA3939"/>
    <w:rsid w:val="00DB04AE"/>
    <w:rsid w:val="00DB4A05"/>
    <w:rsid w:val="00DB4C0E"/>
    <w:rsid w:val="00DB749C"/>
    <w:rsid w:val="00DC4A8F"/>
    <w:rsid w:val="00DE16C9"/>
    <w:rsid w:val="00E03481"/>
    <w:rsid w:val="00E05428"/>
    <w:rsid w:val="00E10E32"/>
    <w:rsid w:val="00E1128D"/>
    <w:rsid w:val="00E12D71"/>
    <w:rsid w:val="00E24EF6"/>
    <w:rsid w:val="00E45AE4"/>
    <w:rsid w:val="00E45D43"/>
    <w:rsid w:val="00E6755E"/>
    <w:rsid w:val="00E71BD5"/>
    <w:rsid w:val="00E72CDC"/>
    <w:rsid w:val="00E72FDE"/>
    <w:rsid w:val="00E83C78"/>
    <w:rsid w:val="00E9192A"/>
    <w:rsid w:val="00EA13D0"/>
    <w:rsid w:val="00EA2C65"/>
    <w:rsid w:val="00EB3BFE"/>
    <w:rsid w:val="00EB5C4B"/>
    <w:rsid w:val="00ED0C4B"/>
    <w:rsid w:val="00ED7F7C"/>
    <w:rsid w:val="00EE02E2"/>
    <w:rsid w:val="00EE2D33"/>
    <w:rsid w:val="00EE4B3B"/>
    <w:rsid w:val="00F07D93"/>
    <w:rsid w:val="00F1716F"/>
    <w:rsid w:val="00F221AB"/>
    <w:rsid w:val="00F30FBD"/>
    <w:rsid w:val="00F334CF"/>
    <w:rsid w:val="00F40823"/>
    <w:rsid w:val="00F41ACE"/>
    <w:rsid w:val="00F46A1B"/>
    <w:rsid w:val="00F479C0"/>
    <w:rsid w:val="00F523AC"/>
    <w:rsid w:val="00F5649D"/>
    <w:rsid w:val="00F61DED"/>
    <w:rsid w:val="00F770C4"/>
    <w:rsid w:val="00F91935"/>
    <w:rsid w:val="00F9654B"/>
    <w:rsid w:val="00FA24C3"/>
    <w:rsid w:val="00FB04F8"/>
    <w:rsid w:val="00FB7869"/>
    <w:rsid w:val="00FC19C2"/>
    <w:rsid w:val="00FD355E"/>
    <w:rsid w:val="00FD5E31"/>
    <w:rsid w:val="00FD6414"/>
    <w:rsid w:val="00FD7C9A"/>
    <w:rsid w:val="00FF09C3"/>
    <w:rsid w:val="00FF328A"/>
    <w:rsid w:val="00FF6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DE21"/>
  <w15:docId w15:val="{982D2C95-D26F-4619-A5F2-C85318E0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rPr>
  </w:style>
  <w:style w:type="paragraph" w:styleId="Sangradetextonormal">
    <w:name w:val="Body Text Indent"/>
    <w:basedOn w:val="Normal"/>
    <w:pPr>
      <w:ind w:left="1620" w:hanging="204"/>
      <w:jc w:val="both"/>
    </w:pPr>
    <w:rPr>
      <w:rFonts w:ascii="Arial" w:hAnsi="Arial"/>
    </w:rPr>
  </w:style>
  <w:style w:type="paragraph" w:customStyle="1" w:styleId="c5">
    <w:name w:val="c5"/>
    <w:basedOn w:val="Normal"/>
    <w:pPr>
      <w:autoSpaceDE w:val="0"/>
      <w:autoSpaceDN w:val="0"/>
      <w:spacing w:line="240" w:lineRule="atLeast"/>
      <w:jc w:val="center"/>
    </w:pPr>
  </w:style>
  <w:style w:type="paragraph" w:customStyle="1" w:styleId="p3">
    <w:name w:val="p3"/>
    <w:basedOn w:val="Normal"/>
    <w:pPr>
      <w:widowControl w:val="0"/>
      <w:tabs>
        <w:tab w:val="left" w:pos="204"/>
      </w:tabs>
      <w:autoSpaceDE w:val="0"/>
      <w:autoSpaceDN w:val="0"/>
      <w:adjustRightInd w:val="0"/>
      <w:spacing w:line="240" w:lineRule="atLeast"/>
      <w:jc w:val="both"/>
    </w:pPr>
    <w:rPr>
      <w:lang w:val="en-US"/>
    </w:rPr>
  </w:style>
  <w:style w:type="paragraph" w:customStyle="1" w:styleId="c4">
    <w:name w:val="c4"/>
    <w:basedOn w:val="Normal"/>
    <w:pPr>
      <w:widowControl w:val="0"/>
      <w:autoSpaceDE w:val="0"/>
      <w:autoSpaceDN w:val="0"/>
      <w:adjustRightInd w:val="0"/>
      <w:spacing w:line="240" w:lineRule="atLeast"/>
      <w:jc w:val="center"/>
    </w:pPr>
    <w:rPr>
      <w:lang w:val="en-US"/>
    </w:rPr>
  </w:style>
  <w:style w:type="paragraph" w:customStyle="1" w:styleId="p6">
    <w:name w:val="p6"/>
    <w:basedOn w:val="Normal"/>
    <w:pPr>
      <w:widowControl w:val="0"/>
      <w:tabs>
        <w:tab w:val="left" w:pos="1479"/>
      </w:tabs>
      <w:autoSpaceDE w:val="0"/>
      <w:autoSpaceDN w:val="0"/>
      <w:adjustRightInd w:val="0"/>
      <w:spacing w:line="266" w:lineRule="atLeast"/>
      <w:ind w:left="555"/>
      <w:jc w:val="both"/>
    </w:pPr>
    <w:rPr>
      <w:lang w:val="en-US"/>
    </w:rPr>
  </w:style>
  <w:style w:type="paragraph" w:customStyle="1" w:styleId="p2">
    <w:name w:val="p2"/>
    <w:basedOn w:val="Normal"/>
    <w:pPr>
      <w:widowControl w:val="0"/>
      <w:tabs>
        <w:tab w:val="left" w:pos="170"/>
      </w:tabs>
      <w:autoSpaceDE w:val="0"/>
      <w:autoSpaceDN w:val="0"/>
      <w:adjustRightInd w:val="0"/>
      <w:spacing w:line="240" w:lineRule="atLeast"/>
      <w:ind w:left="754"/>
      <w:jc w:val="both"/>
    </w:pPr>
    <w:rPr>
      <w:lang w:val="en-US"/>
    </w:rPr>
  </w:style>
  <w:style w:type="paragraph" w:customStyle="1" w:styleId="p1">
    <w:name w:val="p1"/>
    <w:basedOn w:val="Normal"/>
    <w:pPr>
      <w:widowControl w:val="0"/>
      <w:tabs>
        <w:tab w:val="left" w:pos="266"/>
      </w:tabs>
      <w:autoSpaceDE w:val="0"/>
      <w:autoSpaceDN w:val="0"/>
      <w:adjustRightInd w:val="0"/>
      <w:spacing w:line="240" w:lineRule="atLeast"/>
      <w:ind w:left="658"/>
      <w:jc w:val="both"/>
    </w:pPr>
    <w:rPr>
      <w:lang w:val="en-US"/>
    </w:rPr>
  </w:style>
  <w:style w:type="paragraph" w:customStyle="1" w:styleId="p7">
    <w:name w:val="p7"/>
    <w:basedOn w:val="Normal"/>
    <w:pPr>
      <w:widowControl w:val="0"/>
      <w:tabs>
        <w:tab w:val="left" w:pos="1286"/>
      </w:tabs>
      <w:autoSpaceDE w:val="0"/>
      <w:autoSpaceDN w:val="0"/>
      <w:adjustRightInd w:val="0"/>
      <w:spacing w:line="260" w:lineRule="atLeast"/>
      <w:ind w:left="176"/>
    </w:pPr>
    <w:rPr>
      <w:lang w:val="en-US"/>
    </w:rPr>
  </w:style>
  <w:style w:type="paragraph" w:customStyle="1" w:styleId="p5">
    <w:name w:val="p5"/>
    <w:basedOn w:val="Normal"/>
    <w:pPr>
      <w:widowControl w:val="0"/>
      <w:tabs>
        <w:tab w:val="left" w:pos="328"/>
        <w:tab w:val="left" w:pos="668"/>
      </w:tabs>
      <w:autoSpaceDE w:val="0"/>
      <w:autoSpaceDN w:val="0"/>
      <w:adjustRightInd w:val="0"/>
      <w:spacing w:line="260" w:lineRule="atLeast"/>
      <w:ind w:left="617" w:hanging="340"/>
    </w:pPr>
    <w:rPr>
      <w:lang w:val="en-US"/>
    </w:rPr>
  </w:style>
  <w:style w:type="paragraph" w:customStyle="1" w:styleId="p11">
    <w:name w:val="p11"/>
    <w:basedOn w:val="Normal"/>
    <w:pPr>
      <w:widowControl w:val="0"/>
      <w:tabs>
        <w:tab w:val="left" w:pos="2029"/>
      </w:tabs>
      <w:autoSpaceDE w:val="0"/>
      <w:autoSpaceDN w:val="0"/>
      <w:adjustRightInd w:val="0"/>
      <w:spacing w:line="260" w:lineRule="atLeast"/>
      <w:ind w:left="1628"/>
    </w:pPr>
    <w:rPr>
      <w:lang w:val="en-US"/>
    </w:rPr>
  </w:style>
  <w:style w:type="paragraph" w:styleId="Textodeglobo">
    <w:name w:val="Balloon Text"/>
    <w:basedOn w:val="Normal"/>
    <w:link w:val="TextodegloboCar"/>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color w:val="000000"/>
      <w:sz w:val="16"/>
      <w:szCs w:val="16"/>
    </w:rPr>
  </w:style>
  <w:style w:type="paragraph" w:styleId="Textosinformato">
    <w:name w:val="Plain Text"/>
    <w:basedOn w:val="Normal"/>
    <w:rPr>
      <w:rFonts w:ascii="Arial" w:hAnsi="Arial" w:cs="Arial"/>
    </w:rPr>
  </w:style>
  <w:style w:type="paragraph" w:styleId="Prrafodelista">
    <w:name w:val="List Paragraph"/>
    <w:aliases w:val="Segundo nivel de viñetas"/>
    <w:basedOn w:val="Normal"/>
    <w:qFormat/>
    <w:pPr>
      <w:ind w:left="720"/>
      <w:contextualSpacing/>
    </w:pPr>
    <w:rPr>
      <w:rFonts w:ascii="Arial" w:hAnsi="Arial"/>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rPr>
      <w:lang w:val="es-ES" w:eastAsia="es-ES"/>
    </w:rPr>
  </w:style>
  <w:style w:type="character" w:styleId="Refdenotaalpie">
    <w:name w:val="footnote reference"/>
    <w:uiPriority w:val="99"/>
    <w:rPr>
      <w:vertAlign w:val="superscript"/>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lang w:eastAsia="es-CO"/>
    </w:rPr>
  </w:style>
  <w:style w:type="paragraph" w:customStyle="1" w:styleId="Cuerpo">
    <w:name w:val="Cuerpo"/>
    <w:pPr>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link w:val="Textocomentario"/>
    <w:uiPriority w:val="99"/>
    <w:rPr>
      <w:lang w:val="es-ES" w:eastAsia="es-ES"/>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link w:val="Asuntodelcomentario"/>
    <w:rPr>
      <w:b/>
      <w:bCs/>
      <w:lang w:val="es-ES" w:eastAsia="es-ES"/>
    </w:rPr>
  </w:style>
  <w:style w:type="table" w:styleId="Tablaconcuadrcula">
    <w:name w:val="Table Grid"/>
    <w:basedOn w:val="Tabla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 w:type="table" w:customStyle="1" w:styleId="Tabladelista6concolores-nfasis61">
    <w:name w:val="Tabla de lista 6 con colores - Énfasis 61"/>
    <w:basedOn w:val="Tablanormal"/>
    <w:uiPriority w:val="51"/>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pPr>
      <w:spacing w:after="200"/>
    </w:pPr>
    <w:rPr>
      <w:b/>
      <w:bCs/>
      <w:color w:val="5B9BD5" w:themeColor="accent1"/>
      <w:sz w:val="18"/>
      <w:szCs w:val="18"/>
      <w:lang w:val="es-CO"/>
    </w:rPr>
  </w:style>
  <w:style w:type="paragraph" w:styleId="Revisin">
    <w:name w:val="Revision"/>
    <w:hidden/>
    <w:uiPriority w:val="99"/>
    <w:semiHidden/>
    <w:rPr>
      <w:sz w:val="24"/>
      <w:szCs w:val="24"/>
      <w:lang w:val="es-ES" w:eastAsia="es-ES"/>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5B9BD5" w:themeColor="accent1"/>
      <w:sz w:val="24"/>
      <w:szCs w:val="24"/>
      <w:lang w:val="es-ES_tradnl" w:eastAsia="es-ES"/>
    </w:rPr>
  </w:style>
  <w:style w:type="paragraph" w:styleId="Ttulo">
    <w:name w:val="Title"/>
    <w:basedOn w:val="Normal"/>
    <w:next w:val="Normal"/>
    <w:link w:val="TtuloC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s-ES_tradnl"/>
    </w:rPr>
  </w:style>
  <w:style w:type="character" w:customStyle="1" w:styleId="TtuloCar">
    <w:name w:val="Título Car"/>
    <w:basedOn w:val="Fuentedeprrafopredeter"/>
    <w:link w:val="Ttulo"/>
    <w:uiPriority w:val="10"/>
    <w:rPr>
      <w:rFonts w:asciiTheme="majorHAnsi" w:eastAsiaTheme="majorEastAsia" w:hAnsiTheme="majorHAnsi" w:cstheme="majorBidi"/>
      <w:color w:val="323E4F" w:themeColor="text2" w:themeShade="BF"/>
      <w:spacing w:val="5"/>
      <w:kern w:val="28"/>
      <w:sz w:val="52"/>
      <w:szCs w:val="52"/>
      <w:lang w:val="es-ES_tradnl" w:eastAsia="es-ES"/>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eastAsia="es-ES"/>
    </w:rPr>
  </w:style>
  <w:style w:type="paragraph" w:styleId="TDC1">
    <w:name w:val="toc 1"/>
    <w:basedOn w:val="Normal"/>
    <w:next w:val="Normal"/>
    <w:autoRedefine/>
    <w:uiPriority w:val="39"/>
    <w:unhideWhenUsed/>
    <w:pPr>
      <w:spacing w:before="360"/>
    </w:pPr>
    <w:rPr>
      <w:rFonts w:asciiTheme="majorHAnsi" w:eastAsiaTheme="minorEastAsia" w:hAnsiTheme="majorHAnsi" w:cstheme="minorBidi"/>
      <w:b/>
      <w:caps/>
      <w:lang w:val="es-ES_tradnl"/>
    </w:rPr>
  </w:style>
  <w:style w:type="paragraph" w:styleId="TDC2">
    <w:name w:val="toc 2"/>
    <w:basedOn w:val="Normal"/>
    <w:next w:val="Normal"/>
    <w:autoRedefine/>
    <w:uiPriority w:val="39"/>
    <w:unhideWhenUsed/>
    <w:pPr>
      <w:spacing w:before="240"/>
    </w:pPr>
    <w:rPr>
      <w:rFonts w:asciiTheme="minorHAnsi" w:eastAsiaTheme="minorEastAsia" w:hAnsiTheme="minorHAnsi" w:cstheme="minorBidi"/>
      <w:b/>
      <w:sz w:val="20"/>
      <w:szCs w:val="20"/>
      <w:lang w:val="es-ES_tradnl"/>
    </w:rPr>
  </w:style>
  <w:style w:type="paragraph" w:styleId="TDC3">
    <w:name w:val="toc 3"/>
    <w:basedOn w:val="Normal"/>
    <w:next w:val="Normal"/>
    <w:autoRedefine/>
    <w:uiPriority w:val="39"/>
    <w:unhideWhenUsed/>
    <w:pPr>
      <w:ind w:left="240"/>
    </w:pPr>
    <w:rPr>
      <w:rFonts w:asciiTheme="minorHAnsi" w:eastAsiaTheme="minorEastAsia" w:hAnsiTheme="minorHAnsi" w:cstheme="minorBidi"/>
      <w:sz w:val="20"/>
      <w:szCs w:val="20"/>
      <w:lang w:val="es-ES_tradnl"/>
    </w:rPr>
  </w:style>
  <w:style w:type="paragraph" w:styleId="TDC4">
    <w:name w:val="toc 4"/>
    <w:basedOn w:val="Normal"/>
    <w:next w:val="Normal"/>
    <w:autoRedefine/>
    <w:uiPriority w:val="39"/>
    <w:unhideWhenUsed/>
    <w:pPr>
      <w:ind w:left="480"/>
    </w:pPr>
    <w:rPr>
      <w:rFonts w:asciiTheme="minorHAnsi" w:eastAsiaTheme="minorEastAsia" w:hAnsiTheme="minorHAnsi" w:cstheme="minorBidi"/>
      <w:sz w:val="20"/>
      <w:szCs w:val="20"/>
      <w:lang w:val="es-ES_tradnl"/>
    </w:rPr>
  </w:style>
  <w:style w:type="paragraph" w:styleId="TDC5">
    <w:name w:val="toc 5"/>
    <w:basedOn w:val="Normal"/>
    <w:next w:val="Normal"/>
    <w:autoRedefine/>
    <w:uiPriority w:val="39"/>
    <w:unhideWhenUsed/>
    <w:pPr>
      <w:ind w:left="720"/>
    </w:pPr>
    <w:rPr>
      <w:rFonts w:asciiTheme="minorHAnsi" w:eastAsiaTheme="minorEastAsia" w:hAnsiTheme="minorHAnsi" w:cstheme="minorBidi"/>
      <w:sz w:val="20"/>
      <w:szCs w:val="20"/>
      <w:lang w:val="es-ES_tradnl"/>
    </w:rPr>
  </w:style>
  <w:style w:type="paragraph" w:styleId="TDC6">
    <w:name w:val="toc 6"/>
    <w:basedOn w:val="Normal"/>
    <w:next w:val="Normal"/>
    <w:autoRedefine/>
    <w:uiPriority w:val="39"/>
    <w:unhideWhenUsed/>
    <w:pPr>
      <w:ind w:left="960"/>
    </w:pPr>
    <w:rPr>
      <w:rFonts w:asciiTheme="minorHAnsi" w:eastAsiaTheme="minorEastAsia" w:hAnsiTheme="minorHAnsi" w:cstheme="minorBidi"/>
      <w:sz w:val="20"/>
      <w:szCs w:val="20"/>
      <w:lang w:val="es-ES_tradnl"/>
    </w:rPr>
  </w:style>
  <w:style w:type="paragraph" w:styleId="TDC7">
    <w:name w:val="toc 7"/>
    <w:basedOn w:val="Normal"/>
    <w:next w:val="Normal"/>
    <w:autoRedefine/>
    <w:uiPriority w:val="39"/>
    <w:unhideWhenUsed/>
    <w:pPr>
      <w:ind w:left="1200"/>
    </w:pPr>
    <w:rPr>
      <w:rFonts w:asciiTheme="minorHAnsi" w:eastAsiaTheme="minorEastAsia" w:hAnsiTheme="minorHAnsi" w:cstheme="minorBidi"/>
      <w:sz w:val="20"/>
      <w:szCs w:val="20"/>
      <w:lang w:val="es-ES_tradnl"/>
    </w:rPr>
  </w:style>
  <w:style w:type="paragraph" w:styleId="TDC8">
    <w:name w:val="toc 8"/>
    <w:basedOn w:val="Normal"/>
    <w:next w:val="Normal"/>
    <w:autoRedefine/>
    <w:uiPriority w:val="39"/>
    <w:unhideWhenUsed/>
    <w:pPr>
      <w:ind w:left="1440"/>
    </w:pPr>
    <w:rPr>
      <w:rFonts w:asciiTheme="minorHAnsi" w:eastAsiaTheme="minorEastAsia" w:hAnsiTheme="minorHAnsi" w:cstheme="minorBidi"/>
      <w:sz w:val="20"/>
      <w:szCs w:val="20"/>
      <w:lang w:val="es-ES_tradnl"/>
    </w:rPr>
  </w:style>
  <w:style w:type="paragraph" w:styleId="TDC9">
    <w:name w:val="toc 9"/>
    <w:basedOn w:val="Normal"/>
    <w:next w:val="Normal"/>
    <w:autoRedefine/>
    <w:uiPriority w:val="39"/>
    <w:unhideWhenUsed/>
    <w:pPr>
      <w:ind w:left="1680"/>
    </w:pPr>
    <w:rPr>
      <w:rFonts w:asciiTheme="minorHAnsi" w:eastAsiaTheme="minorEastAsia" w:hAnsiTheme="minorHAnsi" w:cstheme="minorBidi"/>
      <w:sz w:val="20"/>
      <w:szCs w:val="20"/>
      <w:lang w:val="es-ES_tradnl"/>
    </w:rPr>
  </w:style>
  <w:style w:type="paragraph" w:styleId="Tabladeilustraciones">
    <w:name w:val="table of figures"/>
    <w:basedOn w:val="Normal"/>
    <w:next w:val="Normal"/>
    <w:uiPriority w:val="99"/>
    <w:unhideWhenUsed/>
    <w:rPr>
      <w:rFonts w:asciiTheme="minorHAnsi" w:eastAsiaTheme="minorEastAsia" w:hAnsiTheme="minorHAnsi" w:cstheme="minorBidi"/>
      <w:i/>
      <w:sz w:val="20"/>
      <w:szCs w:val="20"/>
      <w:lang w:val="es-ES_tradnl"/>
    </w:rPr>
  </w:style>
  <w:style w:type="paragraph" w:styleId="Bibliografa">
    <w:name w:val="Bibliography"/>
    <w:basedOn w:val="Normal"/>
    <w:next w:val="Normal"/>
    <w:uiPriority w:val="37"/>
    <w:unhideWhenUsed/>
    <w:rPr>
      <w:rFonts w:asciiTheme="minorHAnsi" w:eastAsiaTheme="minorEastAsia" w:hAnsiTheme="minorHAnsi" w:cstheme="minorBidi"/>
      <w:lang w:val="es-ES_tradnl"/>
    </w:rPr>
  </w:style>
  <w:style w:type="paragraph" w:styleId="Encabezado">
    <w:name w:val="header"/>
    <w:basedOn w:val="Normal"/>
    <w:link w:val="EncabezadoCar"/>
    <w:uiPriority w:val="99"/>
    <w:semiHidden/>
    <w:unhideWhenUsed/>
    <w:pPr>
      <w:tabs>
        <w:tab w:val="center" w:pos="4419"/>
        <w:tab w:val="right" w:pos="8838"/>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uiPriority w:val="99"/>
    <w:semiHidden/>
    <w:rPr>
      <w:rFonts w:asciiTheme="minorHAnsi" w:eastAsiaTheme="minorEastAsia" w:hAnsiTheme="minorHAnsi" w:cstheme="minorBidi"/>
      <w:sz w:val="24"/>
      <w:szCs w:val="24"/>
      <w:lang w:val="es-ES_tradnl" w:eastAsia="es-ES"/>
    </w:rPr>
  </w:style>
  <w:style w:type="paragraph" w:styleId="Piedepgina">
    <w:name w:val="footer"/>
    <w:basedOn w:val="Normal"/>
    <w:link w:val="PiedepginaCar"/>
    <w:uiPriority w:val="99"/>
    <w:semiHidden/>
    <w:unhideWhenUsed/>
    <w:pPr>
      <w:tabs>
        <w:tab w:val="center" w:pos="4419"/>
        <w:tab w:val="right" w:pos="8838"/>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semiHidden/>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rPr>
      <w:rFonts w:ascii="Arial" w:hAnsi="Arial" w:cs="Arial"/>
      <w:sz w:val="24"/>
      <w:szCs w:val="24"/>
      <w:lang w:val="es-ES" w:eastAsia="es-ES"/>
    </w:rPr>
  </w:style>
  <w:style w:type="paragraph" w:customStyle="1" w:styleId="CM11">
    <w:name w:val="CM11"/>
    <w:basedOn w:val="Default"/>
    <w:next w:val="Default"/>
    <w:uiPriority w:val="99"/>
    <w:pPr>
      <w:spacing w:line="278" w:lineRule="atLeast"/>
    </w:pPr>
    <w:rPr>
      <w:rFonts w:eastAsiaTheme="minorHAnsi"/>
      <w:color w:val="auto"/>
      <w:lang w:eastAsia="en-US"/>
    </w:rPr>
  </w:style>
  <w:style w:type="character" w:styleId="nfasis">
    <w:name w:val="Emphasis"/>
    <w:basedOn w:val="Fuentedeprrafopredeter"/>
    <w:qFormat/>
    <w:rPr>
      <w:i/>
      <w:iCs/>
    </w:rPr>
  </w:style>
  <w:style w:type="paragraph" w:customStyle="1" w:styleId="CM45">
    <w:name w:val="CM45"/>
    <w:basedOn w:val="Default"/>
    <w:next w:val="Default"/>
    <w:uiPriority w:val="99"/>
    <w:rsid w:val="004057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6022">
      <w:bodyDiv w:val="1"/>
      <w:marLeft w:val="0"/>
      <w:marRight w:val="0"/>
      <w:marTop w:val="0"/>
      <w:marBottom w:val="0"/>
      <w:divBdr>
        <w:top w:val="none" w:sz="0" w:space="0" w:color="auto"/>
        <w:left w:val="none" w:sz="0" w:space="0" w:color="auto"/>
        <w:bottom w:val="none" w:sz="0" w:space="0" w:color="auto"/>
        <w:right w:val="none" w:sz="0" w:space="0" w:color="auto"/>
      </w:divBdr>
    </w:div>
    <w:div w:id="111099079">
      <w:bodyDiv w:val="1"/>
      <w:marLeft w:val="0"/>
      <w:marRight w:val="0"/>
      <w:marTop w:val="0"/>
      <w:marBottom w:val="0"/>
      <w:divBdr>
        <w:top w:val="none" w:sz="0" w:space="0" w:color="auto"/>
        <w:left w:val="none" w:sz="0" w:space="0" w:color="auto"/>
        <w:bottom w:val="none" w:sz="0" w:space="0" w:color="auto"/>
        <w:right w:val="none" w:sz="0" w:space="0" w:color="auto"/>
      </w:divBdr>
    </w:div>
    <w:div w:id="318967317">
      <w:bodyDiv w:val="1"/>
      <w:marLeft w:val="0"/>
      <w:marRight w:val="0"/>
      <w:marTop w:val="0"/>
      <w:marBottom w:val="0"/>
      <w:divBdr>
        <w:top w:val="none" w:sz="0" w:space="0" w:color="auto"/>
        <w:left w:val="none" w:sz="0" w:space="0" w:color="auto"/>
        <w:bottom w:val="none" w:sz="0" w:space="0" w:color="auto"/>
        <w:right w:val="none" w:sz="0" w:space="0" w:color="auto"/>
      </w:divBdr>
    </w:div>
    <w:div w:id="432823865">
      <w:bodyDiv w:val="1"/>
      <w:marLeft w:val="0"/>
      <w:marRight w:val="0"/>
      <w:marTop w:val="0"/>
      <w:marBottom w:val="0"/>
      <w:divBdr>
        <w:top w:val="none" w:sz="0" w:space="0" w:color="auto"/>
        <w:left w:val="none" w:sz="0" w:space="0" w:color="auto"/>
        <w:bottom w:val="none" w:sz="0" w:space="0" w:color="auto"/>
        <w:right w:val="none" w:sz="0" w:space="0" w:color="auto"/>
      </w:divBdr>
    </w:div>
    <w:div w:id="719279841">
      <w:bodyDiv w:val="1"/>
      <w:marLeft w:val="0"/>
      <w:marRight w:val="0"/>
      <w:marTop w:val="0"/>
      <w:marBottom w:val="0"/>
      <w:divBdr>
        <w:top w:val="none" w:sz="0" w:space="0" w:color="auto"/>
        <w:left w:val="none" w:sz="0" w:space="0" w:color="auto"/>
        <w:bottom w:val="none" w:sz="0" w:space="0" w:color="auto"/>
        <w:right w:val="none" w:sz="0" w:space="0" w:color="auto"/>
      </w:divBdr>
    </w:div>
    <w:div w:id="755908398">
      <w:bodyDiv w:val="1"/>
      <w:marLeft w:val="0"/>
      <w:marRight w:val="0"/>
      <w:marTop w:val="0"/>
      <w:marBottom w:val="0"/>
      <w:divBdr>
        <w:top w:val="none" w:sz="0" w:space="0" w:color="auto"/>
        <w:left w:val="none" w:sz="0" w:space="0" w:color="auto"/>
        <w:bottom w:val="none" w:sz="0" w:space="0" w:color="auto"/>
        <w:right w:val="none" w:sz="0" w:space="0" w:color="auto"/>
      </w:divBdr>
    </w:div>
    <w:div w:id="881206685">
      <w:bodyDiv w:val="1"/>
      <w:marLeft w:val="0"/>
      <w:marRight w:val="0"/>
      <w:marTop w:val="0"/>
      <w:marBottom w:val="0"/>
      <w:divBdr>
        <w:top w:val="none" w:sz="0" w:space="0" w:color="auto"/>
        <w:left w:val="none" w:sz="0" w:space="0" w:color="auto"/>
        <w:bottom w:val="none" w:sz="0" w:space="0" w:color="auto"/>
        <w:right w:val="none" w:sz="0" w:space="0" w:color="auto"/>
      </w:divBdr>
    </w:div>
    <w:div w:id="929508315">
      <w:bodyDiv w:val="1"/>
      <w:marLeft w:val="0"/>
      <w:marRight w:val="0"/>
      <w:marTop w:val="0"/>
      <w:marBottom w:val="0"/>
      <w:divBdr>
        <w:top w:val="none" w:sz="0" w:space="0" w:color="auto"/>
        <w:left w:val="none" w:sz="0" w:space="0" w:color="auto"/>
        <w:bottom w:val="none" w:sz="0" w:space="0" w:color="auto"/>
        <w:right w:val="none" w:sz="0" w:space="0" w:color="auto"/>
      </w:divBdr>
    </w:div>
    <w:div w:id="1051223208">
      <w:bodyDiv w:val="1"/>
      <w:marLeft w:val="0"/>
      <w:marRight w:val="0"/>
      <w:marTop w:val="0"/>
      <w:marBottom w:val="0"/>
      <w:divBdr>
        <w:top w:val="none" w:sz="0" w:space="0" w:color="auto"/>
        <w:left w:val="none" w:sz="0" w:space="0" w:color="auto"/>
        <w:bottom w:val="none" w:sz="0" w:space="0" w:color="auto"/>
        <w:right w:val="none" w:sz="0" w:space="0" w:color="auto"/>
      </w:divBdr>
    </w:div>
    <w:div w:id="1190140263">
      <w:bodyDiv w:val="1"/>
      <w:marLeft w:val="0"/>
      <w:marRight w:val="0"/>
      <w:marTop w:val="0"/>
      <w:marBottom w:val="0"/>
      <w:divBdr>
        <w:top w:val="none" w:sz="0" w:space="0" w:color="auto"/>
        <w:left w:val="none" w:sz="0" w:space="0" w:color="auto"/>
        <w:bottom w:val="none" w:sz="0" w:space="0" w:color="auto"/>
        <w:right w:val="none" w:sz="0" w:space="0" w:color="auto"/>
      </w:divBdr>
    </w:div>
    <w:div w:id="1219438906">
      <w:bodyDiv w:val="1"/>
      <w:marLeft w:val="0"/>
      <w:marRight w:val="0"/>
      <w:marTop w:val="0"/>
      <w:marBottom w:val="0"/>
      <w:divBdr>
        <w:top w:val="none" w:sz="0" w:space="0" w:color="auto"/>
        <w:left w:val="none" w:sz="0" w:space="0" w:color="auto"/>
        <w:bottom w:val="none" w:sz="0" w:space="0" w:color="auto"/>
        <w:right w:val="none" w:sz="0" w:space="0" w:color="auto"/>
      </w:divBdr>
    </w:div>
    <w:div w:id="1515076903">
      <w:bodyDiv w:val="1"/>
      <w:marLeft w:val="0"/>
      <w:marRight w:val="0"/>
      <w:marTop w:val="0"/>
      <w:marBottom w:val="0"/>
      <w:divBdr>
        <w:top w:val="none" w:sz="0" w:space="0" w:color="auto"/>
        <w:left w:val="none" w:sz="0" w:space="0" w:color="auto"/>
        <w:bottom w:val="none" w:sz="0" w:space="0" w:color="auto"/>
        <w:right w:val="none" w:sz="0" w:space="0" w:color="auto"/>
      </w:divBdr>
    </w:div>
    <w:div w:id="1570192724">
      <w:bodyDiv w:val="1"/>
      <w:marLeft w:val="0"/>
      <w:marRight w:val="0"/>
      <w:marTop w:val="0"/>
      <w:marBottom w:val="0"/>
      <w:divBdr>
        <w:top w:val="none" w:sz="0" w:space="0" w:color="auto"/>
        <w:left w:val="none" w:sz="0" w:space="0" w:color="auto"/>
        <w:bottom w:val="none" w:sz="0" w:space="0" w:color="auto"/>
        <w:right w:val="none" w:sz="0" w:space="0" w:color="auto"/>
      </w:divBdr>
    </w:div>
    <w:div w:id="1864781397">
      <w:bodyDiv w:val="1"/>
      <w:marLeft w:val="0"/>
      <w:marRight w:val="0"/>
      <w:marTop w:val="0"/>
      <w:marBottom w:val="0"/>
      <w:divBdr>
        <w:top w:val="none" w:sz="0" w:space="0" w:color="auto"/>
        <w:left w:val="none" w:sz="0" w:space="0" w:color="auto"/>
        <w:bottom w:val="none" w:sz="0" w:space="0" w:color="auto"/>
        <w:right w:val="none" w:sz="0" w:space="0" w:color="auto"/>
      </w:divBdr>
    </w:div>
    <w:div w:id="1972125359">
      <w:bodyDiv w:val="1"/>
      <w:marLeft w:val="0"/>
      <w:marRight w:val="0"/>
      <w:marTop w:val="0"/>
      <w:marBottom w:val="0"/>
      <w:divBdr>
        <w:top w:val="none" w:sz="0" w:space="0" w:color="auto"/>
        <w:left w:val="none" w:sz="0" w:space="0" w:color="auto"/>
        <w:bottom w:val="none" w:sz="0" w:space="0" w:color="auto"/>
        <w:right w:val="none" w:sz="0" w:space="0" w:color="auto"/>
      </w:divBdr>
      <w:divsChild>
        <w:div w:id="1232737771">
          <w:marLeft w:val="0"/>
          <w:marRight w:val="0"/>
          <w:marTop w:val="0"/>
          <w:marBottom w:val="0"/>
          <w:divBdr>
            <w:top w:val="none" w:sz="0" w:space="0" w:color="auto"/>
            <w:left w:val="none" w:sz="0" w:space="0" w:color="auto"/>
            <w:bottom w:val="none" w:sz="0" w:space="0" w:color="auto"/>
            <w:right w:val="none" w:sz="0" w:space="0" w:color="auto"/>
          </w:divBdr>
        </w:div>
      </w:divsChild>
    </w:div>
    <w:div w:id="20969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ICA13</b:Tag>
    <b:SourceType>Book</b:SourceType>
    <b:Guid>{143754DB-7512-A644-9B02-1521B8EE8769}</b:Guid>
    <b:Title>Cost of production of raw cotton</b:Title>
    <b:Year>2013</b:Year>
    <b:Author>
      <b:Author>
        <b:Corporate>ICAC</b:Corporate>
      </b:Author>
    </b:Author>
    <b:RefOrder>1</b:RefOrder>
  </b:Source>
  <b:Source>
    <b:Tag>Con14</b:Tag>
    <b:SourceType>Report</b:SourceType>
    <b:Guid>{A6C605F4-7EF7-F04D-B398-04EC6EF0BC35}</b:Guid>
    <b:Author>
      <b:Author>
        <b:Corporate>Conalgodón</b:Corporate>
      </b:Author>
    </b:Author>
    <b:Title>Política de ingresos y competitividad para el algodón 2016-2025</b:Title>
    <b:ThesisType>Memorando</b:ThesisType>
    <b:Year>Octubre 30 de  2014</b:Year>
    <b:RefOrder>2</b:RefOrder>
  </b:Source>
  <b:Source>
    <b:Tag>CON15</b:Tag>
    <b:SourceType>Report</b:SourceType>
    <b:Guid>{3FB6F917-A17B-C044-A2E1-D873109A9EBD}</b:Guid>
    <b:Author>
      <b:Author>
        <b:Corporate>Conalgodón</b:Corporate>
      </b:Author>
    </b:Author>
    <b:Title>Comunicación E-CON-2201</b:Title>
    <b:Year>Marzo 20 de 2015</b:Year>
    <b:ThesisType>Carta</b:ThesisType>
    <b:RefOrder>3</b:RefOrder>
  </b:Source>
  <b:Source>
    <b:Tag>Sam</b:Tag>
    <b:SourceType>Book</b:SourceType>
    <b:Guid>{99AE7933-EFB5-A549-85D0-3DBE1430ED44}</b:Guid>
    <b:Author>
      <b:Author>
        <b:NameList>
          <b:Person>
            <b:Last>Samacá</b:Last>
            <b:First>Henry</b:First>
          </b:Person>
        </b:NameList>
      </b:Author>
    </b:Author>
    <b:Title>Plan de acción para mejorar la competitividad de las zonas algodoneras o para facilitar su reconversión productiva. Informe final del contrato DJ-005-14</b:Title>
    <b:Year>julio 2014</b:Year>
    <b:RefOrder>4</b:RefOrder>
  </b:Source>
  <b:Source>
    <b:Tag>DDS15</b:Tag>
    <b:SourceType>JournalArticle</b:SourceType>
    <b:Guid>{88A1BEC1-8A51-49D4-B12C-06EB38673A0E}</b:Guid>
    <b:Author>
      <b:Author>
        <b:Corporate>DNP - DDS</b:Corporate>
      </b:Author>
    </b:Author>
    <b:Title>Diagnóstico de la inclusión productiva en el campo Colombiano</b:Title>
    <b:JournalName>Misión para la Transformación del Campo</b:JournalName>
    <b:Year>2015</b:Year>
    <b:RefOrder>1</b:RefOrder>
  </b:Source>
</b:Sources>
</file>

<file path=customXml/itemProps1.xml><?xml version="1.0" encoding="utf-8"?>
<ds:datastoreItem xmlns:ds="http://schemas.openxmlformats.org/officeDocument/2006/customXml" ds:itemID="{960AA097-D4C3-4E8C-B149-F3745CF4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1979</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FINAGRO</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lmorales</dc:creator>
  <cp:keywords/>
  <dc:description/>
  <cp:lastModifiedBy>Claudia Acosta Echeverría</cp:lastModifiedBy>
  <cp:revision>79</cp:revision>
  <cp:lastPrinted>2018-11-15T23:27:00Z</cp:lastPrinted>
  <dcterms:created xsi:type="dcterms:W3CDTF">2019-02-18T19:39:00Z</dcterms:created>
  <dcterms:modified xsi:type="dcterms:W3CDTF">2019-03-07T00:16:00Z</dcterms:modified>
</cp:coreProperties>
</file>