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55969" w14:textId="77777777" w:rsidR="008A4E27" w:rsidRPr="0005684F" w:rsidRDefault="008A4E27" w:rsidP="008A4E27">
      <w:pPr>
        <w:pStyle w:val="c4"/>
        <w:tabs>
          <w:tab w:val="left" w:pos="-374"/>
          <w:tab w:val="left" w:pos="0"/>
        </w:tabs>
        <w:spacing w:line="240" w:lineRule="auto"/>
        <w:rPr>
          <w:rFonts w:ascii="Arial" w:hAnsi="Arial" w:cs="Arial"/>
          <w:b/>
          <w:color w:val="000000" w:themeColor="text1"/>
          <w:sz w:val="22"/>
          <w:szCs w:val="22"/>
          <w:lang w:val="es-CO"/>
        </w:rPr>
      </w:pPr>
      <w:r w:rsidRPr="0005684F">
        <w:rPr>
          <w:rFonts w:ascii="Arial" w:hAnsi="Arial" w:cs="Arial"/>
          <w:b/>
          <w:color w:val="000000" w:themeColor="text1"/>
          <w:sz w:val="22"/>
          <w:szCs w:val="22"/>
          <w:lang w:val="es-CO"/>
        </w:rPr>
        <w:t>REPÚBLICA DE COLOMBIA</w:t>
      </w:r>
    </w:p>
    <w:p w14:paraId="5C53F2B3" w14:textId="77777777" w:rsidR="008A4E27" w:rsidRPr="0005684F" w:rsidRDefault="008A4E27" w:rsidP="008A4E27">
      <w:pPr>
        <w:tabs>
          <w:tab w:val="left" w:pos="204"/>
        </w:tabs>
        <w:jc w:val="center"/>
        <w:rPr>
          <w:rFonts w:ascii="Arial" w:hAnsi="Arial" w:cs="Arial"/>
          <w:b/>
          <w:color w:val="000000" w:themeColor="text1"/>
          <w:sz w:val="22"/>
          <w:szCs w:val="22"/>
          <w:lang w:val="es-CO"/>
        </w:rPr>
      </w:pPr>
    </w:p>
    <w:p w14:paraId="1B92A9E7" w14:textId="77777777" w:rsidR="008A4E27" w:rsidRPr="0005684F" w:rsidRDefault="008A4E27" w:rsidP="008A4E27">
      <w:pPr>
        <w:pStyle w:val="c4"/>
        <w:tabs>
          <w:tab w:val="left" w:pos="204"/>
        </w:tabs>
        <w:spacing w:line="240" w:lineRule="auto"/>
        <w:rPr>
          <w:rFonts w:ascii="Arial" w:hAnsi="Arial" w:cs="Arial"/>
          <w:b/>
          <w:color w:val="000000" w:themeColor="text1"/>
          <w:sz w:val="22"/>
          <w:szCs w:val="22"/>
          <w:lang w:val="es-CO"/>
        </w:rPr>
      </w:pPr>
      <w:r w:rsidRPr="0005684F">
        <w:rPr>
          <w:rFonts w:ascii="Arial" w:hAnsi="Arial" w:cs="Arial"/>
          <w:b/>
          <w:color w:val="000000" w:themeColor="text1"/>
          <w:sz w:val="22"/>
          <w:szCs w:val="22"/>
          <w:lang w:val="es-CO"/>
        </w:rPr>
        <w:t>COMISIÓN NACIONAL DE CRÉDITO AGROPECUARIO</w:t>
      </w:r>
    </w:p>
    <w:p w14:paraId="648CB378" w14:textId="77777777" w:rsidR="008A4E27" w:rsidRPr="0005684F" w:rsidRDefault="008A4E27" w:rsidP="008A4E27">
      <w:pPr>
        <w:tabs>
          <w:tab w:val="left" w:pos="204"/>
        </w:tabs>
        <w:jc w:val="center"/>
        <w:rPr>
          <w:rFonts w:ascii="Arial" w:hAnsi="Arial" w:cs="Arial"/>
          <w:b/>
          <w:color w:val="000000" w:themeColor="text1"/>
          <w:sz w:val="22"/>
          <w:szCs w:val="22"/>
          <w:lang w:val="es-CO"/>
        </w:rPr>
      </w:pPr>
    </w:p>
    <w:p w14:paraId="04CDF769" w14:textId="77777777" w:rsidR="008A4E27" w:rsidRPr="0005684F" w:rsidRDefault="008A4E27" w:rsidP="008A4E27">
      <w:pPr>
        <w:pStyle w:val="c5"/>
        <w:tabs>
          <w:tab w:val="left" w:pos="204"/>
        </w:tabs>
        <w:spacing w:line="240" w:lineRule="auto"/>
        <w:rPr>
          <w:rFonts w:ascii="Arial" w:hAnsi="Arial" w:cs="Arial"/>
          <w:b/>
          <w:color w:val="000000" w:themeColor="text1"/>
          <w:sz w:val="22"/>
          <w:szCs w:val="22"/>
          <w:lang w:val="es-CO"/>
        </w:rPr>
      </w:pPr>
      <w:r w:rsidRPr="0005684F">
        <w:rPr>
          <w:rFonts w:ascii="Arial" w:hAnsi="Arial" w:cs="Arial"/>
          <w:b/>
          <w:color w:val="000000" w:themeColor="text1"/>
          <w:sz w:val="22"/>
          <w:szCs w:val="22"/>
          <w:lang w:val="es-CO"/>
        </w:rPr>
        <w:t>RESOLUCIÓN No.__ DE 2019</w:t>
      </w:r>
    </w:p>
    <w:p w14:paraId="6C993170" w14:textId="77777777" w:rsidR="008A4E27" w:rsidRPr="0005684F" w:rsidRDefault="008A4E27" w:rsidP="008A4E27">
      <w:pPr>
        <w:pStyle w:val="c5"/>
        <w:tabs>
          <w:tab w:val="left" w:pos="204"/>
        </w:tabs>
        <w:spacing w:line="240" w:lineRule="auto"/>
        <w:rPr>
          <w:rFonts w:ascii="Arial" w:hAnsi="Arial" w:cs="Arial"/>
          <w:b/>
          <w:color w:val="000000" w:themeColor="text1"/>
          <w:sz w:val="22"/>
          <w:szCs w:val="22"/>
          <w:lang w:val="es-CO"/>
        </w:rPr>
      </w:pPr>
      <w:r w:rsidRPr="0005684F">
        <w:rPr>
          <w:rFonts w:ascii="Arial" w:hAnsi="Arial" w:cs="Arial"/>
          <w:b/>
          <w:color w:val="000000" w:themeColor="text1"/>
          <w:sz w:val="22"/>
          <w:szCs w:val="22"/>
          <w:lang w:val="es-CO"/>
        </w:rPr>
        <w:t xml:space="preserve">(Febrero </w:t>
      </w:r>
      <w:r w:rsidR="0088573F">
        <w:rPr>
          <w:rFonts w:ascii="Arial" w:hAnsi="Arial" w:cs="Arial"/>
          <w:b/>
          <w:color w:val="000000" w:themeColor="text1"/>
          <w:sz w:val="22"/>
          <w:szCs w:val="22"/>
          <w:lang w:val="es-CO"/>
        </w:rPr>
        <w:t xml:space="preserve">XX </w:t>
      </w:r>
      <w:r w:rsidRPr="0005684F">
        <w:rPr>
          <w:rFonts w:ascii="Arial" w:hAnsi="Arial" w:cs="Arial"/>
          <w:b/>
          <w:color w:val="000000" w:themeColor="text1"/>
          <w:sz w:val="22"/>
          <w:szCs w:val="22"/>
          <w:lang w:val="es-CO"/>
        </w:rPr>
        <w:t>)</w:t>
      </w:r>
    </w:p>
    <w:p w14:paraId="4C0A7BAA" w14:textId="77777777" w:rsidR="008A4E27" w:rsidRPr="0005684F" w:rsidRDefault="008A4E27" w:rsidP="008A4E27">
      <w:pPr>
        <w:tabs>
          <w:tab w:val="left" w:pos="204"/>
        </w:tabs>
        <w:jc w:val="center"/>
        <w:rPr>
          <w:rFonts w:ascii="Arial" w:hAnsi="Arial" w:cs="Arial"/>
          <w:color w:val="000000" w:themeColor="text1"/>
          <w:sz w:val="22"/>
          <w:szCs w:val="22"/>
          <w:lang w:val="es-CO"/>
        </w:rPr>
      </w:pPr>
    </w:p>
    <w:p w14:paraId="49370AD7" w14:textId="77777777" w:rsidR="008A4E27" w:rsidRPr="0005684F" w:rsidRDefault="008A4E27" w:rsidP="008A4E27">
      <w:pPr>
        <w:pStyle w:val="c5"/>
        <w:tabs>
          <w:tab w:val="left" w:pos="204"/>
        </w:tabs>
        <w:spacing w:line="240" w:lineRule="auto"/>
        <w:rPr>
          <w:rFonts w:ascii="Arial" w:hAnsi="Arial" w:cs="Arial"/>
          <w:color w:val="000000" w:themeColor="text1"/>
          <w:sz w:val="22"/>
          <w:szCs w:val="22"/>
          <w:lang w:val="es-CO"/>
        </w:rPr>
      </w:pPr>
      <w:r w:rsidRPr="0005684F">
        <w:rPr>
          <w:rFonts w:ascii="Arial" w:hAnsi="Arial" w:cs="Arial"/>
          <w:color w:val="000000" w:themeColor="text1"/>
          <w:sz w:val="22"/>
          <w:szCs w:val="22"/>
          <w:lang w:val="es-CO"/>
        </w:rPr>
        <w:t xml:space="preserve">“Por la cual se </w:t>
      </w:r>
      <w:r w:rsidR="000E2DDB" w:rsidRPr="0005684F">
        <w:rPr>
          <w:rFonts w:ascii="Arial" w:hAnsi="Arial" w:cs="Arial"/>
          <w:color w:val="000000" w:themeColor="text1"/>
          <w:sz w:val="22"/>
          <w:szCs w:val="22"/>
          <w:lang w:val="es-CO"/>
        </w:rPr>
        <w:t>modifica la Resolución No. 12 de 2018</w:t>
      </w:r>
      <w:r w:rsidRPr="0005684F">
        <w:rPr>
          <w:rFonts w:ascii="Arial" w:hAnsi="Arial" w:cs="Arial"/>
          <w:color w:val="000000" w:themeColor="text1"/>
          <w:sz w:val="22"/>
          <w:szCs w:val="22"/>
          <w:lang w:val="es-CO"/>
        </w:rPr>
        <w:t>”</w:t>
      </w:r>
    </w:p>
    <w:p w14:paraId="5FA7AB07" w14:textId="77777777" w:rsidR="008A4E27" w:rsidRPr="0005684F" w:rsidRDefault="008A4E27" w:rsidP="008A4E27">
      <w:pPr>
        <w:tabs>
          <w:tab w:val="left" w:pos="204"/>
        </w:tabs>
        <w:jc w:val="center"/>
        <w:rPr>
          <w:rFonts w:ascii="Arial" w:hAnsi="Arial" w:cs="Arial"/>
          <w:color w:val="000000" w:themeColor="text1"/>
          <w:sz w:val="22"/>
          <w:szCs w:val="22"/>
          <w:lang w:val="es-CO"/>
        </w:rPr>
      </w:pPr>
    </w:p>
    <w:p w14:paraId="3E590BFA" w14:textId="77777777" w:rsidR="008A4E27" w:rsidRPr="0005684F" w:rsidRDefault="008A4E27" w:rsidP="008A4E27">
      <w:pPr>
        <w:pStyle w:val="c5"/>
        <w:tabs>
          <w:tab w:val="left" w:pos="204"/>
        </w:tabs>
        <w:spacing w:line="240" w:lineRule="auto"/>
        <w:rPr>
          <w:rFonts w:ascii="Arial" w:hAnsi="Arial" w:cs="Arial"/>
          <w:b/>
          <w:color w:val="000000" w:themeColor="text1"/>
          <w:sz w:val="22"/>
          <w:szCs w:val="22"/>
          <w:lang w:val="es-CO"/>
        </w:rPr>
      </w:pPr>
      <w:r w:rsidRPr="0005684F">
        <w:rPr>
          <w:rFonts w:ascii="Arial" w:hAnsi="Arial" w:cs="Arial"/>
          <w:b/>
          <w:color w:val="000000" w:themeColor="text1"/>
          <w:sz w:val="22"/>
          <w:szCs w:val="22"/>
          <w:lang w:val="es-CO"/>
        </w:rPr>
        <w:t>LA COMISIÓN NACIONAL DE CRÉDITO AGROPECUARIO</w:t>
      </w:r>
    </w:p>
    <w:p w14:paraId="792D46E4" w14:textId="77777777" w:rsidR="008A4E27" w:rsidRPr="0005684F" w:rsidRDefault="008A4E27" w:rsidP="008A4E27">
      <w:pPr>
        <w:tabs>
          <w:tab w:val="left" w:pos="204"/>
        </w:tabs>
        <w:jc w:val="both"/>
        <w:rPr>
          <w:rFonts w:ascii="Arial" w:hAnsi="Arial" w:cs="Arial"/>
          <w:color w:val="000000" w:themeColor="text1"/>
          <w:sz w:val="22"/>
          <w:szCs w:val="22"/>
          <w:lang w:val="es-CO"/>
        </w:rPr>
      </w:pPr>
    </w:p>
    <w:p w14:paraId="59058732" w14:textId="77777777" w:rsidR="008A4E27" w:rsidRPr="0005684F" w:rsidRDefault="008A4E27" w:rsidP="008A4E27">
      <w:pPr>
        <w:pStyle w:val="p6"/>
        <w:spacing w:line="240" w:lineRule="auto"/>
        <w:ind w:left="0"/>
        <w:rPr>
          <w:rFonts w:ascii="Arial" w:hAnsi="Arial" w:cs="Arial"/>
          <w:color w:val="000000" w:themeColor="text1"/>
          <w:sz w:val="22"/>
          <w:szCs w:val="22"/>
          <w:lang w:val="es-CO"/>
        </w:rPr>
      </w:pPr>
      <w:r w:rsidRPr="0005684F">
        <w:rPr>
          <w:rFonts w:ascii="Arial" w:hAnsi="Arial" w:cs="Arial"/>
          <w:color w:val="000000" w:themeColor="text1"/>
          <w:sz w:val="22"/>
          <w:szCs w:val="22"/>
          <w:lang w:val="es-CO"/>
        </w:rPr>
        <w:t>En ejercicio de las facultades conferidas por los artículos 218 y 220 del Estatuto Orgánico del Sistema Financiero, las Leyes 16 de 1990, 101 de 1993,1133 de 2007, 1731 de 2014, el Decreto Ley 2371 de 2015, y los Decretos 1313 de 1990, y</w:t>
      </w:r>
    </w:p>
    <w:p w14:paraId="4420786F" w14:textId="77777777" w:rsidR="008A4E27" w:rsidRPr="0005684F" w:rsidRDefault="008A4E27" w:rsidP="008A4E27">
      <w:pPr>
        <w:tabs>
          <w:tab w:val="left" w:pos="1479"/>
        </w:tabs>
        <w:jc w:val="center"/>
        <w:rPr>
          <w:rFonts w:ascii="Arial" w:hAnsi="Arial" w:cs="Arial"/>
          <w:b/>
          <w:color w:val="000000" w:themeColor="text1"/>
          <w:sz w:val="22"/>
          <w:szCs w:val="22"/>
          <w:lang w:val="es-CO"/>
        </w:rPr>
      </w:pPr>
    </w:p>
    <w:p w14:paraId="2CB90A0D" w14:textId="77777777" w:rsidR="008A4E27" w:rsidRPr="0005684F" w:rsidRDefault="008A4E27" w:rsidP="008A4E27">
      <w:pPr>
        <w:tabs>
          <w:tab w:val="left" w:pos="1479"/>
        </w:tabs>
        <w:jc w:val="center"/>
        <w:rPr>
          <w:rFonts w:ascii="Arial" w:hAnsi="Arial" w:cs="Arial"/>
          <w:b/>
          <w:color w:val="000000" w:themeColor="text1"/>
          <w:sz w:val="22"/>
          <w:szCs w:val="22"/>
          <w:lang w:val="es-CO"/>
        </w:rPr>
      </w:pPr>
      <w:r w:rsidRPr="0005684F">
        <w:rPr>
          <w:rFonts w:ascii="Arial" w:hAnsi="Arial" w:cs="Arial"/>
          <w:b/>
          <w:color w:val="000000" w:themeColor="text1"/>
          <w:sz w:val="22"/>
          <w:szCs w:val="22"/>
          <w:lang w:val="es-CO"/>
        </w:rPr>
        <w:t>CONSIDERANDO</w:t>
      </w:r>
    </w:p>
    <w:p w14:paraId="51C35263" w14:textId="77777777" w:rsidR="008A4E27" w:rsidRPr="0005684F" w:rsidRDefault="008A4E27" w:rsidP="008A4E27">
      <w:pPr>
        <w:jc w:val="both"/>
        <w:rPr>
          <w:rFonts w:ascii="Arial" w:hAnsi="Arial" w:cs="Arial"/>
          <w:color w:val="000000" w:themeColor="text1"/>
          <w:sz w:val="22"/>
          <w:szCs w:val="22"/>
          <w:lang w:val="es-CO"/>
        </w:rPr>
      </w:pPr>
    </w:p>
    <w:p w14:paraId="4D3C8C9C" w14:textId="77777777" w:rsidR="008A4E27" w:rsidRPr="0005684F" w:rsidRDefault="008A4E27" w:rsidP="008A4E27">
      <w:pPr>
        <w:widowControl w:val="0"/>
        <w:autoSpaceDE w:val="0"/>
        <w:autoSpaceDN w:val="0"/>
        <w:ind w:right="81"/>
        <w:jc w:val="both"/>
        <w:rPr>
          <w:rFonts w:ascii="Arial" w:eastAsia="Arial" w:hAnsi="Arial" w:cs="Arial"/>
          <w:color w:val="000000" w:themeColor="text1"/>
          <w:sz w:val="22"/>
          <w:szCs w:val="22"/>
          <w:lang w:val="es-CO" w:eastAsia="es-CO" w:bidi="es-CO"/>
        </w:rPr>
      </w:pPr>
      <w:r w:rsidRPr="0005684F">
        <w:rPr>
          <w:rFonts w:ascii="Arial" w:eastAsia="Arial" w:hAnsi="Arial" w:cs="Arial"/>
          <w:b/>
          <w:color w:val="000000" w:themeColor="text1"/>
          <w:sz w:val="22"/>
          <w:szCs w:val="22"/>
          <w:lang w:val="es-CO" w:eastAsia="es-CO" w:bidi="es-CO"/>
        </w:rPr>
        <w:t>Primero</w:t>
      </w:r>
      <w:r w:rsidRPr="0005684F">
        <w:rPr>
          <w:rFonts w:ascii="Arial" w:eastAsia="Arial" w:hAnsi="Arial" w:cs="Arial"/>
          <w:color w:val="000000" w:themeColor="text1"/>
          <w:sz w:val="22"/>
          <w:szCs w:val="22"/>
          <w:lang w:val="es-CO" w:eastAsia="es-CO" w:bidi="es-CO"/>
        </w:rPr>
        <w:t>. Que de acuerdo con lo dispuesto en el literal n), numeral 2. del artículo 218 del Estatuto Orgánico del Sistema Financiero, modificado por el artículo 2</w:t>
      </w:r>
      <w:r w:rsidR="00CC4E45" w:rsidRPr="0005684F">
        <w:rPr>
          <w:rFonts w:ascii="Arial" w:eastAsia="Arial" w:hAnsi="Arial" w:cs="Arial"/>
          <w:color w:val="000000" w:themeColor="text1"/>
          <w:sz w:val="22"/>
          <w:szCs w:val="22"/>
          <w:lang w:val="es-CO" w:eastAsia="es-CO" w:bidi="es-CO"/>
        </w:rPr>
        <w:t>o.</w:t>
      </w:r>
      <w:r w:rsidRPr="0005684F">
        <w:rPr>
          <w:rFonts w:ascii="Arial" w:eastAsia="Arial" w:hAnsi="Arial" w:cs="Arial"/>
          <w:color w:val="000000" w:themeColor="text1"/>
          <w:sz w:val="22"/>
          <w:szCs w:val="22"/>
          <w:lang w:val="es-CO" w:eastAsia="es-CO" w:bidi="es-CO"/>
        </w:rPr>
        <w:t xml:space="preserve"> del Decreto Ley 2371 de 2015, la Comisión Nacional de Crédito Agropecuario - CNCA, podrá:</w:t>
      </w:r>
    </w:p>
    <w:p w14:paraId="26EB250D" w14:textId="77777777" w:rsidR="008A4E27" w:rsidRPr="0005684F" w:rsidRDefault="008A4E27" w:rsidP="008A4E27">
      <w:pPr>
        <w:widowControl w:val="0"/>
        <w:autoSpaceDE w:val="0"/>
        <w:autoSpaceDN w:val="0"/>
        <w:spacing w:before="183"/>
        <w:ind w:right="81"/>
        <w:jc w:val="both"/>
        <w:rPr>
          <w:rFonts w:ascii="Arial" w:eastAsia="Arial" w:hAnsi="Arial" w:cs="Arial"/>
          <w:i/>
          <w:color w:val="000000" w:themeColor="text1"/>
          <w:sz w:val="22"/>
          <w:szCs w:val="22"/>
          <w:lang w:val="es-CO" w:eastAsia="es-CO" w:bidi="es-CO"/>
        </w:rPr>
      </w:pPr>
      <w:r w:rsidRPr="0005684F">
        <w:rPr>
          <w:rFonts w:ascii="Arial" w:eastAsia="Arial" w:hAnsi="Arial" w:cs="Arial"/>
          <w:i/>
          <w:color w:val="000000" w:themeColor="text1"/>
          <w:sz w:val="22"/>
          <w:szCs w:val="22"/>
          <w:lang w:val="es-CO" w:eastAsia="es-CO" w:bidi="es-CO"/>
        </w:rPr>
        <w:t xml:space="preserve">“(…) </w:t>
      </w:r>
    </w:p>
    <w:p w14:paraId="25F9182D" w14:textId="77777777" w:rsidR="008A4E27" w:rsidRPr="0005684F" w:rsidRDefault="008A4E27" w:rsidP="008A4E27">
      <w:pPr>
        <w:widowControl w:val="0"/>
        <w:autoSpaceDE w:val="0"/>
        <w:autoSpaceDN w:val="0"/>
        <w:spacing w:before="183"/>
        <w:ind w:right="81"/>
        <w:jc w:val="both"/>
        <w:rPr>
          <w:rFonts w:ascii="Arial" w:eastAsia="Arial" w:hAnsi="Arial" w:cs="Arial"/>
          <w:color w:val="000000" w:themeColor="text1"/>
          <w:sz w:val="22"/>
          <w:szCs w:val="22"/>
          <w:lang w:val="es-CO" w:eastAsia="es-CO" w:bidi="es-CO"/>
        </w:rPr>
      </w:pPr>
      <w:r w:rsidRPr="0005684F">
        <w:rPr>
          <w:rFonts w:ascii="Arial" w:eastAsia="Arial" w:hAnsi="Arial" w:cs="Arial"/>
          <w:i/>
          <w:color w:val="000000" w:themeColor="text1"/>
          <w:sz w:val="22"/>
          <w:szCs w:val="22"/>
          <w:lang w:val="es-CO" w:eastAsia="es-CO" w:bidi="es-CO"/>
        </w:rPr>
        <w:t>n) Establecer, con base en la política trazada por el Ministerio de Agricultura y Desarrollo Rural, los términos y las condiciones financieras de las Líneas Especiales Crédito – LEC, del Incentivo a la Capitalización Rural - ICR y de otros incentivos o subsidios del Estado que estén relacionados exclusivamente con el crédito y/o riesgo agropecuario y rural</w:t>
      </w:r>
      <w:r w:rsidRPr="0005684F">
        <w:rPr>
          <w:rFonts w:ascii="Arial" w:eastAsia="Arial" w:hAnsi="Arial" w:cs="Arial"/>
          <w:color w:val="000000" w:themeColor="text1"/>
          <w:sz w:val="22"/>
          <w:szCs w:val="22"/>
          <w:lang w:val="es-CO" w:eastAsia="es-CO" w:bidi="es-CO"/>
        </w:rPr>
        <w:t>.</w:t>
      </w:r>
    </w:p>
    <w:p w14:paraId="60212F84" w14:textId="77777777" w:rsidR="008A4E27" w:rsidRPr="0005684F" w:rsidRDefault="008A4E27" w:rsidP="008A4E27">
      <w:pPr>
        <w:widowControl w:val="0"/>
        <w:autoSpaceDE w:val="0"/>
        <w:autoSpaceDN w:val="0"/>
        <w:spacing w:before="183"/>
        <w:ind w:right="81"/>
        <w:jc w:val="both"/>
        <w:rPr>
          <w:rFonts w:ascii="Arial" w:eastAsia="Arial" w:hAnsi="Arial" w:cs="Arial"/>
          <w:color w:val="000000" w:themeColor="text1"/>
          <w:sz w:val="22"/>
          <w:szCs w:val="22"/>
          <w:lang w:val="es-CO" w:eastAsia="es-CO" w:bidi="es-CO"/>
        </w:rPr>
      </w:pPr>
      <w:r w:rsidRPr="0005684F">
        <w:rPr>
          <w:rFonts w:ascii="Arial" w:eastAsia="Arial" w:hAnsi="Arial" w:cs="Arial"/>
          <w:i/>
          <w:color w:val="000000" w:themeColor="text1"/>
          <w:sz w:val="22"/>
          <w:szCs w:val="22"/>
          <w:lang w:val="es-CO" w:eastAsia="es-CO" w:bidi="es-CO"/>
        </w:rPr>
        <w:t>(…)</w:t>
      </w:r>
      <w:r w:rsidRPr="0005684F">
        <w:rPr>
          <w:rFonts w:ascii="Arial" w:eastAsia="Arial" w:hAnsi="Arial" w:cs="Arial"/>
          <w:color w:val="000000" w:themeColor="text1"/>
          <w:sz w:val="22"/>
          <w:szCs w:val="22"/>
          <w:lang w:val="es-CO" w:eastAsia="es-CO" w:bidi="es-CO"/>
        </w:rPr>
        <w:t>”</w:t>
      </w:r>
    </w:p>
    <w:p w14:paraId="7428CB7E" w14:textId="77777777" w:rsidR="008A4E27" w:rsidRPr="0005684F" w:rsidRDefault="008A4E27" w:rsidP="008A4E27">
      <w:pPr>
        <w:widowControl w:val="0"/>
        <w:autoSpaceDE w:val="0"/>
        <w:autoSpaceDN w:val="0"/>
        <w:spacing w:before="185"/>
        <w:ind w:right="81"/>
        <w:jc w:val="both"/>
        <w:rPr>
          <w:rFonts w:ascii="Arial" w:eastAsia="Arial" w:hAnsi="Arial" w:cs="Arial"/>
          <w:color w:val="000000" w:themeColor="text1"/>
          <w:sz w:val="22"/>
          <w:szCs w:val="22"/>
          <w:lang w:val="es-CO" w:eastAsia="es-CO" w:bidi="es-CO"/>
        </w:rPr>
      </w:pPr>
      <w:r w:rsidRPr="0005684F">
        <w:rPr>
          <w:rFonts w:ascii="Arial" w:eastAsia="Arial" w:hAnsi="Arial" w:cs="Arial"/>
          <w:b/>
          <w:color w:val="000000" w:themeColor="text1"/>
          <w:sz w:val="22"/>
          <w:szCs w:val="22"/>
          <w:lang w:val="es-CO" w:eastAsia="es-CO" w:bidi="es-CO"/>
        </w:rPr>
        <w:t xml:space="preserve">Segundo. </w:t>
      </w:r>
      <w:r w:rsidRPr="0005684F">
        <w:rPr>
          <w:rFonts w:ascii="Arial" w:eastAsia="Arial" w:hAnsi="Arial" w:cs="Arial"/>
          <w:color w:val="000000" w:themeColor="text1"/>
          <w:sz w:val="22"/>
          <w:szCs w:val="22"/>
          <w:lang w:val="es-CO" w:eastAsia="es-CO" w:bidi="es-CO"/>
        </w:rPr>
        <w:t>Que de acuerdo con lo dispuesto en el artículo 220 del Estatuto Orgánico del Sistema Financiero, “</w:t>
      </w:r>
      <w:r w:rsidRPr="0005684F">
        <w:rPr>
          <w:rFonts w:ascii="Arial" w:eastAsia="Arial" w:hAnsi="Arial" w:cs="Arial"/>
          <w:i/>
          <w:color w:val="000000" w:themeColor="text1"/>
          <w:sz w:val="22"/>
          <w:szCs w:val="22"/>
          <w:lang w:val="es-CO" w:eastAsia="es-CO" w:bidi="es-CO"/>
        </w:rPr>
        <w:t>La Comisión Nacional de Crédito Agropecuario</w:t>
      </w:r>
      <w:r w:rsidRPr="0005684F">
        <w:rPr>
          <w:rFonts w:ascii="Arial" w:eastAsia="Arial" w:hAnsi="Arial" w:cs="Arial"/>
          <w:color w:val="000000" w:themeColor="text1"/>
          <w:sz w:val="22"/>
          <w:szCs w:val="22"/>
          <w:lang w:val="es-CO" w:eastAsia="es-CO" w:bidi="es-CO"/>
        </w:rPr>
        <w:t xml:space="preserve"> </w:t>
      </w:r>
      <w:r w:rsidRPr="0005684F">
        <w:rPr>
          <w:rFonts w:ascii="Arial" w:eastAsia="Arial" w:hAnsi="Arial" w:cs="Arial"/>
          <w:i/>
          <w:color w:val="000000" w:themeColor="text1"/>
          <w:sz w:val="22"/>
          <w:szCs w:val="22"/>
          <w:lang w:val="es-CO" w:eastAsia="es-CO" w:bidi="es-CO"/>
        </w:rPr>
        <w:t>definirá las líneas de crédito que otorgarán las entidades que integran el Sistema Nacional de Crédito Agropecuario, y las instituciones bancarias y financieras debidamente autorizadas por la Superintendencia Bancaria, para conceder créditos con destino al sector agropecuario, afines y similares (…)”.</w:t>
      </w:r>
    </w:p>
    <w:p w14:paraId="5C139A3B" w14:textId="77777777" w:rsidR="008A4E27" w:rsidRPr="0005684F" w:rsidRDefault="008A4E27" w:rsidP="008A4E27">
      <w:pPr>
        <w:autoSpaceDE w:val="0"/>
        <w:autoSpaceDN w:val="0"/>
        <w:adjustRightInd w:val="0"/>
        <w:spacing w:line="0" w:lineRule="atLeast"/>
        <w:jc w:val="both"/>
        <w:rPr>
          <w:rFonts w:ascii="Arial" w:hAnsi="Arial" w:cs="Arial"/>
          <w:color w:val="000000" w:themeColor="text1"/>
          <w:sz w:val="22"/>
          <w:szCs w:val="22"/>
          <w:lang w:val="es-CO"/>
        </w:rPr>
      </w:pPr>
    </w:p>
    <w:p w14:paraId="2E294ACE" w14:textId="48FADA8D" w:rsidR="00135025" w:rsidRPr="007B2E76" w:rsidRDefault="008A4E27" w:rsidP="008A4E27">
      <w:pPr>
        <w:jc w:val="both"/>
        <w:rPr>
          <w:rFonts w:ascii="Arial" w:hAnsi="Arial" w:cs="Arial"/>
          <w:color w:val="000000" w:themeColor="text1"/>
          <w:sz w:val="22"/>
          <w:szCs w:val="22"/>
          <w:lang w:val="es-CO"/>
        </w:rPr>
      </w:pPr>
      <w:r w:rsidRPr="007B2E76">
        <w:rPr>
          <w:rFonts w:ascii="Arial" w:hAnsi="Arial" w:cs="Arial"/>
          <w:b/>
          <w:color w:val="000000" w:themeColor="text1"/>
          <w:sz w:val="22"/>
          <w:szCs w:val="22"/>
          <w:lang w:val="es-CO"/>
        </w:rPr>
        <w:t>Tercero.</w:t>
      </w:r>
      <w:r w:rsidRPr="007B2E76">
        <w:rPr>
          <w:rFonts w:ascii="Arial" w:hAnsi="Arial" w:cs="Arial"/>
          <w:color w:val="000000" w:themeColor="text1"/>
          <w:sz w:val="22"/>
          <w:szCs w:val="22"/>
          <w:lang w:val="es-CO"/>
        </w:rPr>
        <w:t xml:space="preserve"> </w:t>
      </w:r>
      <w:r w:rsidR="00F36B20" w:rsidRPr="007B2E76">
        <w:rPr>
          <w:rFonts w:ascii="Arial" w:hAnsi="Arial" w:cs="Arial"/>
          <w:color w:val="000000" w:themeColor="text1"/>
          <w:sz w:val="22"/>
          <w:szCs w:val="22"/>
          <w:lang w:val="es-CO"/>
        </w:rPr>
        <w:t>En concordancia con lo anterior, el artículo 13 de la Ley 101 de 1993 asigna como función adicional de este organismo el establecer líneas de redescuento dotadas de volumen suficiente de recursos y bajo condiciones financieras apropiadas, con el objeto de que los establecimientos de crédito puedan otorgar créditos en moneda nacional y extranjera.</w:t>
      </w:r>
    </w:p>
    <w:p w14:paraId="13815381" w14:textId="636D2659" w:rsidR="00135025" w:rsidRPr="007B2E76" w:rsidRDefault="00135025" w:rsidP="008A4E27">
      <w:pPr>
        <w:jc w:val="both"/>
        <w:rPr>
          <w:rFonts w:ascii="Arial" w:hAnsi="Arial" w:cs="Arial"/>
          <w:color w:val="000000" w:themeColor="text1"/>
          <w:sz w:val="22"/>
          <w:szCs w:val="22"/>
          <w:lang w:val="es-CO"/>
        </w:rPr>
      </w:pPr>
    </w:p>
    <w:p w14:paraId="07483615" w14:textId="77777777" w:rsidR="007B2E76" w:rsidRPr="00135025" w:rsidRDefault="00135025" w:rsidP="007B2E76">
      <w:pPr>
        <w:jc w:val="both"/>
        <w:rPr>
          <w:rFonts w:ascii="Arial" w:hAnsi="Arial" w:cs="Arial"/>
          <w:color w:val="000000" w:themeColor="text1"/>
          <w:sz w:val="22"/>
          <w:szCs w:val="22"/>
          <w:lang w:val="es-CO"/>
        </w:rPr>
      </w:pPr>
      <w:r w:rsidRPr="007B2E76">
        <w:rPr>
          <w:rFonts w:ascii="Arial" w:hAnsi="Arial" w:cs="Arial"/>
          <w:b/>
          <w:color w:val="000000" w:themeColor="text1"/>
          <w:sz w:val="22"/>
          <w:szCs w:val="22"/>
          <w:lang w:val="es-CO"/>
        </w:rPr>
        <w:t xml:space="preserve">Cuarto. </w:t>
      </w:r>
      <w:r w:rsidR="0074487E" w:rsidRPr="007B2E76">
        <w:rPr>
          <w:rFonts w:ascii="Arial" w:hAnsi="Arial" w:cs="Arial"/>
          <w:color w:val="000000" w:themeColor="text1"/>
          <w:sz w:val="22"/>
          <w:szCs w:val="22"/>
          <w:lang w:val="es-CO"/>
        </w:rPr>
        <w:t xml:space="preserve">Que </w:t>
      </w:r>
      <w:r w:rsidR="007B2E76" w:rsidRPr="007B2E76">
        <w:rPr>
          <w:rFonts w:ascii="Arial" w:hAnsi="Arial" w:cs="Arial"/>
          <w:color w:val="000000" w:themeColor="text1"/>
          <w:sz w:val="22"/>
          <w:szCs w:val="22"/>
          <w:lang w:val="es-CO"/>
        </w:rPr>
        <w:t>conforme a las sentencias C-300 de 2011 y C-917 de 2002 de la Corte Constitucional, el otorgamiento de funciones de regulación y reglamentación a las autoridades públicas dentro de ellas a la CNCA se ha considerado constitucionalmente válido, en tanto guardan correspondencia con el cumplimiento de la función administrativa necesaria para pormenorizar el proceso de implantación de las pautas dadas para el cumplimiento de la voluntad legislativa, por ser organismos de la administración que cuentan con información inmediata relacionada con el funcionamiento práctico de las herramientas de creación legislativa.</w:t>
      </w:r>
    </w:p>
    <w:p w14:paraId="6D64FDCB" w14:textId="6E09C144" w:rsidR="00135025" w:rsidRPr="00135025" w:rsidRDefault="00135025" w:rsidP="008A4E27">
      <w:pPr>
        <w:jc w:val="both"/>
        <w:rPr>
          <w:rFonts w:ascii="Arial" w:hAnsi="Arial" w:cs="Arial"/>
          <w:color w:val="000000" w:themeColor="text1"/>
          <w:sz w:val="22"/>
          <w:szCs w:val="22"/>
          <w:lang w:val="es-CO"/>
        </w:rPr>
      </w:pPr>
    </w:p>
    <w:p w14:paraId="660CC009" w14:textId="77777777" w:rsidR="00135025" w:rsidRDefault="00135025" w:rsidP="008A4E27">
      <w:pPr>
        <w:jc w:val="both"/>
        <w:rPr>
          <w:rFonts w:ascii="Arial" w:hAnsi="Arial" w:cs="Arial"/>
          <w:color w:val="000000" w:themeColor="text1"/>
          <w:sz w:val="22"/>
          <w:szCs w:val="22"/>
          <w:lang w:val="es-CO"/>
        </w:rPr>
      </w:pPr>
    </w:p>
    <w:p w14:paraId="131ABB24" w14:textId="013BAE70" w:rsidR="0074487E" w:rsidRDefault="0074487E" w:rsidP="008A4E27">
      <w:pPr>
        <w:jc w:val="both"/>
        <w:rPr>
          <w:rFonts w:ascii="Arial" w:hAnsi="Arial" w:cs="Arial"/>
          <w:color w:val="000000" w:themeColor="text1"/>
          <w:sz w:val="22"/>
          <w:szCs w:val="22"/>
          <w:lang w:val="es-CO"/>
        </w:rPr>
      </w:pPr>
      <w:r>
        <w:rPr>
          <w:rFonts w:ascii="Arial" w:hAnsi="Arial" w:cs="Arial"/>
          <w:b/>
          <w:color w:val="000000" w:themeColor="text1"/>
          <w:sz w:val="22"/>
          <w:szCs w:val="22"/>
          <w:lang w:val="es-CO"/>
        </w:rPr>
        <w:t>Quinto</w:t>
      </w:r>
      <w:r w:rsidR="00135025" w:rsidRPr="00135025">
        <w:rPr>
          <w:rFonts w:ascii="Arial" w:hAnsi="Arial" w:cs="Arial"/>
          <w:b/>
          <w:color w:val="000000" w:themeColor="text1"/>
          <w:sz w:val="22"/>
          <w:szCs w:val="22"/>
          <w:lang w:val="es-CO"/>
        </w:rPr>
        <w:t>.</w:t>
      </w:r>
      <w:r w:rsidR="00135025">
        <w:rPr>
          <w:rFonts w:ascii="Arial" w:hAnsi="Arial" w:cs="Arial"/>
          <w:color w:val="000000" w:themeColor="text1"/>
          <w:sz w:val="22"/>
          <w:szCs w:val="22"/>
          <w:lang w:val="es-CO"/>
        </w:rPr>
        <w:t xml:space="preserve"> </w:t>
      </w:r>
      <w:r>
        <w:rPr>
          <w:rFonts w:ascii="Arial" w:hAnsi="Arial" w:cs="Arial"/>
          <w:color w:val="000000" w:themeColor="text1"/>
          <w:sz w:val="22"/>
          <w:szCs w:val="22"/>
          <w:lang w:val="es-CO"/>
        </w:rPr>
        <w:t>Que el artículo 8º de la Resolución No. 3 de 2016 establece que las Líneas Especiales de Crédito que adopte la CNCA podrán contar con un subsidio a la tasa a favor de los beneficiarios que FINAGRO pagará a los Intermediarios Financieros en la forma y periodicidad que se establezca por esta Comisión.</w:t>
      </w:r>
    </w:p>
    <w:p w14:paraId="62701753" w14:textId="77777777" w:rsidR="0074487E" w:rsidRDefault="0074487E" w:rsidP="008A4E27">
      <w:pPr>
        <w:jc w:val="both"/>
        <w:rPr>
          <w:rFonts w:ascii="Arial" w:hAnsi="Arial" w:cs="Arial"/>
          <w:color w:val="000000" w:themeColor="text1"/>
          <w:sz w:val="22"/>
          <w:szCs w:val="22"/>
          <w:lang w:val="es-CO"/>
        </w:rPr>
      </w:pPr>
    </w:p>
    <w:p w14:paraId="7710B434" w14:textId="3A2F632D" w:rsidR="004D585D" w:rsidRDefault="0074487E" w:rsidP="008A4E27">
      <w:pPr>
        <w:jc w:val="both"/>
        <w:rPr>
          <w:rFonts w:ascii="Arial" w:hAnsi="Arial" w:cs="Arial"/>
          <w:color w:val="000000" w:themeColor="text1"/>
          <w:sz w:val="22"/>
          <w:szCs w:val="22"/>
          <w:lang w:val="es-CO"/>
        </w:rPr>
      </w:pPr>
      <w:r>
        <w:rPr>
          <w:rFonts w:ascii="Arial" w:hAnsi="Arial" w:cs="Arial"/>
          <w:b/>
          <w:color w:val="000000" w:themeColor="text1"/>
          <w:sz w:val="22"/>
          <w:szCs w:val="22"/>
          <w:lang w:val="es-CO"/>
        </w:rPr>
        <w:t>Sexto</w:t>
      </w:r>
      <w:r w:rsidRPr="0005684F">
        <w:rPr>
          <w:rFonts w:ascii="Arial" w:hAnsi="Arial" w:cs="Arial"/>
          <w:b/>
          <w:color w:val="000000" w:themeColor="text1"/>
          <w:sz w:val="22"/>
          <w:szCs w:val="22"/>
          <w:lang w:val="es-CO"/>
        </w:rPr>
        <w:t>.</w:t>
      </w:r>
      <w:r w:rsidRPr="0005684F">
        <w:rPr>
          <w:rFonts w:ascii="Arial" w:hAnsi="Arial" w:cs="Arial"/>
          <w:color w:val="000000" w:themeColor="text1"/>
          <w:sz w:val="22"/>
          <w:szCs w:val="22"/>
          <w:lang w:val="es-CO"/>
        </w:rPr>
        <w:t xml:space="preserve"> </w:t>
      </w:r>
      <w:r w:rsidR="00143851">
        <w:rPr>
          <w:rFonts w:ascii="Arial" w:hAnsi="Arial" w:cs="Arial"/>
          <w:color w:val="000000" w:themeColor="text1"/>
          <w:sz w:val="22"/>
          <w:szCs w:val="22"/>
          <w:lang w:val="es-CO"/>
        </w:rPr>
        <w:t>Que con el fin de facilitar el acceso de pequeños y medianos productores a mecanismos de comercialización</w:t>
      </w:r>
      <w:r w:rsidR="005F4A97">
        <w:rPr>
          <w:rFonts w:ascii="Arial" w:hAnsi="Arial" w:cs="Arial"/>
          <w:color w:val="000000" w:themeColor="text1"/>
          <w:sz w:val="22"/>
          <w:szCs w:val="22"/>
          <w:lang w:val="es-CO"/>
        </w:rPr>
        <w:t>,</w:t>
      </w:r>
      <w:r w:rsidR="00143851">
        <w:rPr>
          <w:rFonts w:ascii="Arial" w:hAnsi="Arial" w:cs="Arial"/>
          <w:color w:val="000000" w:themeColor="text1"/>
          <w:sz w:val="22"/>
          <w:szCs w:val="22"/>
          <w:lang w:val="es-CO"/>
        </w:rPr>
        <w:t xml:space="preserve"> </w:t>
      </w:r>
      <w:r w:rsidR="004D585D">
        <w:rPr>
          <w:rFonts w:ascii="Arial" w:hAnsi="Arial" w:cs="Arial"/>
          <w:color w:val="000000" w:themeColor="text1"/>
          <w:sz w:val="22"/>
          <w:szCs w:val="22"/>
          <w:lang w:val="es-CO"/>
        </w:rPr>
        <w:t xml:space="preserve">la </w:t>
      </w:r>
      <w:r w:rsidR="007667A4" w:rsidRPr="0005684F">
        <w:rPr>
          <w:rFonts w:ascii="Arial" w:hAnsi="Arial" w:cs="Arial"/>
          <w:color w:val="000000" w:themeColor="text1"/>
          <w:sz w:val="22"/>
          <w:szCs w:val="22"/>
          <w:lang w:val="es-CO"/>
        </w:rPr>
        <w:t xml:space="preserve">Resolución No. 7 de </w:t>
      </w:r>
      <w:r w:rsidR="004D585D">
        <w:rPr>
          <w:rFonts w:ascii="Arial" w:hAnsi="Arial" w:cs="Arial"/>
          <w:color w:val="000000" w:themeColor="text1"/>
          <w:sz w:val="22"/>
          <w:szCs w:val="22"/>
          <w:lang w:val="es-CO"/>
        </w:rPr>
        <w:t>2018 estableció la Línea Especial de Crédito “Agricultura por Contrato”, como mecanismo idóneo para fomentar la inserción de los productores a la cadena de valor.</w:t>
      </w:r>
    </w:p>
    <w:p w14:paraId="56DE28DF" w14:textId="77777777" w:rsidR="008A4E27" w:rsidRPr="0005684F" w:rsidRDefault="008A4E27" w:rsidP="008A4E27">
      <w:pPr>
        <w:jc w:val="both"/>
        <w:rPr>
          <w:rFonts w:ascii="Arial" w:hAnsi="Arial" w:cs="Arial"/>
          <w:i/>
          <w:color w:val="000000" w:themeColor="text1"/>
          <w:sz w:val="22"/>
          <w:szCs w:val="22"/>
          <w:lang w:val="es-CO"/>
        </w:rPr>
      </w:pPr>
    </w:p>
    <w:p w14:paraId="23D2E820" w14:textId="15B3CFEA" w:rsidR="008A4E27" w:rsidRDefault="0074487E" w:rsidP="00CD1842">
      <w:pPr>
        <w:jc w:val="both"/>
        <w:rPr>
          <w:rFonts w:ascii="Arial" w:hAnsi="Arial" w:cs="Arial"/>
          <w:color w:val="000000" w:themeColor="text1"/>
          <w:sz w:val="22"/>
          <w:szCs w:val="22"/>
          <w:lang w:val="es-CO"/>
        </w:rPr>
      </w:pPr>
      <w:r>
        <w:rPr>
          <w:rFonts w:ascii="Arial" w:hAnsi="Arial" w:cs="Arial"/>
          <w:b/>
          <w:color w:val="000000" w:themeColor="text1"/>
          <w:sz w:val="22"/>
          <w:szCs w:val="22"/>
          <w:lang w:val="es-CO"/>
        </w:rPr>
        <w:t>Séptimo</w:t>
      </w:r>
      <w:r w:rsidRPr="0013245B">
        <w:rPr>
          <w:rFonts w:ascii="Arial" w:hAnsi="Arial" w:cs="Arial"/>
          <w:b/>
          <w:color w:val="000000" w:themeColor="text1"/>
          <w:sz w:val="22"/>
          <w:szCs w:val="22"/>
          <w:lang w:val="es-CO"/>
        </w:rPr>
        <w:t>.</w:t>
      </w:r>
      <w:r>
        <w:rPr>
          <w:rFonts w:ascii="Arial" w:hAnsi="Arial" w:cs="Arial"/>
          <w:b/>
          <w:color w:val="000000" w:themeColor="text1"/>
          <w:sz w:val="22"/>
          <w:szCs w:val="22"/>
          <w:lang w:val="es-CO"/>
        </w:rPr>
        <w:t xml:space="preserve"> </w:t>
      </w:r>
      <w:r w:rsidR="008A4E27" w:rsidRPr="0005684F">
        <w:rPr>
          <w:rFonts w:ascii="Arial" w:hAnsi="Arial" w:cs="Arial"/>
          <w:color w:val="000000" w:themeColor="text1"/>
          <w:sz w:val="22"/>
          <w:szCs w:val="22"/>
          <w:lang w:val="es-CO"/>
        </w:rPr>
        <w:t xml:space="preserve">Que </w:t>
      </w:r>
      <w:r w:rsidR="00CD1842">
        <w:rPr>
          <w:rFonts w:ascii="Arial" w:hAnsi="Arial" w:cs="Arial"/>
          <w:color w:val="000000" w:themeColor="text1"/>
          <w:sz w:val="22"/>
          <w:szCs w:val="22"/>
          <w:lang w:val="es-CO"/>
        </w:rPr>
        <w:t xml:space="preserve">mediante Resolución No. 12 de 2018 </w:t>
      </w:r>
      <w:r w:rsidR="00CD1842" w:rsidRPr="00CD1842">
        <w:rPr>
          <w:rFonts w:ascii="Arial" w:hAnsi="Arial" w:cs="Arial"/>
          <w:color w:val="000000" w:themeColor="text1"/>
          <w:sz w:val="22"/>
          <w:szCs w:val="22"/>
          <w:lang w:val="es-CO"/>
        </w:rPr>
        <w:t>"</w:t>
      </w:r>
      <w:r w:rsidR="00CD1842" w:rsidRPr="00CD1842">
        <w:rPr>
          <w:rFonts w:ascii="Arial" w:hAnsi="Arial" w:cs="Arial"/>
          <w:i/>
          <w:color w:val="000000" w:themeColor="text1"/>
          <w:sz w:val="22"/>
          <w:szCs w:val="22"/>
          <w:lang w:val="es-CO"/>
        </w:rPr>
        <w:t>Por la cual se establece el Plan Anual de ICR y LEC para el Año 2019 y otras disposiciones</w:t>
      </w:r>
      <w:r w:rsidR="00CD1842">
        <w:rPr>
          <w:rFonts w:ascii="Arial" w:hAnsi="Arial" w:cs="Arial"/>
          <w:color w:val="000000" w:themeColor="text1"/>
          <w:sz w:val="22"/>
          <w:szCs w:val="22"/>
          <w:lang w:val="es-CO"/>
        </w:rPr>
        <w:t xml:space="preserve">”, </w:t>
      </w:r>
      <w:r w:rsidR="004E4202">
        <w:rPr>
          <w:rFonts w:ascii="Arial" w:hAnsi="Arial" w:cs="Arial"/>
          <w:color w:val="000000" w:themeColor="text1"/>
          <w:sz w:val="22"/>
          <w:szCs w:val="22"/>
          <w:lang w:val="es-CO"/>
        </w:rPr>
        <w:t>se establecieron</w:t>
      </w:r>
      <w:r w:rsidR="007915D6">
        <w:rPr>
          <w:rFonts w:ascii="Arial" w:hAnsi="Arial" w:cs="Arial"/>
          <w:color w:val="000000" w:themeColor="text1"/>
          <w:sz w:val="22"/>
          <w:szCs w:val="22"/>
          <w:lang w:val="es-CO"/>
        </w:rPr>
        <w:t>,</w:t>
      </w:r>
      <w:r w:rsidR="004E4202">
        <w:rPr>
          <w:rFonts w:ascii="Arial" w:hAnsi="Arial" w:cs="Arial"/>
          <w:color w:val="000000" w:themeColor="text1"/>
          <w:sz w:val="22"/>
          <w:szCs w:val="22"/>
          <w:lang w:val="es-CO"/>
        </w:rPr>
        <w:t xml:space="preserve"> entre otras, las condiciones de otorgamiento de la LEC General</w:t>
      </w:r>
      <w:r w:rsidR="007915D6">
        <w:rPr>
          <w:rFonts w:ascii="Arial" w:hAnsi="Arial" w:cs="Arial"/>
          <w:color w:val="000000" w:themeColor="text1"/>
          <w:sz w:val="22"/>
          <w:szCs w:val="22"/>
          <w:lang w:val="es-CO"/>
        </w:rPr>
        <w:t xml:space="preserve"> y la LEC de </w:t>
      </w:r>
      <w:r w:rsidR="000C2AC1">
        <w:rPr>
          <w:rFonts w:ascii="Arial" w:hAnsi="Arial" w:cs="Arial"/>
          <w:color w:val="000000" w:themeColor="text1"/>
          <w:sz w:val="22"/>
          <w:szCs w:val="22"/>
          <w:lang w:val="es-CO"/>
        </w:rPr>
        <w:t>“</w:t>
      </w:r>
      <w:r w:rsidR="007915D6">
        <w:rPr>
          <w:rFonts w:ascii="Arial" w:hAnsi="Arial" w:cs="Arial"/>
          <w:color w:val="000000" w:themeColor="text1"/>
          <w:sz w:val="22"/>
          <w:szCs w:val="22"/>
          <w:lang w:val="es-CO"/>
        </w:rPr>
        <w:t>Agricultura por Contrato</w:t>
      </w:r>
      <w:r w:rsidR="000C2AC1">
        <w:rPr>
          <w:rFonts w:ascii="Arial" w:hAnsi="Arial" w:cs="Arial"/>
          <w:color w:val="000000" w:themeColor="text1"/>
          <w:sz w:val="22"/>
          <w:szCs w:val="22"/>
          <w:lang w:val="es-CO"/>
        </w:rPr>
        <w:t>”</w:t>
      </w:r>
      <w:r w:rsidR="007915D6">
        <w:rPr>
          <w:rFonts w:ascii="Arial" w:hAnsi="Arial" w:cs="Arial"/>
          <w:color w:val="000000" w:themeColor="text1"/>
          <w:sz w:val="22"/>
          <w:szCs w:val="22"/>
          <w:lang w:val="es-CO"/>
        </w:rPr>
        <w:t xml:space="preserve"> </w:t>
      </w:r>
      <w:r w:rsidR="004E4202">
        <w:rPr>
          <w:rFonts w:ascii="Arial" w:hAnsi="Arial" w:cs="Arial"/>
          <w:color w:val="000000" w:themeColor="text1"/>
          <w:sz w:val="22"/>
          <w:szCs w:val="22"/>
          <w:lang w:val="es-CO"/>
        </w:rPr>
        <w:t xml:space="preserve">y </w:t>
      </w:r>
      <w:r w:rsidR="00CD1842">
        <w:rPr>
          <w:rFonts w:ascii="Arial" w:hAnsi="Arial" w:cs="Arial"/>
          <w:color w:val="000000" w:themeColor="text1"/>
          <w:sz w:val="22"/>
          <w:szCs w:val="22"/>
          <w:lang w:val="es-CO"/>
        </w:rPr>
        <w:t xml:space="preserve">se derogó la </w:t>
      </w:r>
      <w:r w:rsidR="00CD1842" w:rsidRPr="0005684F">
        <w:rPr>
          <w:rFonts w:ascii="Arial" w:hAnsi="Arial" w:cs="Arial"/>
          <w:color w:val="000000" w:themeColor="text1"/>
          <w:sz w:val="22"/>
          <w:szCs w:val="22"/>
          <w:lang w:val="es-CO"/>
        </w:rPr>
        <w:t xml:space="preserve">Resolución No. 7 de </w:t>
      </w:r>
      <w:r w:rsidR="00CD1842">
        <w:rPr>
          <w:rFonts w:ascii="Arial" w:hAnsi="Arial" w:cs="Arial"/>
          <w:color w:val="000000" w:themeColor="text1"/>
          <w:sz w:val="22"/>
          <w:szCs w:val="22"/>
          <w:lang w:val="es-CO"/>
        </w:rPr>
        <w:t>2018.</w:t>
      </w:r>
    </w:p>
    <w:p w14:paraId="6D1FE9CA" w14:textId="77777777" w:rsidR="008A4E27" w:rsidRPr="0005684F" w:rsidRDefault="008A4E27" w:rsidP="008A4E27">
      <w:pPr>
        <w:widowControl w:val="0"/>
        <w:jc w:val="both"/>
        <w:rPr>
          <w:rFonts w:ascii="Arial" w:hAnsi="Arial" w:cs="Arial"/>
          <w:color w:val="000000" w:themeColor="text1"/>
          <w:kern w:val="3"/>
          <w:sz w:val="22"/>
          <w:szCs w:val="22"/>
          <w:lang w:val="es-CO"/>
        </w:rPr>
      </w:pPr>
    </w:p>
    <w:p w14:paraId="7C58E63C" w14:textId="08103738" w:rsidR="008A4E27" w:rsidRPr="0005684F" w:rsidRDefault="0074487E" w:rsidP="008A4E27">
      <w:pPr>
        <w:tabs>
          <w:tab w:val="left" w:pos="8503"/>
        </w:tabs>
        <w:ind w:right="-2"/>
        <w:jc w:val="both"/>
        <w:rPr>
          <w:rFonts w:ascii="Arial" w:hAnsi="Arial"/>
          <w:color w:val="000000" w:themeColor="text1"/>
          <w:sz w:val="22"/>
          <w:szCs w:val="22"/>
          <w:lang w:val="es-CO"/>
        </w:rPr>
      </w:pPr>
      <w:r>
        <w:rPr>
          <w:rFonts w:ascii="Arial" w:hAnsi="Arial" w:cs="Arial"/>
          <w:b/>
          <w:color w:val="000000" w:themeColor="text1"/>
          <w:sz w:val="22"/>
          <w:szCs w:val="22"/>
          <w:lang w:val="es-CO" w:bidi="es-CO"/>
        </w:rPr>
        <w:t>Octavo</w:t>
      </w:r>
      <w:r w:rsidRPr="001059BD">
        <w:rPr>
          <w:rFonts w:ascii="Arial" w:hAnsi="Arial" w:cs="Arial"/>
          <w:color w:val="000000" w:themeColor="text1"/>
          <w:sz w:val="22"/>
          <w:szCs w:val="22"/>
          <w:lang w:val="es-CO" w:bidi="es-CO"/>
        </w:rPr>
        <w:t xml:space="preserve">. </w:t>
      </w:r>
      <w:r w:rsidR="006D2DEB" w:rsidRPr="00A917C7">
        <w:rPr>
          <w:rFonts w:ascii="Arial" w:hAnsi="Arial"/>
          <w:color w:val="000000" w:themeColor="text1"/>
          <w:sz w:val="22"/>
          <w:szCs w:val="22"/>
          <w:lang w:val="es-CO"/>
        </w:rPr>
        <w:t xml:space="preserve">Que las modificaciones a la Línea Especial de Crédito de “Agricultura por Contrato” </w:t>
      </w:r>
      <w:r>
        <w:rPr>
          <w:rFonts w:ascii="Arial" w:hAnsi="Arial"/>
          <w:color w:val="000000" w:themeColor="text1"/>
          <w:sz w:val="22"/>
          <w:szCs w:val="22"/>
          <w:lang w:val="es-CO"/>
        </w:rPr>
        <w:t>expuestas</w:t>
      </w:r>
      <w:r w:rsidR="006D2DEB" w:rsidRPr="00A917C7">
        <w:rPr>
          <w:rFonts w:ascii="Arial" w:hAnsi="Arial"/>
          <w:color w:val="000000" w:themeColor="text1"/>
          <w:sz w:val="22"/>
          <w:szCs w:val="22"/>
          <w:lang w:val="es-CO"/>
        </w:rPr>
        <w:t xml:space="preserve"> en la justificación técnica y jurídica correspondiente, permitirán </w:t>
      </w:r>
      <w:r w:rsidR="00140BB7">
        <w:rPr>
          <w:rFonts w:ascii="Arial" w:hAnsi="Arial"/>
          <w:color w:val="000000" w:themeColor="text1"/>
          <w:sz w:val="22"/>
          <w:szCs w:val="22"/>
          <w:lang w:val="es-CO"/>
        </w:rPr>
        <w:t xml:space="preserve">facilitar el acceso al crédito </w:t>
      </w:r>
      <w:r w:rsidR="006D2DEB" w:rsidRPr="00A917C7">
        <w:rPr>
          <w:rFonts w:ascii="Arial" w:hAnsi="Arial"/>
          <w:color w:val="000000" w:themeColor="text1"/>
          <w:sz w:val="22"/>
          <w:szCs w:val="22"/>
          <w:lang w:val="es-CO"/>
        </w:rPr>
        <w:t>que se base en mecanismos de agricultura por contrato, en la medida en que el</w:t>
      </w:r>
      <w:r w:rsidR="00A917C7" w:rsidRPr="00A917C7">
        <w:rPr>
          <w:rFonts w:ascii="Arial" w:hAnsi="Arial"/>
          <w:color w:val="000000" w:themeColor="text1"/>
          <w:sz w:val="22"/>
          <w:szCs w:val="22"/>
          <w:lang w:val="es-CO"/>
        </w:rPr>
        <w:t xml:space="preserve"> </w:t>
      </w:r>
      <w:r w:rsidR="006D2DEB" w:rsidRPr="00A917C7">
        <w:rPr>
          <w:rFonts w:ascii="Arial" w:hAnsi="Arial"/>
          <w:color w:val="000000" w:themeColor="text1"/>
          <w:sz w:val="22"/>
          <w:szCs w:val="22"/>
          <w:lang w:val="es-CO"/>
        </w:rPr>
        <w:t>control y seguimiento de las inversiones</w:t>
      </w:r>
      <w:r w:rsidR="003A454F" w:rsidRPr="00A917C7">
        <w:rPr>
          <w:rFonts w:ascii="Arial" w:hAnsi="Arial"/>
          <w:color w:val="000000" w:themeColor="text1"/>
          <w:sz w:val="22"/>
          <w:szCs w:val="22"/>
          <w:lang w:val="es-CO"/>
        </w:rPr>
        <w:t xml:space="preserve"> a cargo de los Intermediarios Financieros</w:t>
      </w:r>
      <w:r w:rsidR="006D2DEB" w:rsidRPr="00A917C7">
        <w:rPr>
          <w:rFonts w:ascii="Arial" w:hAnsi="Arial"/>
          <w:color w:val="000000" w:themeColor="text1"/>
          <w:sz w:val="22"/>
          <w:szCs w:val="22"/>
          <w:lang w:val="es-CO"/>
        </w:rPr>
        <w:t xml:space="preserve"> se ajusta</w:t>
      </w:r>
      <w:r w:rsidR="006B2E1A">
        <w:rPr>
          <w:rFonts w:ascii="Arial" w:hAnsi="Arial"/>
          <w:color w:val="000000" w:themeColor="text1"/>
          <w:sz w:val="22"/>
          <w:szCs w:val="22"/>
          <w:lang w:val="es-CO"/>
        </w:rPr>
        <w:t>rán</w:t>
      </w:r>
      <w:r w:rsidR="006D2DEB" w:rsidRPr="00A917C7">
        <w:rPr>
          <w:rFonts w:ascii="Arial" w:hAnsi="Arial"/>
          <w:color w:val="000000" w:themeColor="text1"/>
          <w:sz w:val="22"/>
          <w:szCs w:val="22"/>
          <w:lang w:val="es-CO"/>
        </w:rPr>
        <w:t xml:space="preserve"> a las dinámicas de comercialización de la producción agropecuaria, al igual que responderá </w:t>
      </w:r>
      <w:r w:rsidR="003A454F" w:rsidRPr="00A917C7">
        <w:rPr>
          <w:rFonts w:ascii="Arial" w:hAnsi="Arial"/>
          <w:color w:val="000000" w:themeColor="text1"/>
          <w:sz w:val="22"/>
          <w:szCs w:val="22"/>
          <w:lang w:val="es-CO"/>
        </w:rPr>
        <w:t>al objetivo de política</w:t>
      </w:r>
      <w:r w:rsidR="00A917C7" w:rsidRPr="00A917C7">
        <w:rPr>
          <w:rFonts w:ascii="Arial" w:hAnsi="Arial"/>
          <w:color w:val="000000" w:themeColor="text1"/>
          <w:sz w:val="22"/>
          <w:szCs w:val="22"/>
          <w:lang w:val="es-CO"/>
        </w:rPr>
        <w:t xml:space="preserve"> pública</w:t>
      </w:r>
      <w:r w:rsidR="003A454F" w:rsidRPr="00A917C7">
        <w:rPr>
          <w:rFonts w:ascii="Arial" w:hAnsi="Arial"/>
          <w:color w:val="000000" w:themeColor="text1"/>
          <w:sz w:val="22"/>
          <w:szCs w:val="22"/>
          <w:lang w:val="es-CO"/>
        </w:rPr>
        <w:t xml:space="preserve"> que tiene el subsidio</w:t>
      </w:r>
      <w:r w:rsidR="006B2E1A">
        <w:rPr>
          <w:rFonts w:ascii="Arial" w:hAnsi="Arial"/>
          <w:color w:val="000000" w:themeColor="text1"/>
          <w:sz w:val="22"/>
          <w:szCs w:val="22"/>
          <w:lang w:val="es-CO"/>
        </w:rPr>
        <w:t xml:space="preserve"> a la tasa</w:t>
      </w:r>
      <w:r w:rsidR="003A454F" w:rsidRPr="00A917C7">
        <w:rPr>
          <w:rFonts w:ascii="Arial" w:hAnsi="Arial"/>
          <w:color w:val="000000" w:themeColor="text1"/>
          <w:sz w:val="22"/>
          <w:szCs w:val="22"/>
          <w:lang w:val="es-CO"/>
        </w:rPr>
        <w:t xml:space="preserve"> que es </w:t>
      </w:r>
      <w:r w:rsidR="00A917C7" w:rsidRPr="00A917C7">
        <w:rPr>
          <w:rFonts w:ascii="Arial" w:hAnsi="Arial"/>
          <w:color w:val="000000" w:themeColor="text1"/>
          <w:sz w:val="22"/>
          <w:szCs w:val="22"/>
          <w:lang w:val="es-CO"/>
        </w:rPr>
        <w:t>la entrega de los productos agropecuarios al comprador de conformidad con el contrato u orden de compra</w:t>
      </w:r>
      <w:r w:rsidR="003A454F" w:rsidRPr="00A917C7">
        <w:rPr>
          <w:rFonts w:ascii="Arial" w:hAnsi="Arial"/>
          <w:color w:val="000000" w:themeColor="text1"/>
          <w:sz w:val="22"/>
          <w:szCs w:val="22"/>
          <w:lang w:val="es-CO"/>
        </w:rPr>
        <w:t>.</w:t>
      </w:r>
      <w:r w:rsidR="003A454F">
        <w:rPr>
          <w:rFonts w:ascii="Arial" w:hAnsi="Arial"/>
          <w:color w:val="000000" w:themeColor="text1"/>
          <w:sz w:val="22"/>
          <w:szCs w:val="22"/>
          <w:lang w:val="es-CO"/>
        </w:rPr>
        <w:t xml:space="preserve">  </w:t>
      </w:r>
      <w:r w:rsidR="006D2DEB">
        <w:rPr>
          <w:rFonts w:ascii="Arial" w:hAnsi="Arial"/>
          <w:color w:val="000000" w:themeColor="text1"/>
          <w:sz w:val="22"/>
          <w:szCs w:val="22"/>
          <w:lang w:val="es-CO"/>
        </w:rPr>
        <w:t xml:space="preserve"> </w:t>
      </w:r>
    </w:p>
    <w:p w14:paraId="798595BD" w14:textId="77777777" w:rsidR="008A4E27" w:rsidRPr="0005684F" w:rsidRDefault="008A4E27" w:rsidP="008A4E27">
      <w:pPr>
        <w:tabs>
          <w:tab w:val="left" w:pos="8503"/>
        </w:tabs>
        <w:ind w:right="-2"/>
        <w:jc w:val="both"/>
        <w:rPr>
          <w:rFonts w:ascii="Arial" w:hAnsi="Arial" w:cs="Arial"/>
          <w:i/>
          <w:color w:val="000000" w:themeColor="text1"/>
          <w:sz w:val="22"/>
          <w:szCs w:val="22"/>
          <w:lang w:val="es-CO" w:bidi="es-CO"/>
        </w:rPr>
      </w:pPr>
    </w:p>
    <w:p w14:paraId="2448DD3C" w14:textId="0B402C42" w:rsidR="00853E77" w:rsidRPr="001059BD" w:rsidRDefault="0074487E" w:rsidP="008A4E27">
      <w:pPr>
        <w:tabs>
          <w:tab w:val="left" w:pos="8503"/>
        </w:tabs>
        <w:ind w:right="-2"/>
        <w:jc w:val="both"/>
        <w:rPr>
          <w:rFonts w:ascii="Arial" w:hAnsi="Arial" w:cs="Arial"/>
          <w:color w:val="000000" w:themeColor="text1"/>
          <w:sz w:val="22"/>
          <w:szCs w:val="22"/>
          <w:lang w:val="es-CO" w:bidi="es-CO"/>
        </w:rPr>
      </w:pPr>
      <w:r>
        <w:rPr>
          <w:rFonts w:ascii="Arial" w:hAnsi="Arial" w:cs="Arial"/>
          <w:b/>
          <w:color w:val="000000" w:themeColor="text1"/>
          <w:sz w:val="22"/>
          <w:szCs w:val="22"/>
          <w:lang w:val="es-CO" w:bidi="es-CO"/>
        </w:rPr>
        <w:t>Noveno</w:t>
      </w:r>
      <w:r w:rsidR="008A4E27" w:rsidRPr="001059BD">
        <w:rPr>
          <w:rFonts w:ascii="Arial" w:hAnsi="Arial" w:cs="Arial"/>
          <w:color w:val="000000" w:themeColor="text1"/>
          <w:sz w:val="22"/>
          <w:szCs w:val="22"/>
          <w:lang w:val="es-CO" w:bidi="es-CO"/>
        </w:rPr>
        <w:t xml:space="preserve">. </w:t>
      </w:r>
      <w:r w:rsidR="00853E77" w:rsidRPr="001059BD">
        <w:rPr>
          <w:rFonts w:ascii="Arial" w:hAnsi="Arial" w:cs="Arial"/>
          <w:color w:val="000000" w:themeColor="text1"/>
          <w:sz w:val="22"/>
          <w:szCs w:val="22"/>
          <w:lang w:val="es-CO" w:bidi="es-CO"/>
        </w:rPr>
        <w:t xml:space="preserve">Que el literal h del artículo 5º de la Resolución CNCA No. 12 de 2018, establece </w:t>
      </w:r>
      <w:r w:rsidR="001059BD" w:rsidRPr="001059BD">
        <w:rPr>
          <w:rFonts w:ascii="Arial" w:hAnsi="Arial" w:cs="Arial"/>
          <w:color w:val="000000" w:themeColor="text1"/>
          <w:sz w:val="22"/>
          <w:szCs w:val="22"/>
          <w:lang w:val="es-CO" w:bidi="es-CO"/>
        </w:rPr>
        <w:t>que el</w:t>
      </w:r>
      <w:r w:rsidR="00853E77" w:rsidRPr="001059BD">
        <w:rPr>
          <w:rFonts w:ascii="Arial" w:hAnsi="Arial" w:cs="Arial"/>
          <w:color w:val="000000" w:themeColor="text1"/>
          <w:sz w:val="22"/>
          <w:szCs w:val="22"/>
          <w:lang w:val="es-CO" w:bidi="es-CO"/>
        </w:rPr>
        <w:t xml:space="preserve"> subsidio a la tasa podrá otorgarse únicamente para la financiación de proyectos productivos adelantados dentro de las zonas que la Unidad de Planificación Rural Agropecuaria (UPRA) determine como aptas, mediante el empleo del Sistema de Información para la Planificación Rural Agropecuaria – SIPRA.</w:t>
      </w:r>
    </w:p>
    <w:p w14:paraId="58B95D47" w14:textId="77777777" w:rsidR="00853E77" w:rsidRPr="001059BD" w:rsidRDefault="00853E77" w:rsidP="008A4E27">
      <w:pPr>
        <w:tabs>
          <w:tab w:val="left" w:pos="8503"/>
        </w:tabs>
        <w:ind w:right="-2"/>
        <w:jc w:val="both"/>
        <w:rPr>
          <w:rFonts w:ascii="Arial" w:hAnsi="Arial" w:cs="Arial"/>
          <w:color w:val="000000" w:themeColor="text1"/>
          <w:sz w:val="22"/>
          <w:szCs w:val="22"/>
          <w:lang w:val="es-CO" w:bidi="es-CO"/>
        </w:rPr>
      </w:pPr>
    </w:p>
    <w:p w14:paraId="07C5B8A4" w14:textId="2D284D4C" w:rsidR="00407661" w:rsidRPr="001059BD" w:rsidRDefault="0074487E" w:rsidP="008A4E27">
      <w:pPr>
        <w:tabs>
          <w:tab w:val="left" w:pos="8503"/>
        </w:tabs>
        <w:ind w:right="-2"/>
        <w:jc w:val="both"/>
        <w:rPr>
          <w:rFonts w:ascii="Arial" w:hAnsi="Arial" w:cs="Arial"/>
          <w:color w:val="000000" w:themeColor="text1"/>
          <w:sz w:val="22"/>
          <w:szCs w:val="22"/>
          <w:lang w:val="es-CO" w:bidi="es-CO"/>
        </w:rPr>
      </w:pPr>
      <w:r>
        <w:rPr>
          <w:rFonts w:ascii="Arial" w:hAnsi="Arial" w:cs="Arial"/>
          <w:b/>
          <w:color w:val="000000" w:themeColor="text1"/>
          <w:sz w:val="22"/>
          <w:szCs w:val="22"/>
          <w:lang w:val="es-CO" w:bidi="es-CO"/>
        </w:rPr>
        <w:t>Décimo</w:t>
      </w:r>
      <w:r w:rsidR="001059BD" w:rsidRPr="001059BD">
        <w:rPr>
          <w:rFonts w:ascii="Arial" w:hAnsi="Arial" w:cs="Arial"/>
          <w:b/>
          <w:color w:val="000000" w:themeColor="text1"/>
          <w:sz w:val="22"/>
          <w:szCs w:val="22"/>
          <w:lang w:val="es-CO" w:bidi="es-CO"/>
        </w:rPr>
        <w:t xml:space="preserve">. </w:t>
      </w:r>
      <w:r w:rsidR="009A70F3" w:rsidRPr="001059BD">
        <w:rPr>
          <w:rFonts w:ascii="Arial" w:hAnsi="Arial" w:cs="Arial"/>
          <w:color w:val="000000" w:themeColor="text1"/>
          <w:sz w:val="22"/>
          <w:szCs w:val="22"/>
          <w:lang w:val="es-CO" w:bidi="es-CO"/>
        </w:rPr>
        <w:t xml:space="preserve">Que </w:t>
      </w:r>
      <w:r w:rsidR="009042B1" w:rsidRPr="001059BD">
        <w:rPr>
          <w:rFonts w:ascii="Arial" w:hAnsi="Arial" w:cs="Arial"/>
          <w:color w:val="000000" w:themeColor="text1"/>
          <w:sz w:val="22"/>
          <w:szCs w:val="22"/>
          <w:lang w:val="es-CO" w:bidi="es-CO"/>
        </w:rPr>
        <w:t xml:space="preserve">teniendo en cuenta </w:t>
      </w:r>
      <w:r w:rsidR="00407661" w:rsidRPr="001059BD">
        <w:rPr>
          <w:rFonts w:ascii="Arial" w:hAnsi="Arial" w:cs="Arial"/>
          <w:color w:val="000000" w:themeColor="text1"/>
          <w:sz w:val="22"/>
          <w:szCs w:val="22"/>
          <w:lang w:val="es-CO" w:bidi="es-CO"/>
        </w:rPr>
        <w:t>la política del Ministerio de Agricultura y Desarrollo Rural (MADR),</w:t>
      </w:r>
      <w:r w:rsidR="002B215B" w:rsidRPr="001059BD">
        <w:rPr>
          <w:rFonts w:ascii="Arial" w:hAnsi="Arial" w:cs="Arial"/>
          <w:color w:val="000000" w:themeColor="text1"/>
          <w:sz w:val="22"/>
          <w:szCs w:val="22"/>
          <w:lang w:val="es-CO" w:bidi="es-CO"/>
        </w:rPr>
        <w:t xml:space="preserve"> en particular la </w:t>
      </w:r>
      <w:r w:rsidR="00853E77" w:rsidRPr="001059BD">
        <w:rPr>
          <w:rFonts w:ascii="Arial" w:hAnsi="Arial" w:cs="Arial"/>
          <w:color w:val="000000" w:themeColor="text1"/>
          <w:sz w:val="22"/>
          <w:szCs w:val="22"/>
          <w:lang w:val="es-CO" w:bidi="es-CO"/>
        </w:rPr>
        <w:t xml:space="preserve">necesidad de que los instrumentos de fomento abarquen en lo posible todos los productos agropecuarios, y </w:t>
      </w:r>
      <w:r w:rsidR="009042B1" w:rsidRPr="001059BD">
        <w:rPr>
          <w:rFonts w:ascii="Arial" w:hAnsi="Arial" w:cs="Arial"/>
          <w:color w:val="000000" w:themeColor="text1"/>
          <w:sz w:val="22"/>
          <w:szCs w:val="22"/>
          <w:lang w:val="es-CO" w:bidi="es-CO"/>
        </w:rPr>
        <w:t xml:space="preserve">que </w:t>
      </w:r>
      <w:r w:rsidR="00407661" w:rsidRPr="001059BD">
        <w:rPr>
          <w:rFonts w:ascii="Arial" w:hAnsi="Arial" w:cs="Arial"/>
          <w:color w:val="000000" w:themeColor="text1"/>
          <w:sz w:val="22"/>
          <w:szCs w:val="22"/>
          <w:lang w:val="es-CO" w:bidi="es-CO"/>
        </w:rPr>
        <w:t>actualmente</w:t>
      </w:r>
      <w:r w:rsidR="009042B1" w:rsidRPr="001059BD">
        <w:rPr>
          <w:rFonts w:ascii="Arial" w:hAnsi="Arial" w:cs="Arial"/>
          <w:color w:val="000000" w:themeColor="text1"/>
          <w:sz w:val="22"/>
          <w:szCs w:val="22"/>
          <w:lang w:val="es-CO" w:bidi="es-CO"/>
        </w:rPr>
        <w:t xml:space="preserve"> existen</w:t>
      </w:r>
      <w:r w:rsidR="00853E77" w:rsidRPr="001059BD">
        <w:rPr>
          <w:rFonts w:ascii="Arial" w:hAnsi="Arial" w:cs="Arial"/>
          <w:color w:val="000000" w:themeColor="text1"/>
          <w:sz w:val="22"/>
          <w:szCs w:val="22"/>
          <w:lang w:val="es-CO" w:bidi="es-CO"/>
        </w:rPr>
        <w:t xml:space="preserve"> únicamente</w:t>
      </w:r>
      <w:r w:rsidR="009042B1" w:rsidRPr="001059BD">
        <w:rPr>
          <w:rFonts w:ascii="Arial" w:hAnsi="Arial" w:cs="Arial"/>
          <w:color w:val="000000" w:themeColor="text1"/>
          <w:sz w:val="22"/>
          <w:szCs w:val="22"/>
          <w:lang w:val="es-CO" w:bidi="es-CO"/>
        </w:rPr>
        <w:t xml:space="preserve"> </w:t>
      </w:r>
      <w:r w:rsidR="00853E77" w:rsidRPr="001059BD">
        <w:rPr>
          <w:rFonts w:ascii="Arial" w:hAnsi="Arial" w:cs="Arial"/>
          <w:color w:val="000000" w:themeColor="text1"/>
          <w:sz w:val="22"/>
          <w:szCs w:val="22"/>
          <w:lang w:val="es-CO" w:bidi="es-CO"/>
        </w:rPr>
        <w:t>veintitrés</w:t>
      </w:r>
      <w:r w:rsidR="009042B1" w:rsidRPr="001059BD">
        <w:rPr>
          <w:rFonts w:ascii="Arial" w:hAnsi="Arial" w:cs="Arial"/>
          <w:color w:val="000000" w:themeColor="text1"/>
          <w:sz w:val="22"/>
          <w:szCs w:val="22"/>
          <w:lang w:val="es-CO" w:bidi="es-CO"/>
        </w:rPr>
        <w:t xml:space="preserve"> (2</w:t>
      </w:r>
      <w:r w:rsidR="00853E77" w:rsidRPr="001059BD">
        <w:rPr>
          <w:rFonts w:ascii="Arial" w:hAnsi="Arial" w:cs="Arial"/>
          <w:color w:val="000000" w:themeColor="text1"/>
          <w:sz w:val="22"/>
          <w:szCs w:val="22"/>
          <w:lang w:val="es-CO" w:bidi="es-CO"/>
        </w:rPr>
        <w:t>3</w:t>
      </w:r>
      <w:r w:rsidR="009042B1" w:rsidRPr="001059BD">
        <w:rPr>
          <w:rFonts w:ascii="Arial" w:hAnsi="Arial" w:cs="Arial"/>
          <w:color w:val="000000" w:themeColor="text1"/>
          <w:sz w:val="22"/>
          <w:szCs w:val="22"/>
          <w:lang w:val="es-CO" w:bidi="es-CO"/>
        </w:rPr>
        <w:t>) mapas de zonificación de aptitud</w:t>
      </w:r>
      <w:r w:rsidR="001059BD" w:rsidRPr="001059BD">
        <w:rPr>
          <w:rFonts w:ascii="Arial" w:hAnsi="Arial" w:cs="Arial"/>
          <w:color w:val="000000" w:themeColor="text1"/>
          <w:sz w:val="22"/>
          <w:szCs w:val="22"/>
          <w:lang w:val="es-CO" w:bidi="es-CO"/>
        </w:rPr>
        <w:t xml:space="preserve"> de la UPRA</w:t>
      </w:r>
      <w:r w:rsidR="009042B1" w:rsidRPr="001059BD">
        <w:rPr>
          <w:rFonts w:ascii="Arial" w:hAnsi="Arial" w:cs="Arial"/>
          <w:color w:val="000000" w:themeColor="text1"/>
          <w:sz w:val="22"/>
          <w:szCs w:val="22"/>
          <w:lang w:val="es-CO" w:bidi="es-CO"/>
        </w:rPr>
        <w:t xml:space="preserve">, </w:t>
      </w:r>
      <w:r w:rsidR="00853E77" w:rsidRPr="001059BD">
        <w:rPr>
          <w:rFonts w:ascii="Arial" w:hAnsi="Arial" w:cs="Arial"/>
          <w:color w:val="000000" w:themeColor="text1"/>
          <w:sz w:val="22"/>
          <w:szCs w:val="22"/>
          <w:lang w:val="es-CO" w:bidi="es-CO"/>
        </w:rPr>
        <w:t xml:space="preserve">es conveniente modificar el </w:t>
      </w:r>
      <w:r w:rsidR="00407661" w:rsidRPr="001059BD">
        <w:rPr>
          <w:rFonts w:ascii="Arial" w:hAnsi="Arial" w:cs="Arial"/>
          <w:color w:val="000000" w:themeColor="text1"/>
          <w:sz w:val="22"/>
          <w:szCs w:val="22"/>
          <w:lang w:val="es-CO" w:bidi="es-CO"/>
        </w:rPr>
        <w:t xml:space="preserve">literal h del Artículo 5º </w:t>
      </w:r>
      <w:r w:rsidR="00853E77" w:rsidRPr="001059BD">
        <w:rPr>
          <w:rFonts w:ascii="Arial" w:hAnsi="Arial" w:cs="Arial"/>
          <w:color w:val="000000" w:themeColor="text1"/>
          <w:sz w:val="22"/>
          <w:szCs w:val="22"/>
          <w:lang w:val="es-CO" w:bidi="es-CO"/>
        </w:rPr>
        <w:t>de la Resolución CNCA No. 12, con el fin de ampliar la cobertura del subsidio a los diferentes productos agropecuarios, que no estén actualmente zonificados.</w:t>
      </w:r>
    </w:p>
    <w:p w14:paraId="5ABAB372" w14:textId="77777777" w:rsidR="00407661" w:rsidRDefault="00407661" w:rsidP="008A4E27">
      <w:pPr>
        <w:tabs>
          <w:tab w:val="left" w:pos="8503"/>
        </w:tabs>
        <w:ind w:right="-2"/>
        <w:jc w:val="both"/>
        <w:rPr>
          <w:rFonts w:ascii="Arial" w:hAnsi="Arial" w:cs="Arial"/>
          <w:color w:val="000000" w:themeColor="text1"/>
          <w:sz w:val="22"/>
          <w:szCs w:val="22"/>
          <w:highlight w:val="cyan"/>
          <w:lang w:val="es-CO" w:bidi="es-CO"/>
        </w:rPr>
      </w:pPr>
    </w:p>
    <w:p w14:paraId="0A32FBBA" w14:textId="7E3F0C50" w:rsidR="003940FE" w:rsidRDefault="0074487E" w:rsidP="008A4E27">
      <w:pPr>
        <w:tabs>
          <w:tab w:val="left" w:pos="8503"/>
        </w:tabs>
        <w:ind w:right="-2"/>
        <w:jc w:val="both"/>
        <w:rPr>
          <w:rFonts w:ascii="Arial" w:hAnsi="Arial" w:cs="Arial"/>
          <w:color w:val="000000" w:themeColor="text1"/>
          <w:sz w:val="22"/>
          <w:szCs w:val="22"/>
          <w:lang w:val="es-CO" w:bidi="es-CO"/>
        </w:rPr>
      </w:pPr>
      <w:r>
        <w:rPr>
          <w:rFonts w:ascii="Arial" w:hAnsi="Arial" w:cs="Arial"/>
          <w:b/>
          <w:color w:val="000000" w:themeColor="text1"/>
          <w:sz w:val="22"/>
          <w:szCs w:val="22"/>
          <w:lang w:val="es-CO" w:bidi="es-CO"/>
        </w:rPr>
        <w:t>Décimo Primero</w:t>
      </w:r>
      <w:r w:rsidR="001059BD">
        <w:rPr>
          <w:rFonts w:ascii="Arial" w:hAnsi="Arial" w:cs="Arial"/>
          <w:b/>
          <w:color w:val="000000" w:themeColor="text1"/>
          <w:sz w:val="22"/>
          <w:szCs w:val="22"/>
          <w:lang w:val="es-CO" w:bidi="es-CO"/>
        </w:rPr>
        <w:t>.</w:t>
      </w:r>
      <w:r w:rsidR="008A4E27" w:rsidRPr="0005684F">
        <w:rPr>
          <w:rFonts w:ascii="Arial" w:hAnsi="Arial" w:cs="Arial"/>
          <w:color w:val="000000" w:themeColor="text1"/>
          <w:sz w:val="22"/>
          <w:szCs w:val="22"/>
          <w:lang w:val="es-CO" w:bidi="es-CO"/>
        </w:rPr>
        <w:t xml:space="preserve"> </w:t>
      </w:r>
      <w:r w:rsidR="009A70F3" w:rsidRPr="0005684F">
        <w:rPr>
          <w:rFonts w:ascii="Arial" w:hAnsi="Arial" w:cs="Arial"/>
          <w:color w:val="000000" w:themeColor="text1"/>
          <w:sz w:val="22"/>
          <w:szCs w:val="22"/>
          <w:lang w:val="es-CO" w:bidi="es-CO"/>
        </w:rPr>
        <w:t xml:space="preserve">Que los demás términos y condiciones previstos en la Resolución No. </w:t>
      </w:r>
      <w:r w:rsidR="00C04379">
        <w:rPr>
          <w:rFonts w:ascii="Arial" w:hAnsi="Arial" w:cs="Arial"/>
          <w:color w:val="000000" w:themeColor="text1"/>
          <w:sz w:val="22"/>
          <w:szCs w:val="22"/>
          <w:lang w:val="es-CO" w:bidi="es-CO"/>
        </w:rPr>
        <w:t>12 de 2018</w:t>
      </w:r>
      <w:r w:rsidR="00F308E1">
        <w:rPr>
          <w:rFonts w:ascii="Arial" w:hAnsi="Arial" w:cs="Arial"/>
          <w:color w:val="000000" w:themeColor="text1"/>
          <w:sz w:val="22"/>
          <w:szCs w:val="22"/>
          <w:lang w:val="es-CO" w:bidi="es-CO"/>
        </w:rPr>
        <w:t>, permanecerán inalterada</w:t>
      </w:r>
      <w:r w:rsidR="009A70F3" w:rsidRPr="0005684F">
        <w:rPr>
          <w:rFonts w:ascii="Arial" w:hAnsi="Arial" w:cs="Arial"/>
          <w:color w:val="000000" w:themeColor="text1"/>
          <w:sz w:val="22"/>
          <w:szCs w:val="22"/>
          <w:lang w:val="es-CO" w:bidi="es-CO"/>
        </w:rPr>
        <w:t>s conservando su vigor y efecto, en cuanto no sean contrarios con lo pretendido y establecido en la presente resolución.</w:t>
      </w:r>
    </w:p>
    <w:p w14:paraId="60EFB2C2" w14:textId="77777777" w:rsidR="003940FE" w:rsidRDefault="003940FE" w:rsidP="008A4E27">
      <w:pPr>
        <w:tabs>
          <w:tab w:val="left" w:pos="8503"/>
        </w:tabs>
        <w:ind w:right="-2"/>
        <w:jc w:val="both"/>
        <w:rPr>
          <w:rFonts w:ascii="Arial" w:hAnsi="Arial" w:cs="Arial"/>
          <w:color w:val="000000" w:themeColor="text1"/>
          <w:sz w:val="22"/>
          <w:szCs w:val="22"/>
          <w:lang w:val="es-CO" w:bidi="es-CO"/>
        </w:rPr>
      </w:pPr>
    </w:p>
    <w:p w14:paraId="66A9B269" w14:textId="13624DD4" w:rsidR="008A4E27" w:rsidRPr="0005684F" w:rsidRDefault="0074487E" w:rsidP="008A4E27">
      <w:pPr>
        <w:tabs>
          <w:tab w:val="left" w:pos="8503"/>
        </w:tabs>
        <w:ind w:right="-2"/>
        <w:jc w:val="both"/>
        <w:rPr>
          <w:rFonts w:ascii="Arial" w:hAnsi="Arial" w:cs="Arial"/>
          <w:color w:val="000000" w:themeColor="text1"/>
          <w:sz w:val="22"/>
          <w:szCs w:val="22"/>
          <w:lang w:val="es-CO" w:bidi="es-CO"/>
        </w:rPr>
      </w:pPr>
      <w:r>
        <w:rPr>
          <w:rFonts w:ascii="Arial" w:hAnsi="Arial" w:cs="Arial"/>
          <w:b/>
          <w:color w:val="000000" w:themeColor="text1"/>
          <w:sz w:val="22"/>
          <w:szCs w:val="22"/>
          <w:lang w:val="es-CO" w:bidi="es-CO"/>
        </w:rPr>
        <w:t>Décimo Segundo</w:t>
      </w:r>
      <w:r w:rsidR="003940FE" w:rsidRPr="0005684F">
        <w:rPr>
          <w:rFonts w:ascii="Arial" w:hAnsi="Arial" w:cs="Arial"/>
          <w:b/>
          <w:color w:val="000000" w:themeColor="text1"/>
          <w:sz w:val="22"/>
          <w:szCs w:val="22"/>
          <w:lang w:val="es-CO" w:bidi="es-CO"/>
        </w:rPr>
        <w:t>.</w:t>
      </w:r>
      <w:r w:rsidR="003940FE" w:rsidRPr="0005684F">
        <w:rPr>
          <w:rFonts w:ascii="Arial" w:hAnsi="Arial" w:cs="Arial"/>
          <w:color w:val="000000" w:themeColor="text1"/>
          <w:sz w:val="22"/>
          <w:szCs w:val="22"/>
          <w:lang w:val="es-CO" w:bidi="es-CO"/>
        </w:rPr>
        <w:t xml:space="preserve"> </w:t>
      </w:r>
      <w:r w:rsidR="008A4E27" w:rsidRPr="0005684F">
        <w:rPr>
          <w:rFonts w:ascii="Arial" w:hAnsi="Arial" w:cs="Arial"/>
          <w:color w:val="000000" w:themeColor="text1"/>
          <w:sz w:val="22"/>
          <w:szCs w:val="22"/>
          <w:lang w:val="es-CO" w:bidi="es-CO"/>
        </w:rPr>
        <w:t>Que el proyecto de resolución “</w:t>
      </w:r>
      <w:r w:rsidR="00BF7E32" w:rsidRPr="0005684F">
        <w:rPr>
          <w:rFonts w:ascii="Arial" w:hAnsi="Arial" w:cs="Arial"/>
          <w:color w:val="000000" w:themeColor="text1"/>
          <w:sz w:val="22"/>
          <w:szCs w:val="22"/>
          <w:lang w:val="es-CO"/>
        </w:rPr>
        <w:t>Por la cual se modifica la Resolución No. 12 de 2018</w:t>
      </w:r>
      <w:r w:rsidR="00612F72">
        <w:rPr>
          <w:rFonts w:ascii="Arial" w:hAnsi="Arial" w:cs="Arial"/>
          <w:color w:val="000000" w:themeColor="text1"/>
          <w:sz w:val="22"/>
          <w:szCs w:val="22"/>
          <w:lang w:val="es-CO"/>
        </w:rPr>
        <w:t>”</w:t>
      </w:r>
      <w:r w:rsidR="008A4E27" w:rsidRPr="0005684F">
        <w:rPr>
          <w:rFonts w:ascii="Arial" w:hAnsi="Arial" w:cs="Arial"/>
          <w:color w:val="000000" w:themeColor="text1"/>
          <w:sz w:val="22"/>
          <w:szCs w:val="22"/>
          <w:lang w:val="es-CO" w:bidi="es-CO"/>
        </w:rPr>
        <w:t>, estuvo publicado en la página web de FINAGRO para comentarios.</w:t>
      </w:r>
    </w:p>
    <w:p w14:paraId="172E629A" w14:textId="77777777" w:rsidR="008A4E27" w:rsidRPr="0005684F" w:rsidRDefault="008A4E27" w:rsidP="008A4E27">
      <w:pPr>
        <w:tabs>
          <w:tab w:val="left" w:pos="8503"/>
        </w:tabs>
        <w:ind w:right="-2"/>
        <w:jc w:val="both"/>
        <w:rPr>
          <w:rFonts w:ascii="Arial" w:hAnsi="Arial" w:cs="Arial"/>
          <w:color w:val="000000" w:themeColor="text1"/>
          <w:sz w:val="22"/>
          <w:szCs w:val="22"/>
          <w:lang w:val="es-CO" w:bidi="es-CO"/>
        </w:rPr>
      </w:pPr>
    </w:p>
    <w:p w14:paraId="69897C78" w14:textId="0057A19D" w:rsidR="008A4E27" w:rsidRPr="0005684F" w:rsidRDefault="0074487E" w:rsidP="008A4E27">
      <w:pPr>
        <w:tabs>
          <w:tab w:val="left" w:pos="8503"/>
        </w:tabs>
        <w:ind w:right="-2"/>
        <w:jc w:val="both"/>
        <w:rPr>
          <w:rFonts w:ascii="Arial" w:hAnsi="Arial" w:cs="Arial"/>
          <w:color w:val="000000" w:themeColor="text1"/>
          <w:sz w:val="22"/>
          <w:szCs w:val="22"/>
          <w:lang w:val="es-CO" w:bidi="es-CO"/>
        </w:rPr>
      </w:pPr>
      <w:r>
        <w:rPr>
          <w:rFonts w:ascii="Arial" w:hAnsi="Arial" w:cs="Arial"/>
          <w:b/>
          <w:color w:val="000000" w:themeColor="text1"/>
          <w:sz w:val="22"/>
          <w:szCs w:val="22"/>
          <w:lang w:val="es-CO" w:bidi="es-CO"/>
        </w:rPr>
        <w:t>Décimo Tercero</w:t>
      </w:r>
      <w:r w:rsidR="003940FE" w:rsidRPr="003940FE">
        <w:rPr>
          <w:rFonts w:ascii="Arial" w:hAnsi="Arial" w:cs="Arial"/>
          <w:b/>
          <w:color w:val="000000" w:themeColor="text1"/>
          <w:sz w:val="22"/>
          <w:szCs w:val="22"/>
          <w:lang w:val="es-CO" w:bidi="es-CO"/>
        </w:rPr>
        <w:t xml:space="preserve">. </w:t>
      </w:r>
      <w:r w:rsidR="008A4E27" w:rsidRPr="0005684F">
        <w:rPr>
          <w:rFonts w:ascii="Arial" w:hAnsi="Arial" w:cs="Arial"/>
          <w:color w:val="000000" w:themeColor="text1"/>
          <w:sz w:val="22"/>
          <w:szCs w:val="22"/>
          <w:lang w:val="es-CO" w:bidi="es-CO"/>
        </w:rPr>
        <w:t>Que el documento con la justificación jurídica y técnica de la presente resolución fue presentado para consideración de la CNCA y discutido en la reunión llevada a cabo el día veinti</w:t>
      </w:r>
      <w:r w:rsidR="0097058D">
        <w:rPr>
          <w:rFonts w:ascii="Arial" w:hAnsi="Arial" w:cs="Arial"/>
          <w:color w:val="000000" w:themeColor="text1"/>
          <w:sz w:val="22"/>
          <w:szCs w:val="22"/>
          <w:lang w:val="es-CO" w:bidi="es-CO"/>
        </w:rPr>
        <w:t>dós</w:t>
      </w:r>
      <w:r w:rsidR="008A4E27" w:rsidRPr="0005684F">
        <w:rPr>
          <w:rFonts w:ascii="Arial" w:hAnsi="Arial" w:cs="Arial"/>
          <w:color w:val="000000" w:themeColor="text1"/>
          <w:sz w:val="22"/>
          <w:szCs w:val="22"/>
          <w:lang w:val="es-CO" w:bidi="es-CO"/>
        </w:rPr>
        <w:t xml:space="preserve"> (2</w:t>
      </w:r>
      <w:r w:rsidR="0097058D">
        <w:rPr>
          <w:rFonts w:ascii="Arial" w:hAnsi="Arial" w:cs="Arial"/>
          <w:color w:val="000000" w:themeColor="text1"/>
          <w:sz w:val="22"/>
          <w:szCs w:val="22"/>
          <w:lang w:val="es-CO" w:bidi="es-CO"/>
        </w:rPr>
        <w:t>2</w:t>
      </w:r>
      <w:r w:rsidR="008A4E27" w:rsidRPr="0005684F">
        <w:rPr>
          <w:rFonts w:ascii="Arial" w:hAnsi="Arial" w:cs="Arial"/>
          <w:color w:val="000000" w:themeColor="text1"/>
          <w:sz w:val="22"/>
          <w:szCs w:val="22"/>
          <w:lang w:val="es-CO" w:bidi="es-CO"/>
        </w:rPr>
        <w:t xml:space="preserve">) de </w:t>
      </w:r>
      <w:r w:rsidR="0097058D">
        <w:rPr>
          <w:rFonts w:ascii="Arial" w:hAnsi="Arial" w:cs="Arial"/>
          <w:color w:val="000000" w:themeColor="text1"/>
          <w:sz w:val="22"/>
          <w:szCs w:val="22"/>
          <w:lang w:val="es-CO" w:bidi="es-CO"/>
        </w:rPr>
        <w:t>marzo</w:t>
      </w:r>
      <w:r w:rsidR="008A4E27" w:rsidRPr="0005684F">
        <w:rPr>
          <w:rFonts w:ascii="Arial" w:hAnsi="Arial" w:cs="Arial"/>
          <w:color w:val="000000" w:themeColor="text1"/>
          <w:sz w:val="22"/>
          <w:szCs w:val="22"/>
          <w:lang w:val="es-CO" w:bidi="es-CO"/>
        </w:rPr>
        <w:t xml:space="preserve"> de dos mil diecinueve (2019).</w:t>
      </w:r>
    </w:p>
    <w:p w14:paraId="5A78EF38" w14:textId="77777777" w:rsidR="00714DC2" w:rsidRPr="0005684F" w:rsidRDefault="00714DC2">
      <w:pPr>
        <w:rPr>
          <w:color w:val="000000" w:themeColor="text1"/>
        </w:rPr>
      </w:pPr>
    </w:p>
    <w:p w14:paraId="6C7E1933" w14:textId="77777777" w:rsidR="00714DC2" w:rsidRPr="0005684F" w:rsidRDefault="00714DC2" w:rsidP="00714DC2">
      <w:pPr>
        <w:tabs>
          <w:tab w:val="left" w:pos="8503"/>
        </w:tabs>
        <w:ind w:right="-2"/>
        <w:jc w:val="both"/>
        <w:rPr>
          <w:rFonts w:ascii="Arial" w:hAnsi="Arial" w:cs="Arial"/>
          <w:color w:val="000000" w:themeColor="text1"/>
          <w:sz w:val="22"/>
          <w:szCs w:val="22"/>
          <w:lang w:val="es-CO" w:bidi="es-CO"/>
        </w:rPr>
      </w:pPr>
      <w:r w:rsidRPr="0005684F">
        <w:rPr>
          <w:rFonts w:ascii="Arial" w:hAnsi="Arial" w:cs="Arial"/>
          <w:color w:val="000000" w:themeColor="text1"/>
          <w:sz w:val="22"/>
          <w:szCs w:val="22"/>
          <w:lang w:val="es-CO" w:bidi="es-CO"/>
        </w:rPr>
        <w:t>En mérito de lo anterior,</w:t>
      </w:r>
    </w:p>
    <w:p w14:paraId="76AB696B" w14:textId="77777777" w:rsidR="00EF7897" w:rsidRDefault="00EF7897" w:rsidP="00714DC2">
      <w:pPr>
        <w:pStyle w:val="c5"/>
        <w:tabs>
          <w:tab w:val="left" w:pos="1479"/>
        </w:tabs>
        <w:spacing w:line="240" w:lineRule="auto"/>
        <w:rPr>
          <w:rFonts w:ascii="Arial" w:hAnsi="Arial" w:cs="Arial"/>
          <w:b/>
          <w:color w:val="000000" w:themeColor="text1"/>
          <w:sz w:val="22"/>
          <w:szCs w:val="22"/>
          <w:lang w:val="es-CO"/>
        </w:rPr>
      </w:pPr>
    </w:p>
    <w:p w14:paraId="51A27375" w14:textId="77777777" w:rsidR="00EF7897" w:rsidRDefault="00EF7897" w:rsidP="00714DC2">
      <w:pPr>
        <w:pStyle w:val="c5"/>
        <w:tabs>
          <w:tab w:val="left" w:pos="1479"/>
        </w:tabs>
        <w:spacing w:line="240" w:lineRule="auto"/>
        <w:rPr>
          <w:rFonts w:ascii="Arial" w:hAnsi="Arial" w:cs="Arial"/>
          <w:b/>
          <w:color w:val="000000" w:themeColor="text1"/>
          <w:sz w:val="22"/>
          <w:szCs w:val="22"/>
          <w:lang w:val="es-CO"/>
        </w:rPr>
      </w:pPr>
    </w:p>
    <w:p w14:paraId="3C999BE9" w14:textId="28F81DF8" w:rsidR="00714DC2" w:rsidRPr="0005684F" w:rsidRDefault="00714DC2" w:rsidP="00714DC2">
      <w:pPr>
        <w:pStyle w:val="c5"/>
        <w:tabs>
          <w:tab w:val="left" w:pos="1479"/>
        </w:tabs>
        <w:spacing w:line="240" w:lineRule="auto"/>
        <w:rPr>
          <w:rFonts w:ascii="Arial" w:hAnsi="Arial" w:cs="Arial"/>
          <w:b/>
          <w:color w:val="000000" w:themeColor="text1"/>
          <w:sz w:val="22"/>
          <w:szCs w:val="22"/>
          <w:lang w:val="es-CO"/>
        </w:rPr>
      </w:pPr>
      <w:r w:rsidRPr="0005684F">
        <w:rPr>
          <w:rFonts w:ascii="Arial" w:hAnsi="Arial" w:cs="Arial"/>
          <w:b/>
          <w:color w:val="000000" w:themeColor="text1"/>
          <w:sz w:val="22"/>
          <w:szCs w:val="22"/>
          <w:lang w:val="es-CO"/>
        </w:rPr>
        <w:t>RESUELVE</w:t>
      </w:r>
    </w:p>
    <w:p w14:paraId="6BFF0026" w14:textId="77777777" w:rsidR="00714DC2" w:rsidRPr="0005684F" w:rsidRDefault="00714DC2" w:rsidP="00714DC2">
      <w:pPr>
        <w:pStyle w:val="p2"/>
        <w:spacing w:line="0" w:lineRule="atLeast"/>
        <w:ind w:left="0"/>
        <w:jc w:val="center"/>
        <w:rPr>
          <w:rFonts w:ascii="Arial" w:hAnsi="Arial" w:cs="Arial"/>
          <w:color w:val="000000" w:themeColor="text1"/>
          <w:sz w:val="22"/>
          <w:szCs w:val="22"/>
          <w:lang w:val="es-CO"/>
        </w:rPr>
      </w:pPr>
    </w:p>
    <w:p w14:paraId="30B5AF16" w14:textId="77777777" w:rsidR="002A5F3D" w:rsidRPr="002A5F3D" w:rsidRDefault="002A5F3D" w:rsidP="002A5F3D">
      <w:pPr>
        <w:widowControl w:val="0"/>
        <w:autoSpaceDE w:val="0"/>
        <w:autoSpaceDN w:val="0"/>
        <w:jc w:val="both"/>
        <w:rPr>
          <w:rFonts w:ascii="Arial" w:eastAsia="Arial" w:hAnsi="Arial" w:cs="Arial"/>
          <w:color w:val="000000" w:themeColor="text1"/>
          <w:sz w:val="22"/>
          <w:szCs w:val="22"/>
          <w:lang w:val="es-CO" w:eastAsia="es-CO" w:bidi="es-CO"/>
        </w:rPr>
      </w:pPr>
      <w:r w:rsidRPr="002A5F3D">
        <w:rPr>
          <w:rFonts w:ascii="Arial" w:eastAsia="Arial" w:hAnsi="Arial" w:cs="Arial"/>
          <w:b/>
          <w:color w:val="000000" w:themeColor="text1"/>
          <w:sz w:val="22"/>
          <w:szCs w:val="22"/>
          <w:lang w:val="es-CO" w:eastAsia="es-CO" w:bidi="es-CO"/>
        </w:rPr>
        <w:t>Artículo 1o.</w:t>
      </w:r>
      <w:r w:rsidRPr="002A5F3D">
        <w:rPr>
          <w:rFonts w:ascii="Arial" w:eastAsia="Arial" w:hAnsi="Arial" w:cs="Arial"/>
          <w:color w:val="000000" w:themeColor="text1"/>
          <w:sz w:val="22"/>
          <w:szCs w:val="22"/>
          <w:lang w:val="es-CO" w:eastAsia="es-CO" w:bidi="es-CO"/>
        </w:rPr>
        <w:t xml:space="preserve"> Modificar el artículo 7o. de la Resolución No. 12 de 2018 de la Comisión Nacional de Crédito Agropecuario -CNCA, el cual quedará así:</w:t>
      </w:r>
    </w:p>
    <w:p w14:paraId="450AAD71" w14:textId="77777777" w:rsidR="002A5F3D" w:rsidRPr="002A5F3D" w:rsidRDefault="002A5F3D" w:rsidP="002A5F3D">
      <w:pPr>
        <w:widowControl w:val="0"/>
        <w:autoSpaceDE w:val="0"/>
        <w:autoSpaceDN w:val="0"/>
        <w:jc w:val="both"/>
        <w:rPr>
          <w:rFonts w:ascii="Arial" w:eastAsia="Arial" w:hAnsi="Arial" w:cs="Arial"/>
          <w:color w:val="000000" w:themeColor="text1"/>
          <w:sz w:val="22"/>
          <w:szCs w:val="22"/>
          <w:lang w:val="es-CO" w:eastAsia="es-CO" w:bidi="es-CO"/>
        </w:rPr>
      </w:pPr>
    </w:p>
    <w:p w14:paraId="45ACA8B5" w14:textId="77777777" w:rsidR="002A5F3D" w:rsidRPr="002A5F3D" w:rsidRDefault="002A5F3D" w:rsidP="002A5F3D">
      <w:pPr>
        <w:widowControl w:val="0"/>
        <w:tabs>
          <w:tab w:val="left" w:pos="284"/>
        </w:tabs>
        <w:autoSpaceDE w:val="0"/>
        <w:autoSpaceDN w:val="0"/>
        <w:spacing w:before="1"/>
        <w:ind w:right="81"/>
        <w:jc w:val="both"/>
        <w:rPr>
          <w:rFonts w:ascii="Arial" w:eastAsia="Arial" w:hAnsi="Arial" w:cs="Arial"/>
          <w:i/>
          <w:sz w:val="22"/>
          <w:szCs w:val="22"/>
          <w:lang w:val="es-CO" w:eastAsia="es-CO" w:bidi="es-CO"/>
        </w:rPr>
      </w:pPr>
      <w:bookmarkStart w:id="0" w:name="_Hlk531946705"/>
      <w:r w:rsidRPr="002A5F3D">
        <w:rPr>
          <w:rFonts w:ascii="Arial" w:eastAsia="Arial" w:hAnsi="Arial" w:cs="Arial"/>
          <w:b/>
          <w:i/>
          <w:color w:val="000000" w:themeColor="text1"/>
          <w:sz w:val="22"/>
          <w:szCs w:val="22"/>
          <w:lang w:val="es-CO" w:eastAsia="es-CO" w:bidi="es-CO"/>
        </w:rPr>
        <w:t xml:space="preserve">“Artículo 7o. Línea Especial de Crédito </w:t>
      </w:r>
      <w:bookmarkEnd w:id="0"/>
      <w:r w:rsidRPr="002A5F3D">
        <w:rPr>
          <w:rFonts w:ascii="Arial" w:eastAsia="Arial" w:hAnsi="Arial" w:cs="Arial"/>
          <w:b/>
          <w:i/>
          <w:color w:val="000000" w:themeColor="text1"/>
          <w:sz w:val="22"/>
          <w:szCs w:val="22"/>
          <w:lang w:val="es-CO" w:eastAsia="es-CO" w:bidi="es-CO"/>
        </w:rPr>
        <w:t xml:space="preserve">- Agricultura por </w:t>
      </w:r>
      <w:r w:rsidR="002E658A" w:rsidRPr="002A5F3D">
        <w:rPr>
          <w:rFonts w:ascii="Arial" w:eastAsia="Arial" w:hAnsi="Arial" w:cs="Arial"/>
          <w:b/>
          <w:i/>
          <w:color w:val="000000" w:themeColor="text1"/>
          <w:sz w:val="22"/>
          <w:szCs w:val="22"/>
          <w:lang w:val="es-CO" w:eastAsia="es-CO" w:bidi="es-CO"/>
        </w:rPr>
        <w:t>Contrato</w:t>
      </w:r>
      <w:r w:rsidRPr="002A5F3D">
        <w:rPr>
          <w:rFonts w:ascii="Arial" w:eastAsia="Arial" w:hAnsi="Arial" w:cs="Arial"/>
          <w:i/>
          <w:color w:val="000000" w:themeColor="text1"/>
          <w:sz w:val="22"/>
          <w:szCs w:val="22"/>
          <w:lang w:val="es-CO" w:eastAsia="es-CO" w:bidi="es-CO"/>
        </w:rPr>
        <w:t xml:space="preserve">. La Línea Especial de Crédito “Agricultura por Contrato”, es una línea </w:t>
      </w:r>
      <w:r w:rsidRPr="002A5F3D">
        <w:rPr>
          <w:rFonts w:ascii="Arial" w:eastAsia="Arial" w:hAnsi="Arial" w:cs="Arial"/>
          <w:i/>
          <w:sz w:val="22"/>
          <w:szCs w:val="22"/>
          <w:lang w:val="es-CO" w:eastAsia="es-CO" w:bidi="es-CO"/>
        </w:rPr>
        <w:t>para atender necesidades de capital de trabajo, que tendrá las siguientes condiciones:</w:t>
      </w:r>
    </w:p>
    <w:p w14:paraId="0BD10DBC" w14:textId="77777777" w:rsidR="002A5F3D" w:rsidRPr="002A5F3D" w:rsidRDefault="002A5F3D" w:rsidP="002A5F3D">
      <w:pPr>
        <w:widowControl w:val="0"/>
        <w:autoSpaceDE w:val="0"/>
        <w:autoSpaceDN w:val="0"/>
        <w:ind w:right="81"/>
        <w:jc w:val="both"/>
        <w:rPr>
          <w:rFonts w:ascii="Arial" w:eastAsia="Arial" w:hAnsi="Arial" w:cs="Arial"/>
          <w:b/>
          <w:i/>
          <w:sz w:val="22"/>
          <w:szCs w:val="22"/>
          <w:lang w:val="es-CO" w:eastAsia="es-CO" w:bidi="es-CO"/>
        </w:rPr>
      </w:pPr>
    </w:p>
    <w:p w14:paraId="6E08A0F0" w14:textId="77777777" w:rsidR="002A5F3D" w:rsidRPr="002A5F3D" w:rsidRDefault="002A5F3D" w:rsidP="002A5F3D">
      <w:pPr>
        <w:widowControl w:val="0"/>
        <w:numPr>
          <w:ilvl w:val="0"/>
          <w:numId w:val="1"/>
        </w:numPr>
        <w:tabs>
          <w:tab w:val="left" w:pos="284"/>
          <w:tab w:val="left" w:pos="426"/>
        </w:tabs>
        <w:autoSpaceDE w:val="0"/>
        <w:autoSpaceDN w:val="0"/>
        <w:spacing w:before="77" w:line="0" w:lineRule="atLeast"/>
        <w:ind w:left="284" w:right="81" w:hanging="284"/>
        <w:jc w:val="both"/>
        <w:rPr>
          <w:rFonts w:ascii="Arial" w:eastAsia="Arial" w:hAnsi="Arial" w:cs="Arial"/>
          <w:i/>
          <w:color w:val="000000" w:themeColor="text1"/>
          <w:sz w:val="22"/>
          <w:szCs w:val="22"/>
          <w:lang w:val="es-CO" w:eastAsia="es-CO" w:bidi="es-CO"/>
        </w:rPr>
      </w:pPr>
      <w:r w:rsidRPr="002A5F3D">
        <w:rPr>
          <w:rFonts w:ascii="Arial" w:eastAsia="Arial" w:hAnsi="Arial" w:cs="Arial"/>
          <w:i/>
          <w:sz w:val="22"/>
          <w:szCs w:val="22"/>
          <w:lang w:val="es-CO" w:eastAsia="es-CO" w:bidi="es-CO"/>
        </w:rPr>
        <w:t>Beneficiarios: Podrán acceder a esta línea de crédito los</w:t>
      </w:r>
      <w:r w:rsidRPr="002A5F3D">
        <w:rPr>
          <w:rFonts w:ascii="Arial" w:eastAsia="Arial" w:hAnsi="Arial" w:cs="Arial"/>
          <w:i/>
          <w:color w:val="000000" w:themeColor="text1"/>
          <w:sz w:val="22"/>
          <w:szCs w:val="22"/>
          <w:lang w:val="es-CO" w:eastAsia="es-CO" w:bidi="es-CO"/>
        </w:rPr>
        <w:t xml:space="preserve"> Pequeños y Medianos Productores</w:t>
      </w:r>
      <w:r w:rsidRPr="002A5F3D">
        <w:rPr>
          <w:rFonts w:ascii="Arial" w:eastAsia="Arial" w:hAnsi="Arial" w:cs="Arial"/>
          <w:i/>
          <w:sz w:val="22"/>
          <w:szCs w:val="22"/>
          <w:lang w:val="es-CO" w:eastAsia="es-CO" w:bidi="es-CO"/>
        </w:rPr>
        <w:t>, persona natural o jurídica, según la clasificación vigente</w:t>
      </w:r>
      <w:r w:rsidRPr="002A5F3D">
        <w:rPr>
          <w:rFonts w:ascii="Arial" w:eastAsia="Arial" w:hAnsi="Arial" w:cs="Arial"/>
          <w:i/>
          <w:color w:val="000000" w:themeColor="text1"/>
          <w:sz w:val="22"/>
          <w:szCs w:val="22"/>
          <w:lang w:val="es-CO" w:eastAsia="es-CO" w:bidi="es-CO"/>
        </w:rPr>
        <w:t>, que tramiten un crédito para las siguientes actividades:</w:t>
      </w:r>
    </w:p>
    <w:p w14:paraId="5C130781" w14:textId="77777777" w:rsidR="002A5F3D" w:rsidRPr="002A5F3D" w:rsidRDefault="002A5F3D" w:rsidP="002A5F3D">
      <w:pPr>
        <w:widowControl w:val="0"/>
        <w:autoSpaceDE w:val="0"/>
        <w:autoSpaceDN w:val="0"/>
        <w:jc w:val="both"/>
        <w:rPr>
          <w:rFonts w:ascii="Arial" w:eastAsia="Arial" w:hAnsi="Arial" w:cs="Arial"/>
          <w:i/>
          <w:color w:val="000000" w:themeColor="text1"/>
          <w:sz w:val="22"/>
          <w:szCs w:val="22"/>
          <w:lang w:val="es-CO" w:eastAsia="es-CO" w:bidi="es-CO"/>
        </w:rPr>
      </w:pPr>
    </w:p>
    <w:p w14:paraId="6113C47E" w14:textId="77777777" w:rsidR="002A5F3D" w:rsidRPr="002A5F3D" w:rsidRDefault="002A5F3D" w:rsidP="002A5F3D">
      <w:pPr>
        <w:widowControl w:val="0"/>
        <w:tabs>
          <w:tab w:val="left" w:pos="284"/>
          <w:tab w:val="left" w:pos="426"/>
        </w:tabs>
        <w:autoSpaceDE w:val="0"/>
        <w:autoSpaceDN w:val="0"/>
        <w:spacing w:before="77"/>
        <w:ind w:left="284" w:right="81" w:firstLine="142"/>
        <w:jc w:val="both"/>
        <w:rPr>
          <w:rFonts w:ascii="Arial" w:eastAsia="Arial" w:hAnsi="Arial" w:cs="Arial"/>
          <w:i/>
          <w:color w:val="000000" w:themeColor="text1"/>
          <w:sz w:val="22"/>
          <w:szCs w:val="22"/>
          <w:lang w:val="es-CO" w:eastAsia="es-CO" w:bidi="es-CO"/>
        </w:rPr>
      </w:pPr>
      <w:r w:rsidRPr="002A5F3D">
        <w:rPr>
          <w:rFonts w:ascii="Arial" w:eastAsia="Arial" w:hAnsi="Arial" w:cs="Arial"/>
          <w:i/>
          <w:color w:val="000000" w:themeColor="text1"/>
          <w:sz w:val="22"/>
          <w:szCs w:val="22"/>
          <w:lang w:val="es-CO" w:eastAsia="es-CO" w:bidi="es-CO"/>
        </w:rPr>
        <w:t>i.  Actividades rurales</w:t>
      </w:r>
    </w:p>
    <w:p w14:paraId="4E65ED70" w14:textId="77777777" w:rsidR="002A5F3D" w:rsidRPr="002A5F3D" w:rsidRDefault="002A5F3D" w:rsidP="002A5F3D">
      <w:pPr>
        <w:widowControl w:val="0"/>
        <w:tabs>
          <w:tab w:val="left" w:pos="284"/>
          <w:tab w:val="left" w:pos="426"/>
        </w:tabs>
        <w:autoSpaceDE w:val="0"/>
        <w:autoSpaceDN w:val="0"/>
        <w:spacing w:before="77"/>
        <w:ind w:left="284" w:right="81" w:firstLine="142"/>
        <w:jc w:val="both"/>
        <w:rPr>
          <w:rFonts w:ascii="Arial" w:eastAsia="Arial" w:hAnsi="Arial" w:cs="Arial"/>
          <w:i/>
          <w:color w:val="000000" w:themeColor="text1"/>
          <w:sz w:val="22"/>
          <w:szCs w:val="22"/>
          <w:lang w:val="es-CO" w:eastAsia="es-CO" w:bidi="es-CO"/>
        </w:rPr>
      </w:pPr>
      <w:r w:rsidRPr="002A5F3D">
        <w:rPr>
          <w:rFonts w:ascii="Arial" w:eastAsia="Arial" w:hAnsi="Arial" w:cs="Arial"/>
          <w:i/>
          <w:color w:val="000000" w:themeColor="text1"/>
          <w:sz w:val="22"/>
          <w:szCs w:val="22"/>
          <w:lang w:val="es-CO" w:eastAsia="es-CO" w:bidi="es-CO"/>
        </w:rPr>
        <w:t>ii. Producción</w:t>
      </w:r>
    </w:p>
    <w:p w14:paraId="3752CF75" w14:textId="77777777" w:rsidR="002A5F3D" w:rsidRPr="002A5F3D" w:rsidRDefault="002A5F3D" w:rsidP="002A5F3D">
      <w:pPr>
        <w:widowControl w:val="0"/>
        <w:tabs>
          <w:tab w:val="left" w:pos="284"/>
          <w:tab w:val="left" w:pos="426"/>
        </w:tabs>
        <w:autoSpaceDE w:val="0"/>
        <w:autoSpaceDN w:val="0"/>
        <w:spacing w:before="77"/>
        <w:ind w:left="284" w:right="81" w:firstLine="142"/>
        <w:jc w:val="both"/>
        <w:rPr>
          <w:rFonts w:ascii="Arial" w:eastAsia="Arial" w:hAnsi="Arial" w:cs="Arial"/>
          <w:i/>
          <w:color w:val="000000" w:themeColor="text1"/>
          <w:sz w:val="22"/>
          <w:szCs w:val="22"/>
          <w:lang w:val="es-CO" w:eastAsia="es-CO" w:bidi="es-CO"/>
        </w:rPr>
      </w:pPr>
      <w:r w:rsidRPr="002A5F3D">
        <w:rPr>
          <w:rFonts w:ascii="Arial" w:eastAsia="Arial" w:hAnsi="Arial" w:cs="Arial"/>
          <w:i/>
          <w:color w:val="000000" w:themeColor="text1"/>
          <w:sz w:val="22"/>
          <w:szCs w:val="22"/>
          <w:lang w:val="es-CO" w:eastAsia="es-CO" w:bidi="es-CO"/>
        </w:rPr>
        <w:t>iii. Sostenimiento</w:t>
      </w:r>
    </w:p>
    <w:p w14:paraId="7EED9950" w14:textId="77777777" w:rsidR="002A5F3D" w:rsidRPr="002A5F3D" w:rsidRDefault="002A5F3D" w:rsidP="002A5F3D">
      <w:pPr>
        <w:widowControl w:val="0"/>
        <w:tabs>
          <w:tab w:val="left" w:pos="284"/>
          <w:tab w:val="left" w:pos="426"/>
        </w:tabs>
        <w:autoSpaceDE w:val="0"/>
        <w:autoSpaceDN w:val="0"/>
        <w:spacing w:before="77"/>
        <w:ind w:left="284" w:right="81" w:firstLine="142"/>
        <w:jc w:val="both"/>
        <w:rPr>
          <w:rFonts w:ascii="Arial" w:eastAsia="Arial" w:hAnsi="Arial" w:cs="Arial"/>
          <w:i/>
          <w:color w:val="000000" w:themeColor="text1"/>
          <w:sz w:val="22"/>
          <w:szCs w:val="22"/>
          <w:lang w:val="es-CO" w:eastAsia="es-CO" w:bidi="es-CO"/>
        </w:rPr>
      </w:pPr>
      <w:r w:rsidRPr="002A5F3D">
        <w:rPr>
          <w:rFonts w:ascii="Arial" w:eastAsia="Arial" w:hAnsi="Arial" w:cs="Arial"/>
          <w:i/>
          <w:color w:val="000000" w:themeColor="text1"/>
          <w:sz w:val="22"/>
          <w:szCs w:val="22"/>
          <w:lang w:val="es-CO" w:eastAsia="es-CO" w:bidi="es-CO"/>
        </w:rPr>
        <w:t>iv. Comercialización</w:t>
      </w:r>
    </w:p>
    <w:p w14:paraId="7C1F7BC8" w14:textId="77777777" w:rsidR="002A5F3D" w:rsidRPr="002A5F3D" w:rsidRDefault="002A5F3D" w:rsidP="002A5F3D">
      <w:pPr>
        <w:widowControl w:val="0"/>
        <w:tabs>
          <w:tab w:val="left" w:pos="284"/>
          <w:tab w:val="left" w:pos="426"/>
        </w:tabs>
        <w:autoSpaceDE w:val="0"/>
        <w:autoSpaceDN w:val="0"/>
        <w:spacing w:before="77"/>
        <w:ind w:left="284" w:right="81"/>
        <w:jc w:val="both"/>
        <w:rPr>
          <w:rFonts w:ascii="Arial" w:eastAsia="Arial" w:hAnsi="Arial" w:cs="Arial"/>
          <w:i/>
          <w:color w:val="000000" w:themeColor="text1"/>
          <w:sz w:val="22"/>
          <w:szCs w:val="22"/>
          <w:lang w:val="es-CO" w:eastAsia="es-CO" w:bidi="es-CO"/>
        </w:rPr>
      </w:pPr>
    </w:p>
    <w:p w14:paraId="5EDCB33F" w14:textId="2A38D6F8" w:rsidR="002A5F3D" w:rsidRPr="002A5F3D" w:rsidRDefault="002A5F3D" w:rsidP="002A5F3D">
      <w:pPr>
        <w:widowControl w:val="0"/>
        <w:numPr>
          <w:ilvl w:val="0"/>
          <w:numId w:val="1"/>
        </w:numPr>
        <w:tabs>
          <w:tab w:val="left" w:pos="284"/>
          <w:tab w:val="left" w:pos="426"/>
        </w:tabs>
        <w:autoSpaceDE w:val="0"/>
        <w:autoSpaceDN w:val="0"/>
        <w:spacing w:before="77" w:line="0" w:lineRule="atLeast"/>
        <w:ind w:left="284" w:right="81" w:hanging="284"/>
        <w:jc w:val="both"/>
        <w:rPr>
          <w:rFonts w:ascii="Arial" w:eastAsia="Arial" w:hAnsi="Arial" w:cs="Arial"/>
          <w:i/>
          <w:color w:val="000000" w:themeColor="text1"/>
          <w:sz w:val="22"/>
          <w:szCs w:val="22"/>
          <w:lang w:val="es-CO" w:eastAsia="es-CO" w:bidi="es-CO"/>
        </w:rPr>
      </w:pPr>
      <w:r w:rsidRPr="002A5F3D">
        <w:rPr>
          <w:rFonts w:ascii="Arial" w:eastAsia="Arial" w:hAnsi="Arial" w:cs="Arial"/>
          <w:i/>
          <w:color w:val="000000" w:themeColor="text1"/>
          <w:sz w:val="22"/>
          <w:szCs w:val="22"/>
          <w:lang w:val="es-CO" w:eastAsia="es-CO" w:bidi="es-CO"/>
        </w:rPr>
        <w:t xml:space="preserve">Plazo del </w:t>
      </w:r>
      <w:r w:rsidRPr="001059BD">
        <w:rPr>
          <w:rFonts w:ascii="Arial" w:eastAsia="Arial" w:hAnsi="Arial" w:cs="Arial"/>
          <w:i/>
          <w:color w:val="000000" w:themeColor="text1"/>
          <w:sz w:val="22"/>
          <w:szCs w:val="22"/>
          <w:lang w:val="es-CO" w:eastAsia="es-CO" w:bidi="es-CO"/>
        </w:rPr>
        <w:t>crédito: Será acorde al c</w:t>
      </w:r>
      <w:r w:rsidR="00225D51" w:rsidRPr="001059BD">
        <w:rPr>
          <w:rFonts w:ascii="Arial" w:eastAsia="Arial" w:hAnsi="Arial" w:cs="Arial"/>
          <w:i/>
          <w:color w:val="000000" w:themeColor="text1"/>
          <w:sz w:val="22"/>
          <w:szCs w:val="22"/>
          <w:lang w:val="es-CO" w:eastAsia="es-CO" w:bidi="es-CO"/>
        </w:rPr>
        <w:t xml:space="preserve">iclo productivo de la actividad y hasta </w:t>
      </w:r>
      <w:r w:rsidRPr="001059BD">
        <w:rPr>
          <w:rFonts w:ascii="Arial" w:eastAsia="Arial" w:hAnsi="Arial" w:cs="Arial"/>
          <w:i/>
          <w:color w:val="000000" w:themeColor="text1"/>
          <w:sz w:val="22"/>
          <w:szCs w:val="22"/>
          <w:lang w:val="es-CO" w:eastAsia="es-CO" w:bidi="es-CO"/>
        </w:rPr>
        <w:t>sesenta (60) días calendario</w:t>
      </w:r>
      <w:r w:rsidR="006A390F" w:rsidRPr="001059BD">
        <w:rPr>
          <w:rFonts w:ascii="Arial" w:eastAsia="Arial" w:hAnsi="Arial" w:cs="Arial"/>
          <w:i/>
          <w:color w:val="000000" w:themeColor="text1"/>
          <w:sz w:val="22"/>
          <w:szCs w:val="22"/>
          <w:lang w:val="es-CO" w:eastAsia="es-CO" w:bidi="es-CO"/>
        </w:rPr>
        <w:t xml:space="preserve"> adicionales</w:t>
      </w:r>
      <w:r w:rsidRPr="001059BD">
        <w:rPr>
          <w:rFonts w:ascii="Arial" w:eastAsia="Arial" w:hAnsi="Arial" w:cs="Arial"/>
          <w:i/>
          <w:color w:val="000000" w:themeColor="text1"/>
          <w:sz w:val="22"/>
          <w:szCs w:val="22"/>
          <w:lang w:val="es-CO" w:eastAsia="es-CO" w:bidi="es-CO"/>
        </w:rPr>
        <w:t>, sin que supere un (1) año.</w:t>
      </w:r>
    </w:p>
    <w:p w14:paraId="53D56103" w14:textId="77777777" w:rsidR="002A5F3D" w:rsidRPr="002A5F3D" w:rsidRDefault="002A5F3D" w:rsidP="002A5F3D">
      <w:pPr>
        <w:widowControl w:val="0"/>
        <w:tabs>
          <w:tab w:val="left" w:pos="284"/>
          <w:tab w:val="left" w:pos="426"/>
        </w:tabs>
        <w:autoSpaceDE w:val="0"/>
        <w:autoSpaceDN w:val="0"/>
        <w:spacing w:before="77" w:line="0" w:lineRule="atLeast"/>
        <w:ind w:left="284" w:right="81"/>
        <w:jc w:val="both"/>
        <w:rPr>
          <w:rFonts w:ascii="Arial" w:eastAsia="Arial" w:hAnsi="Arial" w:cs="Arial"/>
          <w:i/>
          <w:color w:val="000000" w:themeColor="text1"/>
          <w:sz w:val="22"/>
          <w:szCs w:val="22"/>
          <w:lang w:val="es-CO" w:eastAsia="es-CO" w:bidi="es-CO"/>
        </w:rPr>
      </w:pPr>
    </w:p>
    <w:p w14:paraId="3BF783DC" w14:textId="77777777" w:rsidR="002A5F3D" w:rsidRPr="002A5F3D" w:rsidRDefault="002A5F3D" w:rsidP="002A5F3D">
      <w:pPr>
        <w:widowControl w:val="0"/>
        <w:numPr>
          <w:ilvl w:val="0"/>
          <w:numId w:val="1"/>
        </w:numPr>
        <w:tabs>
          <w:tab w:val="left" w:pos="284"/>
          <w:tab w:val="left" w:pos="426"/>
        </w:tabs>
        <w:autoSpaceDE w:val="0"/>
        <w:autoSpaceDN w:val="0"/>
        <w:spacing w:before="77"/>
        <w:ind w:left="284" w:right="81" w:hanging="294"/>
        <w:jc w:val="both"/>
        <w:rPr>
          <w:rFonts w:ascii="Arial" w:eastAsia="Arial" w:hAnsi="Arial" w:cs="Arial"/>
          <w:i/>
          <w:color w:val="000000" w:themeColor="text1"/>
          <w:sz w:val="22"/>
          <w:szCs w:val="22"/>
          <w:lang w:val="es-CO" w:eastAsia="es-CO" w:bidi="es-CO"/>
        </w:rPr>
      </w:pPr>
      <w:r w:rsidRPr="002A5F3D">
        <w:rPr>
          <w:rFonts w:ascii="Arial" w:eastAsia="Arial" w:hAnsi="Arial" w:cs="Arial"/>
          <w:i/>
          <w:color w:val="000000" w:themeColor="text1"/>
          <w:sz w:val="22"/>
          <w:szCs w:val="22"/>
          <w:lang w:val="es-CO" w:eastAsia="es-CO" w:bidi="es-CO"/>
        </w:rPr>
        <w:t xml:space="preserve">Requisito especial: </w:t>
      </w:r>
      <w:r w:rsidRPr="002A5F3D">
        <w:rPr>
          <w:rFonts w:ascii="Arial" w:eastAsia="Arial" w:hAnsi="Arial" w:cs="Arial"/>
          <w:i/>
          <w:sz w:val="22"/>
          <w:szCs w:val="22"/>
          <w:lang w:val="es-CO" w:eastAsia="es-CO" w:bidi="es-CO"/>
        </w:rPr>
        <w:t>Para ser beneficiario de la presente línea, el</w:t>
      </w:r>
      <w:r w:rsidRPr="002A5F3D">
        <w:rPr>
          <w:rFonts w:ascii="Arial" w:eastAsia="Arial" w:hAnsi="Arial" w:cs="Arial"/>
          <w:i/>
          <w:color w:val="000000" w:themeColor="text1"/>
          <w:sz w:val="22"/>
          <w:szCs w:val="22"/>
          <w:lang w:val="es-CO" w:eastAsia="es-CO" w:bidi="es-CO"/>
        </w:rPr>
        <w:t xml:space="preserve"> productor deberá acreditar ante el Intermediario Financiero la suscripción de un contrato u orden de compra. Sin perjuicio de los elementos establecidos en el artículo 1501 del Código Civil, y los demás requisitos y validaciones conforme la política de administración de garantías del Intermediario Financiero, el contrato u orden de compra deberá contemplar como mínimo lo siguiente: </w:t>
      </w:r>
    </w:p>
    <w:p w14:paraId="218A6B9C" w14:textId="77777777" w:rsidR="002A5F3D" w:rsidRPr="002A5F3D" w:rsidRDefault="002A5F3D" w:rsidP="002A5F3D">
      <w:pPr>
        <w:widowControl w:val="0"/>
        <w:autoSpaceDE w:val="0"/>
        <w:autoSpaceDN w:val="0"/>
        <w:spacing w:line="0" w:lineRule="atLeast"/>
        <w:ind w:left="567" w:hanging="567"/>
        <w:jc w:val="both"/>
        <w:rPr>
          <w:rFonts w:ascii="Arial" w:eastAsia="Arial" w:hAnsi="Arial" w:cs="Arial"/>
          <w:i/>
          <w:color w:val="000000" w:themeColor="text1"/>
          <w:sz w:val="22"/>
          <w:szCs w:val="22"/>
          <w:lang w:val="es-CO" w:eastAsia="es-CO" w:bidi="es-CO"/>
        </w:rPr>
      </w:pPr>
    </w:p>
    <w:p w14:paraId="564F0D99" w14:textId="77777777" w:rsidR="002A5F3D" w:rsidRPr="002A5F3D" w:rsidRDefault="002A5F3D" w:rsidP="002A5F3D">
      <w:pPr>
        <w:widowControl w:val="0"/>
        <w:autoSpaceDE w:val="0"/>
        <w:autoSpaceDN w:val="0"/>
        <w:ind w:left="624" w:hanging="340"/>
        <w:jc w:val="both"/>
        <w:rPr>
          <w:rFonts w:ascii="Arial" w:eastAsia="Arial" w:hAnsi="Arial" w:cs="Arial"/>
          <w:i/>
          <w:color w:val="000000" w:themeColor="text1"/>
          <w:sz w:val="22"/>
          <w:szCs w:val="22"/>
          <w:lang w:val="es-CO" w:eastAsia="es-CO" w:bidi="es-CO"/>
        </w:rPr>
      </w:pPr>
      <w:r w:rsidRPr="002A5F3D">
        <w:rPr>
          <w:rFonts w:ascii="Arial" w:eastAsia="Arial" w:hAnsi="Arial" w:cs="Arial"/>
          <w:i/>
          <w:color w:val="000000" w:themeColor="text1"/>
          <w:sz w:val="22"/>
          <w:szCs w:val="22"/>
          <w:lang w:val="es-CO" w:eastAsia="es-CO" w:bidi="es-CO"/>
        </w:rPr>
        <w:t>i.   El plazo para el cumplimiento de las obligaciones derivadas del mencionado contrato u orden de compra que garantizan el pago de la obligación crediticia, no podrá ser superior al plazo del crédito.</w:t>
      </w:r>
    </w:p>
    <w:p w14:paraId="31C97CD3" w14:textId="77777777" w:rsidR="002A5F3D" w:rsidRPr="002A5F3D" w:rsidRDefault="002A5F3D" w:rsidP="002A5F3D">
      <w:pPr>
        <w:widowControl w:val="0"/>
        <w:autoSpaceDE w:val="0"/>
        <w:autoSpaceDN w:val="0"/>
        <w:ind w:left="624" w:hanging="340"/>
        <w:jc w:val="both"/>
        <w:rPr>
          <w:rFonts w:ascii="Arial" w:eastAsia="Arial" w:hAnsi="Arial" w:cs="Arial"/>
          <w:i/>
          <w:color w:val="000000" w:themeColor="text1"/>
          <w:sz w:val="22"/>
          <w:szCs w:val="22"/>
          <w:lang w:val="es-CO" w:eastAsia="es-CO" w:bidi="es-CO"/>
        </w:rPr>
      </w:pPr>
    </w:p>
    <w:p w14:paraId="19C6871E" w14:textId="77777777" w:rsidR="002A5F3D" w:rsidRPr="002A5F3D" w:rsidRDefault="002A5F3D" w:rsidP="002A5F3D">
      <w:pPr>
        <w:widowControl w:val="0"/>
        <w:autoSpaceDE w:val="0"/>
        <w:autoSpaceDN w:val="0"/>
        <w:ind w:left="624" w:hanging="340"/>
        <w:jc w:val="both"/>
        <w:rPr>
          <w:rFonts w:ascii="Arial" w:eastAsia="Arial" w:hAnsi="Arial" w:cs="Arial"/>
          <w:i/>
          <w:color w:val="000000" w:themeColor="text1"/>
          <w:sz w:val="22"/>
          <w:szCs w:val="22"/>
          <w:lang w:val="es-CO" w:eastAsia="es-CO" w:bidi="es-CO"/>
        </w:rPr>
      </w:pPr>
      <w:r w:rsidRPr="002A5F3D">
        <w:rPr>
          <w:rFonts w:ascii="Arial" w:eastAsia="Arial" w:hAnsi="Arial" w:cs="Arial"/>
          <w:i/>
          <w:color w:val="000000" w:themeColor="text1"/>
          <w:sz w:val="22"/>
          <w:szCs w:val="22"/>
          <w:lang w:val="es-CO" w:eastAsia="es-CO" w:bidi="es-CO"/>
        </w:rPr>
        <w:t>ii.  El objeto del contrato u orden de compra deberá ser la comercialización, compra y/o suministro de productos agropecuarios futuros con un tercero.</w:t>
      </w:r>
    </w:p>
    <w:p w14:paraId="703A42EB" w14:textId="77777777" w:rsidR="002A5F3D" w:rsidRPr="002A5F3D" w:rsidRDefault="002A5F3D" w:rsidP="002A5F3D">
      <w:pPr>
        <w:widowControl w:val="0"/>
        <w:autoSpaceDE w:val="0"/>
        <w:autoSpaceDN w:val="0"/>
        <w:ind w:left="624" w:hanging="340"/>
        <w:jc w:val="both"/>
        <w:rPr>
          <w:rFonts w:ascii="Arial" w:eastAsia="Arial" w:hAnsi="Arial" w:cs="Arial"/>
          <w:i/>
          <w:color w:val="000000" w:themeColor="text1"/>
          <w:sz w:val="22"/>
          <w:szCs w:val="22"/>
          <w:lang w:val="es-CO" w:eastAsia="es-CO" w:bidi="es-CO"/>
        </w:rPr>
      </w:pPr>
    </w:p>
    <w:p w14:paraId="062613FB" w14:textId="77777777" w:rsidR="002A5F3D" w:rsidRPr="002A5F3D" w:rsidRDefault="002A5F3D" w:rsidP="002A5F3D">
      <w:pPr>
        <w:widowControl w:val="0"/>
        <w:autoSpaceDE w:val="0"/>
        <w:autoSpaceDN w:val="0"/>
        <w:ind w:left="624" w:hanging="340"/>
        <w:jc w:val="both"/>
        <w:rPr>
          <w:rFonts w:ascii="Arial" w:eastAsia="Arial" w:hAnsi="Arial" w:cs="Arial"/>
          <w:i/>
          <w:color w:val="000000" w:themeColor="text1"/>
          <w:sz w:val="22"/>
          <w:szCs w:val="22"/>
          <w:lang w:val="es-CO" w:eastAsia="es-CO" w:bidi="es-CO"/>
        </w:rPr>
      </w:pPr>
      <w:r w:rsidRPr="002A5F3D">
        <w:rPr>
          <w:rFonts w:ascii="Arial" w:eastAsia="Arial" w:hAnsi="Arial" w:cs="Arial"/>
          <w:i/>
          <w:color w:val="000000" w:themeColor="text1"/>
          <w:sz w:val="22"/>
          <w:szCs w:val="22"/>
          <w:lang w:val="es-CO" w:eastAsia="es-CO" w:bidi="es-CO"/>
        </w:rPr>
        <w:t>iii. El contrato u orden de compra deberá tener como parte compradora a precooperativas, cooperativas, asociaciones mutuales, asociaciones de productores, sociedades comerciales, patrimonios autónomos o personas naturales con establecimiento de comercio.</w:t>
      </w:r>
    </w:p>
    <w:p w14:paraId="7DD93928" w14:textId="77777777" w:rsidR="002A5F3D" w:rsidRPr="002A5F3D" w:rsidRDefault="002A5F3D" w:rsidP="002A5F3D">
      <w:pPr>
        <w:widowControl w:val="0"/>
        <w:autoSpaceDE w:val="0"/>
        <w:autoSpaceDN w:val="0"/>
        <w:ind w:left="284"/>
        <w:jc w:val="both"/>
        <w:rPr>
          <w:rFonts w:ascii="Arial" w:eastAsia="Arial" w:hAnsi="Arial" w:cs="Arial"/>
          <w:i/>
          <w:color w:val="000000" w:themeColor="text1"/>
          <w:sz w:val="22"/>
          <w:szCs w:val="22"/>
          <w:lang w:val="es-CO" w:eastAsia="es-CO" w:bidi="es-CO"/>
        </w:rPr>
      </w:pPr>
    </w:p>
    <w:p w14:paraId="11729D7C" w14:textId="77777777" w:rsidR="002A5F3D" w:rsidRPr="002A5F3D" w:rsidRDefault="002A5F3D" w:rsidP="002A5F3D">
      <w:pPr>
        <w:widowControl w:val="0"/>
        <w:autoSpaceDE w:val="0"/>
        <w:autoSpaceDN w:val="0"/>
        <w:ind w:left="624" w:hanging="340"/>
        <w:jc w:val="both"/>
        <w:rPr>
          <w:rFonts w:ascii="Arial" w:eastAsia="Arial" w:hAnsi="Arial" w:cs="Arial"/>
          <w:i/>
          <w:color w:val="000000" w:themeColor="text1"/>
          <w:sz w:val="22"/>
          <w:szCs w:val="22"/>
          <w:lang w:val="es-CO" w:eastAsia="es-CO" w:bidi="es-CO"/>
        </w:rPr>
      </w:pPr>
      <w:r w:rsidRPr="002A5F3D">
        <w:rPr>
          <w:rFonts w:ascii="Arial" w:eastAsia="Arial" w:hAnsi="Arial" w:cs="Arial"/>
          <w:i/>
          <w:color w:val="000000" w:themeColor="text1"/>
          <w:sz w:val="22"/>
          <w:szCs w:val="22"/>
          <w:lang w:val="es-CO" w:eastAsia="es-CO" w:bidi="es-CO"/>
        </w:rPr>
        <w:t>iv.  La vinculación como beneficiario del pago al Intermediario Financiero o ceder a su favor los derechos económicos del contrato.</w:t>
      </w:r>
    </w:p>
    <w:p w14:paraId="75104B87" w14:textId="77777777" w:rsidR="002A5F3D" w:rsidRPr="002A5F3D" w:rsidRDefault="002A5F3D" w:rsidP="002A5F3D">
      <w:pPr>
        <w:widowControl w:val="0"/>
        <w:autoSpaceDE w:val="0"/>
        <w:autoSpaceDN w:val="0"/>
        <w:ind w:left="284"/>
        <w:rPr>
          <w:rFonts w:ascii="Arial" w:eastAsia="Arial" w:hAnsi="Arial" w:cs="Arial"/>
          <w:i/>
          <w:color w:val="000000" w:themeColor="text1"/>
          <w:sz w:val="22"/>
          <w:szCs w:val="22"/>
          <w:lang w:val="es-CO" w:eastAsia="es-CO" w:bidi="es-CO"/>
        </w:rPr>
      </w:pPr>
    </w:p>
    <w:p w14:paraId="0D2E5DB3" w14:textId="77777777" w:rsidR="002A5F3D" w:rsidRPr="002A5F3D" w:rsidRDefault="002A5F3D" w:rsidP="002A5F3D">
      <w:pPr>
        <w:widowControl w:val="0"/>
        <w:autoSpaceDE w:val="0"/>
        <w:autoSpaceDN w:val="0"/>
        <w:ind w:left="624" w:hanging="340"/>
        <w:rPr>
          <w:rFonts w:ascii="Arial" w:eastAsia="Arial" w:hAnsi="Arial" w:cs="Arial"/>
          <w:i/>
          <w:color w:val="000000" w:themeColor="text1"/>
          <w:sz w:val="22"/>
          <w:szCs w:val="22"/>
          <w:lang w:val="es-CO" w:eastAsia="es-CO" w:bidi="es-CO"/>
        </w:rPr>
      </w:pPr>
      <w:r w:rsidRPr="002A5F3D">
        <w:rPr>
          <w:rFonts w:ascii="Arial" w:eastAsia="Arial" w:hAnsi="Arial" w:cs="Arial"/>
          <w:i/>
          <w:color w:val="000000" w:themeColor="text1"/>
          <w:sz w:val="22"/>
          <w:szCs w:val="22"/>
          <w:lang w:val="es-CO" w:eastAsia="es-CO" w:bidi="es-CO"/>
        </w:rPr>
        <w:t>v.  El precio o un sistema de cálculo del precio, así como la cantidad o un sistema de determinación de la cantidad.</w:t>
      </w:r>
    </w:p>
    <w:p w14:paraId="46CD65FB" w14:textId="77777777" w:rsidR="002A5F3D" w:rsidRPr="002A5F3D" w:rsidRDefault="002A5F3D" w:rsidP="002A5F3D">
      <w:pPr>
        <w:widowControl w:val="0"/>
        <w:autoSpaceDE w:val="0"/>
        <w:autoSpaceDN w:val="0"/>
        <w:rPr>
          <w:rFonts w:ascii="Arial" w:eastAsia="Arial" w:hAnsi="Arial" w:cs="Arial"/>
          <w:i/>
          <w:color w:val="000000" w:themeColor="text1"/>
          <w:sz w:val="22"/>
          <w:szCs w:val="22"/>
          <w:lang w:val="es-CO" w:eastAsia="es-CO" w:bidi="es-CO"/>
        </w:rPr>
      </w:pPr>
    </w:p>
    <w:p w14:paraId="50CE32BD" w14:textId="77777777" w:rsidR="002A5F3D" w:rsidRPr="002A5F3D" w:rsidRDefault="002A5F3D">
      <w:pPr>
        <w:widowControl w:val="0"/>
        <w:numPr>
          <w:ilvl w:val="0"/>
          <w:numId w:val="1"/>
        </w:numPr>
        <w:tabs>
          <w:tab w:val="left" w:pos="284"/>
          <w:tab w:val="left" w:pos="360"/>
          <w:tab w:val="left" w:pos="426"/>
        </w:tabs>
        <w:autoSpaceDE w:val="0"/>
        <w:autoSpaceDN w:val="0"/>
        <w:spacing w:before="77"/>
        <w:ind w:left="284" w:right="81" w:hanging="284"/>
        <w:jc w:val="both"/>
        <w:rPr>
          <w:rFonts w:ascii="Arial" w:eastAsia="Arial" w:hAnsi="Arial" w:cs="Arial"/>
          <w:i/>
          <w:color w:val="000000" w:themeColor="text1"/>
          <w:sz w:val="22"/>
          <w:szCs w:val="22"/>
          <w:lang w:val="es-CO" w:eastAsia="es-CO" w:bidi="es-CO"/>
        </w:rPr>
      </w:pPr>
      <w:r w:rsidRPr="002A5F3D">
        <w:rPr>
          <w:rFonts w:ascii="Arial" w:eastAsia="Arial" w:hAnsi="Arial" w:cs="Arial"/>
          <w:i/>
          <w:color w:val="000000" w:themeColor="text1"/>
          <w:sz w:val="22"/>
          <w:szCs w:val="22"/>
          <w:lang w:val="es-CO" w:eastAsia="es-CO" w:bidi="es-CO"/>
        </w:rPr>
        <w:t>Tasa de Interés, tasa de redescuento y subsidio a la tasa de interés:</w:t>
      </w:r>
    </w:p>
    <w:p w14:paraId="117D4D5C" w14:textId="77777777" w:rsidR="002A5F3D" w:rsidRPr="002A5F3D" w:rsidRDefault="002A5F3D" w:rsidP="00D51A15">
      <w:pPr>
        <w:widowControl w:val="0"/>
        <w:autoSpaceDE w:val="0"/>
        <w:autoSpaceDN w:val="0"/>
        <w:spacing w:line="0" w:lineRule="atLeast"/>
        <w:ind w:left="142"/>
        <w:jc w:val="both"/>
        <w:rPr>
          <w:rFonts w:ascii="Arial" w:eastAsia="Arial" w:hAnsi="Arial" w:cs="Arial"/>
          <w:i/>
          <w:color w:val="000000" w:themeColor="text1"/>
          <w:sz w:val="22"/>
          <w:szCs w:val="22"/>
          <w:lang w:val="es-CO" w:eastAsia="es-CO" w:bidi="es-CO"/>
        </w:rPr>
      </w:pPr>
    </w:p>
    <w:tbl>
      <w:tblPr>
        <w:tblStyle w:val="Tabladecuadrcula4-nfasis641"/>
        <w:tblW w:w="7741" w:type="dxa"/>
        <w:jc w:val="center"/>
        <w:tblLook w:val="04A0" w:firstRow="1" w:lastRow="0" w:firstColumn="1" w:lastColumn="0" w:noHBand="0" w:noVBand="1"/>
      </w:tblPr>
      <w:tblGrid>
        <w:gridCol w:w="2579"/>
        <w:gridCol w:w="1938"/>
        <w:gridCol w:w="2137"/>
        <w:gridCol w:w="1087"/>
      </w:tblGrid>
      <w:tr w:rsidR="00D97447" w:rsidRPr="002A5F3D" w14:paraId="642F26EB" w14:textId="13876C4F" w:rsidTr="00D97447">
        <w:trPr>
          <w:cnfStyle w:val="100000000000" w:firstRow="1" w:lastRow="0" w:firstColumn="0" w:lastColumn="0" w:oddVBand="0" w:evenVBand="0" w:oddHBand="0"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2579" w:type="dxa"/>
            <w:vAlign w:val="center"/>
          </w:tcPr>
          <w:p w14:paraId="0F0D8DF4" w14:textId="77777777" w:rsidR="00D97447" w:rsidRPr="002A5F3D" w:rsidRDefault="00D97447" w:rsidP="002A5F3D">
            <w:pPr>
              <w:jc w:val="center"/>
              <w:rPr>
                <w:rFonts w:ascii="Arial" w:eastAsia="Arial" w:hAnsi="Arial" w:cs="Arial"/>
                <w:i/>
                <w:color w:val="000000" w:themeColor="text1"/>
                <w:sz w:val="18"/>
                <w:lang w:val="es-ES_tradnl" w:eastAsia="es-CO" w:bidi="es-CO"/>
              </w:rPr>
            </w:pPr>
            <w:r w:rsidRPr="002A5F3D">
              <w:rPr>
                <w:rFonts w:ascii="Arial" w:eastAsia="Arial" w:hAnsi="Arial" w:cs="Arial"/>
                <w:i/>
                <w:color w:val="000000" w:themeColor="text1"/>
                <w:sz w:val="18"/>
                <w:lang w:val="es-ES_tradnl" w:eastAsia="es-CO" w:bidi="es-CO"/>
              </w:rPr>
              <w:t xml:space="preserve">TIPO DE PRODUCTOR </w:t>
            </w:r>
          </w:p>
        </w:tc>
        <w:tc>
          <w:tcPr>
            <w:tcW w:w="1938" w:type="dxa"/>
            <w:vAlign w:val="center"/>
          </w:tcPr>
          <w:p w14:paraId="160B80B7" w14:textId="77777777" w:rsidR="00D97447" w:rsidRPr="002A5F3D" w:rsidRDefault="00D97447" w:rsidP="002A5F3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i/>
                <w:color w:val="000000" w:themeColor="text1"/>
                <w:sz w:val="18"/>
                <w:lang w:val="es-ES_tradnl" w:eastAsia="es-CO" w:bidi="es-CO"/>
              </w:rPr>
            </w:pPr>
            <w:r w:rsidRPr="002A5F3D">
              <w:rPr>
                <w:rFonts w:ascii="Arial" w:eastAsia="Arial" w:hAnsi="Arial" w:cs="Arial"/>
                <w:i/>
                <w:color w:val="000000" w:themeColor="text1"/>
                <w:sz w:val="18"/>
                <w:lang w:val="es-ES_tradnl" w:eastAsia="es-CO" w:bidi="es-CO"/>
              </w:rPr>
              <w:t>TASA REDESCUENTO</w:t>
            </w:r>
          </w:p>
        </w:tc>
        <w:tc>
          <w:tcPr>
            <w:tcW w:w="2137" w:type="dxa"/>
            <w:vAlign w:val="center"/>
          </w:tcPr>
          <w:p w14:paraId="5255B35D" w14:textId="3516E1C0" w:rsidR="00D97447" w:rsidRPr="002A5F3D" w:rsidRDefault="00D97447" w:rsidP="002A5F3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i/>
                <w:color w:val="000000" w:themeColor="text1"/>
                <w:sz w:val="18"/>
                <w:lang w:val="es-ES_tradnl" w:eastAsia="es-CO" w:bidi="es-CO"/>
              </w:rPr>
            </w:pPr>
            <w:r w:rsidRPr="002A5F3D">
              <w:rPr>
                <w:rFonts w:ascii="Arial" w:eastAsia="Arial" w:hAnsi="Arial" w:cs="Arial"/>
                <w:i/>
                <w:color w:val="000000" w:themeColor="text1"/>
                <w:sz w:val="18"/>
                <w:lang w:val="es-ES_tradnl" w:eastAsia="es-CO" w:bidi="es-CO"/>
              </w:rPr>
              <w:t>TASA INTERÉS</w:t>
            </w:r>
            <w:r w:rsidR="00E35851">
              <w:rPr>
                <w:rFonts w:ascii="Arial" w:eastAsia="Arial" w:hAnsi="Arial" w:cs="Arial"/>
                <w:i/>
                <w:color w:val="000000" w:themeColor="text1"/>
                <w:sz w:val="18"/>
                <w:lang w:val="es-ES_tradnl" w:eastAsia="es-CO" w:bidi="es-CO"/>
              </w:rPr>
              <w:t xml:space="preserve"> DE LA LEC</w:t>
            </w:r>
          </w:p>
        </w:tc>
        <w:tc>
          <w:tcPr>
            <w:tcW w:w="1087" w:type="dxa"/>
            <w:vAlign w:val="center"/>
          </w:tcPr>
          <w:p w14:paraId="3CCECA2E" w14:textId="77777777" w:rsidR="00D97447" w:rsidRPr="002A5F3D" w:rsidRDefault="00D97447" w:rsidP="002A5F3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i/>
                <w:color w:val="000000" w:themeColor="text1"/>
                <w:sz w:val="18"/>
                <w:lang w:val="es-ES_tradnl" w:eastAsia="es-CO" w:bidi="es-CO"/>
              </w:rPr>
            </w:pPr>
            <w:r w:rsidRPr="002A5F3D">
              <w:rPr>
                <w:rFonts w:ascii="Arial" w:eastAsia="Arial" w:hAnsi="Arial" w:cs="Arial"/>
                <w:i/>
                <w:color w:val="000000" w:themeColor="text1"/>
                <w:sz w:val="18"/>
                <w:lang w:val="es-ES_tradnl" w:eastAsia="es-CO" w:bidi="es-CO"/>
              </w:rPr>
              <w:t>SUBSIDIO</w:t>
            </w:r>
          </w:p>
        </w:tc>
      </w:tr>
      <w:tr w:rsidR="00D97447" w:rsidRPr="002A5F3D" w14:paraId="0C3E8E3E" w14:textId="7CCB6F88" w:rsidTr="00D97447">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2579" w:type="dxa"/>
            <w:vAlign w:val="center"/>
          </w:tcPr>
          <w:p w14:paraId="7FF4E7E6" w14:textId="77777777" w:rsidR="00D97447" w:rsidRPr="002A5F3D" w:rsidRDefault="00D97447" w:rsidP="002A5F3D">
            <w:pPr>
              <w:rPr>
                <w:rFonts w:ascii="Arial" w:eastAsia="Arial" w:hAnsi="Arial" w:cs="Arial"/>
                <w:i/>
                <w:color w:val="000000" w:themeColor="text1"/>
                <w:sz w:val="18"/>
                <w:lang w:val="es-ES_tradnl" w:eastAsia="es-CO" w:bidi="es-CO"/>
              </w:rPr>
            </w:pPr>
            <w:r w:rsidRPr="002A5F3D">
              <w:rPr>
                <w:rFonts w:ascii="Arial" w:eastAsia="Arial" w:hAnsi="Arial" w:cs="Arial"/>
                <w:i/>
                <w:color w:val="000000" w:themeColor="text1"/>
                <w:sz w:val="18"/>
                <w:lang w:val="es-ES_tradnl" w:eastAsia="es-CO" w:bidi="es-CO"/>
              </w:rPr>
              <w:t>Pequeño Productor</w:t>
            </w:r>
          </w:p>
        </w:tc>
        <w:tc>
          <w:tcPr>
            <w:tcW w:w="1938" w:type="dxa"/>
          </w:tcPr>
          <w:p w14:paraId="71715D49" w14:textId="77777777" w:rsidR="00D97447" w:rsidRPr="002A5F3D" w:rsidRDefault="00D97447" w:rsidP="002A5F3D">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000000" w:themeColor="text1"/>
                <w:sz w:val="18"/>
                <w:lang w:val="es-ES_tradnl" w:eastAsia="es-CO" w:bidi="es-CO"/>
              </w:rPr>
            </w:pPr>
            <w:r w:rsidRPr="002A5F3D">
              <w:rPr>
                <w:rFonts w:ascii="Arial" w:eastAsia="Arial" w:hAnsi="Arial" w:cs="Arial"/>
                <w:i/>
                <w:color w:val="000000" w:themeColor="text1"/>
                <w:sz w:val="18"/>
                <w:lang w:val="es-ES_tradnl" w:eastAsia="es-CO" w:bidi="es-CO"/>
              </w:rPr>
              <w:t xml:space="preserve">DTF - 2.5% </w:t>
            </w:r>
            <w:proofErr w:type="spellStart"/>
            <w:r w:rsidRPr="002A5F3D">
              <w:rPr>
                <w:rFonts w:ascii="Arial" w:eastAsia="Arial" w:hAnsi="Arial" w:cs="Arial"/>
                <w:i/>
                <w:color w:val="000000" w:themeColor="text1"/>
                <w:sz w:val="18"/>
                <w:lang w:val="es-ES_tradnl" w:eastAsia="es-CO" w:bidi="es-CO"/>
              </w:rPr>
              <w:t>e.a</w:t>
            </w:r>
            <w:proofErr w:type="spellEnd"/>
            <w:r w:rsidRPr="002A5F3D">
              <w:rPr>
                <w:rFonts w:ascii="Arial" w:eastAsia="Arial" w:hAnsi="Arial" w:cs="Arial"/>
                <w:i/>
                <w:color w:val="000000" w:themeColor="text1"/>
                <w:sz w:val="18"/>
                <w:lang w:val="es-ES_tradnl" w:eastAsia="es-CO" w:bidi="es-CO"/>
              </w:rPr>
              <w:t>.</w:t>
            </w:r>
          </w:p>
        </w:tc>
        <w:tc>
          <w:tcPr>
            <w:tcW w:w="2137" w:type="dxa"/>
          </w:tcPr>
          <w:p w14:paraId="2514A7BE" w14:textId="77777777" w:rsidR="00D97447" w:rsidRPr="002A5F3D" w:rsidRDefault="00D97447" w:rsidP="002A5F3D">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000000" w:themeColor="text1"/>
                <w:sz w:val="18"/>
                <w:lang w:val="es-ES_tradnl" w:eastAsia="es-CO" w:bidi="es-CO"/>
              </w:rPr>
            </w:pPr>
            <w:r w:rsidRPr="002A5F3D">
              <w:rPr>
                <w:rFonts w:ascii="Arial" w:eastAsia="Arial" w:hAnsi="Arial" w:cs="Arial"/>
                <w:i/>
                <w:color w:val="000000" w:themeColor="text1"/>
                <w:sz w:val="18"/>
                <w:lang w:val="es-ES_tradnl" w:eastAsia="es-CO" w:bidi="es-CO"/>
              </w:rPr>
              <w:t xml:space="preserve">Hasta DTF -1% </w:t>
            </w:r>
            <w:proofErr w:type="spellStart"/>
            <w:r w:rsidRPr="002A5F3D">
              <w:rPr>
                <w:rFonts w:ascii="Arial" w:eastAsia="Arial" w:hAnsi="Arial" w:cs="Arial"/>
                <w:i/>
                <w:color w:val="000000" w:themeColor="text1"/>
                <w:sz w:val="18"/>
                <w:lang w:val="es-ES_tradnl" w:eastAsia="es-CO" w:bidi="es-CO"/>
              </w:rPr>
              <w:t>e.a</w:t>
            </w:r>
            <w:proofErr w:type="spellEnd"/>
            <w:r w:rsidRPr="002A5F3D">
              <w:rPr>
                <w:rFonts w:ascii="Arial" w:eastAsia="Arial" w:hAnsi="Arial" w:cs="Arial"/>
                <w:i/>
                <w:color w:val="000000" w:themeColor="text1"/>
                <w:sz w:val="18"/>
                <w:lang w:val="es-ES_tradnl" w:eastAsia="es-CO" w:bidi="es-CO"/>
              </w:rPr>
              <w:t>.</w:t>
            </w:r>
          </w:p>
        </w:tc>
        <w:tc>
          <w:tcPr>
            <w:tcW w:w="1087" w:type="dxa"/>
          </w:tcPr>
          <w:p w14:paraId="2473DEFE" w14:textId="77777777" w:rsidR="00D97447" w:rsidRPr="002A5F3D" w:rsidRDefault="00D97447" w:rsidP="002A5F3D">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000000" w:themeColor="text1"/>
                <w:sz w:val="18"/>
                <w:lang w:val="es-ES_tradnl" w:eastAsia="es-CO" w:bidi="es-CO"/>
              </w:rPr>
            </w:pPr>
            <w:r w:rsidRPr="002A5F3D">
              <w:rPr>
                <w:rFonts w:ascii="Arial" w:eastAsia="Arial" w:hAnsi="Arial" w:cs="Arial"/>
                <w:i/>
                <w:color w:val="000000" w:themeColor="text1"/>
                <w:sz w:val="18"/>
                <w:lang w:val="es-ES_tradnl" w:eastAsia="es-CO" w:bidi="es-CO"/>
              </w:rPr>
              <w:t xml:space="preserve">7% </w:t>
            </w:r>
            <w:proofErr w:type="spellStart"/>
            <w:r w:rsidRPr="002A5F3D">
              <w:rPr>
                <w:rFonts w:ascii="Arial" w:eastAsia="Arial" w:hAnsi="Arial" w:cs="Arial"/>
                <w:i/>
                <w:color w:val="000000" w:themeColor="text1"/>
                <w:sz w:val="18"/>
                <w:lang w:val="es-ES_tradnl" w:eastAsia="es-CO" w:bidi="es-CO"/>
              </w:rPr>
              <w:t>e.a</w:t>
            </w:r>
            <w:proofErr w:type="spellEnd"/>
            <w:r w:rsidRPr="002A5F3D">
              <w:rPr>
                <w:rFonts w:ascii="Arial" w:eastAsia="Arial" w:hAnsi="Arial" w:cs="Arial"/>
                <w:i/>
                <w:color w:val="000000" w:themeColor="text1"/>
                <w:sz w:val="18"/>
                <w:lang w:val="es-ES_tradnl" w:eastAsia="es-CO" w:bidi="es-CO"/>
              </w:rPr>
              <w:t xml:space="preserve">. </w:t>
            </w:r>
          </w:p>
        </w:tc>
      </w:tr>
      <w:tr w:rsidR="00D97447" w:rsidRPr="002A5F3D" w14:paraId="63D9030F" w14:textId="68185943" w:rsidTr="00D97447">
        <w:trPr>
          <w:trHeight w:val="316"/>
          <w:jc w:val="center"/>
        </w:trPr>
        <w:tc>
          <w:tcPr>
            <w:cnfStyle w:val="001000000000" w:firstRow="0" w:lastRow="0" w:firstColumn="1" w:lastColumn="0" w:oddVBand="0" w:evenVBand="0" w:oddHBand="0" w:evenHBand="0" w:firstRowFirstColumn="0" w:firstRowLastColumn="0" w:lastRowFirstColumn="0" w:lastRowLastColumn="0"/>
            <w:tcW w:w="2579" w:type="dxa"/>
            <w:vAlign w:val="center"/>
          </w:tcPr>
          <w:p w14:paraId="56E39D70" w14:textId="77777777" w:rsidR="00D97447" w:rsidRPr="002A5F3D" w:rsidRDefault="00D97447" w:rsidP="002A5F3D">
            <w:pPr>
              <w:rPr>
                <w:rFonts w:ascii="Arial" w:eastAsia="Arial" w:hAnsi="Arial" w:cs="Arial"/>
                <w:i/>
                <w:color w:val="000000" w:themeColor="text1"/>
                <w:sz w:val="18"/>
                <w:lang w:val="es-ES_tradnl" w:eastAsia="es-CO" w:bidi="es-CO"/>
              </w:rPr>
            </w:pPr>
            <w:r w:rsidRPr="002A5F3D">
              <w:rPr>
                <w:rFonts w:ascii="Arial" w:eastAsia="Arial" w:hAnsi="Arial" w:cs="Arial"/>
                <w:i/>
                <w:color w:val="000000" w:themeColor="text1"/>
                <w:sz w:val="18"/>
                <w:lang w:val="es-ES_tradnl" w:eastAsia="es-CO" w:bidi="es-CO"/>
              </w:rPr>
              <w:t>Mediano Productor</w:t>
            </w:r>
          </w:p>
        </w:tc>
        <w:tc>
          <w:tcPr>
            <w:tcW w:w="1938" w:type="dxa"/>
          </w:tcPr>
          <w:p w14:paraId="751BC560" w14:textId="77777777" w:rsidR="00D97447" w:rsidRPr="002A5F3D" w:rsidRDefault="00D97447" w:rsidP="002A5F3D">
            <w:pPr>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000000" w:themeColor="text1"/>
                <w:sz w:val="18"/>
                <w:lang w:val="es-ES_tradnl" w:eastAsia="es-CO" w:bidi="es-CO"/>
              </w:rPr>
            </w:pPr>
            <w:r w:rsidRPr="002A5F3D">
              <w:rPr>
                <w:rFonts w:ascii="Arial" w:eastAsia="Arial" w:hAnsi="Arial" w:cs="Arial"/>
                <w:i/>
                <w:color w:val="000000" w:themeColor="text1"/>
                <w:sz w:val="18"/>
                <w:lang w:val="es-ES_tradnl" w:eastAsia="es-CO" w:bidi="es-CO"/>
              </w:rPr>
              <w:t xml:space="preserve">DTF + 1% </w:t>
            </w:r>
            <w:proofErr w:type="spellStart"/>
            <w:r w:rsidRPr="002A5F3D">
              <w:rPr>
                <w:rFonts w:ascii="Arial" w:eastAsia="Arial" w:hAnsi="Arial" w:cs="Arial"/>
                <w:i/>
                <w:color w:val="000000" w:themeColor="text1"/>
                <w:sz w:val="18"/>
                <w:lang w:val="es-ES_tradnl" w:eastAsia="es-CO" w:bidi="es-CO"/>
              </w:rPr>
              <w:t>e.a</w:t>
            </w:r>
            <w:proofErr w:type="spellEnd"/>
            <w:r w:rsidRPr="002A5F3D">
              <w:rPr>
                <w:rFonts w:ascii="Arial" w:eastAsia="Arial" w:hAnsi="Arial" w:cs="Arial"/>
                <w:i/>
                <w:color w:val="000000" w:themeColor="text1"/>
                <w:sz w:val="18"/>
                <w:lang w:val="es-ES_tradnl" w:eastAsia="es-CO" w:bidi="es-CO"/>
              </w:rPr>
              <w:t xml:space="preserve">. </w:t>
            </w:r>
          </w:p>
        </w:tc>
        <w:tc>
          <w:tcPr>
            <w:tcW w:w="2137" w:type="dxa"/>
          </w:tcPr>
          <w:p w14:paraId="456FDF19" w14:textId="77777777" w:rsidR="00D97447" w:rsidRPr="002A5F3D" w:rsidRDefault="00D97447" w:rsidP="002A5F3D">
            <w:pPr>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000000" w:themeColor="text1"/>
                <w:sz w:val="18"/>
                <w:lang w:val="es-ES_tradnl" w:eastAsia="es-CO" w:bidi="es-CO"/>
              </w:rPr>
            </w:pPr>
            <w:r w:rsidRPr="002A5F3D">
              <w:rPr>
                <w:rFonts w:ascii="Arial" w:eastAsia="Arial" w:hAnsi="Arial" w:cs="Arial"/>
                <w:i/>
                <w:color w:val="000000" w:themeColor="text1"/>
                <w:sz w:val="18"/>
                <w:lang w:val="es-ES_tradnl" w:eastAsia="es-CO" w:bidi="es-CO"/>
              </w:rPr>
              <w:t xml:space="preserve">Hasta DTF + 1% </w:t>
            </w:r>
            <w:proofErr w:type="spellStart"/>
            <w:r w:rsidRPr="002A5F3D">
              <w:rPr>
                <w:rFonts w:ascii="Arial" w:eastAsia="Arial" w:hAnsi="Arial" w:cs="Arial"/>
                <w:i/>
                <w:color w:val="000000" w:themeColor="text1"/>
                <w:sz w:val="18"/>
                <w:lang w:val="es-ES_tradnl" w:eastAsia="es-CO" w:bidi="es-CO"/>
              </w:rPr>
              <w:t>e.a</w:t>
            </w:r>
            <w:proofErr w:type="spellEnd"/>
            <w:r w:rsidRPr="002A5F3D">
              <w:rPr>
                <w:rFonts w:ascii="Arial" w:eastAsia="Arial" w:hAnsi="Arial" w:cs="Arial"/>
                <w:i/>
                <w:color w:val="000000" w:themeColor="text1"/>
                <w:sz w:val="18"/>
                <w:lang w:val="es-ES_tradnl" w:eastAsia="es-CO" w:bidi="es-CO"/>
              </w:rPr>
              <w:t>.</w:t>
            </w:r>
          </w:p>
        </w:tc>
        <w:tc>
          <w:tcPr>
            <w:tcW w:w="1087" w:type="dxa"/>
          </w:tcPr>
          <w:p w14:paraId="6FCE9939" w14:textId="77777777" w:rsidR="00D97447" w:rsidRPr="002A5F3D" w:rsidRDefault="00D97447" w:rsidP="002A5F3D">
            <w:pPr>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000000" w:themeColor="text1"/>
                <w:sz w:val="18"/>
                <w:lang w:val="es-ES_tradnl" w:eastAsia="es-CO" w:bidi="es-CO"/>
              </w:rPr>
            </w:pPr>
            <w:r w:rsidRPr="002A5F3D">
              <w:rPr>
                <w:rFonts w:ascii="Arial" w:eastAsia="Arial" w:hAnsi="Arial" w:cs="Arial"/>
                <w:i/>
                <w:color w:val="000000" w:themeColor="text1"/>
                <w:sz w:val="18"/>
                <w:lang w:val="es-ES_tradnl" w:eastAsia="es-CO" w:bidi="es-CO"/>
              </w:rPr>
              <w:t xml:space="preserve">6% </w:t>
            </w:r>
            <w:proofErr w:type="spellStart"/>
            <w:r w:rsidRPr="002A5F3D">
              <w:rPr>
                <w:rFonts w:ascii="Arial" w:eastAsia="Arial" w:hAnsi="Arial" w:cs="Arial"/>
                <w:i/>
                <w:color w:val="000000" w:themeColor="text1"/>
                <w:sz w:val="18"/>
                <w:lang w:val="es-ES_tradnl" w:eastAsia="es-CO" w:bidi="es-CO"/>
              </w:rPr>
              <w:t>e.a</w:t>
            </w:r>
            <w:proofErr w:type="spellEnd"/>
            <w:r w:rsidRPr="002A5F3D">
              <w:rPr>
                <w:rFonts w:ascii="Arial" w:eastAsia="Arial" w:hAnsi="Arial" w:cs="Arial"/>
                <w:i/>
                <w:color w:val="000000" w:themeColor="text1"/>
                <w:sz w:val="18"/>
                <w:lang w:val="es-ES_tradnl" w:eastAsia="es-CO" w:bidi="es-CO"/>
              </w:rPr>
              <w:t>.</w:t>
            </w:r>
          </w:p>
        </w:tc>
      </w:tr>
    </w:tbl>
    <w:p w14:paraId="17575142" w14:textId="77777777" w:rsidR="002A5F3D" w:rsidRDefault="002A5F3D" w:rsidP="00F27424">
      <w:pPr>
        <w:widowControl w:val="0"/>
        <w:autoSpaceDE w:val="0"/>
        <w:autoSpaceDN w:val="0"/>
        <w:spacing w:line="0" w:lineRule="atLeast"/>
        <w:ind w:left="426" w:hanging="284"/>
        <w:jc w:val="both"/>
        <w:rPr>
          <w:rFonts w:ascii="Arial" w:eastAsia="Arial" w:hAnsi="Arial" w:cs="Arial"/>
          <w:i/>
          <w:color w:val="000000" w:themeColor="text1"/>
          <w:sz w:val="20"/>
          <w:szCs w:val="22"/>
          <w:lang w:val="es-CO" w:eastAsia="es-CO" w:bidi="es-CO"/>
        </w:rPr>
      </w:pPr>
      <w:r w:rsidRPr="002A5F3D">
        <w:rPr>
          <w:rFonts w:ascii="Arial" w:eastAsia="Arial" w:hAnsi="Arial" w:cs="Arial"/>
          <w:i/>
          <w:color w:val="000000" w:themeColor="text1"/>
          <w:sz w:val="20"/>
          <w:szCs w:val="22"/>
          <w:lang w:val="es-CO" w:eastAsia="es-CO" w:bidi="es-CO"/>
        </w:rPr>
        <w:t>Estas operaciones sólo podrán tramitarse mediante redescuento ante FINAGRO.</w:t>
      </w:r>
    </w:p>
    <w:p w14:paraId="0BD51FA8" w14:textId="77777777" w:rsidR="006D2DEB" w:rsidRDefault="006D2DEB" w:rsidP="002A5F3D">
      <w:pPr>
        <w:widowControl w:val="0"/>
        <w:autoSpaceDE w:val="0"/>
        <w:autoSpaceDN w:val="0"/>
        <w:spacing w:line="0" w:lineRule="atLeast"/>
        <w:ind w:left="993" w:hanging="284"/>
        <w:jc w:val="both"/>
        <w:rPr>
          <w:rFonts w:ascii="Arial" w:eastAsia="Arial" w:hAnsi="Arial" w:cs="Arial"/>
          <w:i/>
          <w:color w:val="000000" w:themeColor="text1"/>
          <w:sz w:val="20"/>
          <w:szCs w:val="22"/>
          <w:lang w:val="es-CO" w:eastAsia="es-CO" w:bidi="es-CO"/>
        </w:rPr>
      </w:pPr>
    </w:p>
    <w:p w14:paraId="0A2C18DF" w14:textId="264B9CCA" w:rsidR="006D2DEB" w:rsidRPr="00E91005" w:rsidRDefault="006D2DEB" w:rsidP="006D2DEB">
      <w:pPr>
        <w:suppressAutoHyphens/>
        <w:ind w:left="284" w:right="51"/>
        <w:jc w:val="both"/>
        <w:rPr>
          <w:rFonts w:ascii="Arial" w:hAnsi="Arial" w:cs="Arial"/>
          <w:bCs/>
          <w:spacing w:val="-3"/>
          <w:sz w:val="22"/>
          <w:szCs w:val="22"/>
          <w:lang w:val="es-CO"/>
        </w:rPr>
      </w:pPr>
      <w:r>
        <w:rPr>
          <w:rFonts w:ascii="Arial" w:hAnsi="Arial" w:cs="Arial"/>
          <w:bCs/>
          <w:spacing w:val="-3"/>
          <w:sz w:val="22"/>
          <w:szCs w:val="22"/>
          <w:lang w:val="es-CO"/>
        </w:rPr>
        <w:t xml:space="preserve">De conformidad con el artículo 2o. </w:t>
      </w:r>
      <w:r w:rsidRPr="00E91005">
        <w:rPr>
          <w:rFonts w:ascii="Arial" w:hAnsi="Arial" w:cs="Arial"/>
          <w:bCs/>
          <w:spacing w:val="-3"/>
          <w:sz w:val="22"/>
          <w:szCs w:val="22"/>
          <w:lang w:val="es-CO"/>
        </w:rPr>
        <w:t xml:space="preserve">de la Resolución No. 8 de 2018, FINAGRO señalará la equivalencia de tasas a IBR aplicable a </w:t>
      </w:r>
      <w:r w:rsidR="00D97447" w:rsidRPr="00E91005">
        <w:rPr>
          <w:rFonts w:ascii="Arial" w:hAnsi="Arial" w:cs="Arial"/>
          <w:bCs/>
          <w:spacing w:val="-3"/>
          <w:sz w:val="22"/>
          <w:szCs w:val="22"/>
          <w:lang w:val="es-CO"/>
        </w:rPr>
        <w:t>la presente línea</w:t>
      </w:r>
      <w:r w:rsidRPr="00E91005">
        <w:rPr>
          <w:rFonts w:ascii="Arial" w:hAnsi="Arial" w:cs="Arial"/>
          <w:bCs/>
          <w:spacing w:val="-3"/>
          <w:sz w:val="22"/>
          <w:szCs w:val="22"/>
          <w:lang w:val="es-CO"/>
        </w:rPr>
        <w:t>.</w:t>
      </w:r>
    </w:p>
    <w:p w14:paraId="5BED3C23" w14:textId="77777777" w:rsidR="00D51A15" w:rsidRPr="00E91005" w:rsidRDefault="00D51A15" w:rsidP="00D51A15">
      <w:pPr>
        <w:widowControl w:val="0"/>
        <w:tabs>
          <w:tab w:val="left" w:pos="284"/>
          <w:tab w:val="left" w:pos="426"/>
        </w:tabs>
        <w:autoSpaceDE w:val="0"/>
        <w:autoSpaceDN w:val="0"/>
        <w:spacing w:before="77"/>
        <w:ind w:right="81"/>
        <w:jc w:val="both"/>
        <w:rPr>
          <w:rFonts w:ascii="Arial" w:eastAsia="Arial" w:hAnsi="Arial" w:cs="Arial"/>
          <w:sz w:val="22"/>
          <w:szCs w:val="22"/>
          <w:lang w:val="es-CO" w:eastAsia="es-CO" w:bidi="es-CO"/>
        </w:rPr>
      </w:pPr>
    </w:p>
    <w:p w14:paraId="0C99005A" w14:textId="2BBF5CE6" w:rsidR="00D83D57" w:rsidRDefault="007B2E76" w:rsidP="00D51A15">
      <w:pPr>
        <w:pStyle w:val="Prrafodelista"/>
        <w:numPr>
          <w:ilvl w:val="0"/>
          <w:numId w:val="1"/>
        </w:numPr>
        <w:tabs>
          <w:tab w:val="left" w:pos="426"/>
        </w:tabs>
        <w:ind w:left="0" w:firstLine="0"/>
        <w:jc w:val="both"/>
        <w:rPr>
          <w:rFonts w:ascii="Arial" w:hAnsi="Arial" w:cs="Arial"/>
          <w:sz w:val="22"/>
          <w:szCs w:val="22"/>
        </w:rPr>
      </w:pPr>
      <w:r>
        <w:rPr>
          <w:rFonts w:ascii="Arial" w:hAnsi="Arial" w:cs="Arial"/>
          <w:sz w:val="22"/>
          <w:szCs w:val="22"/>
        </w:rPr>
        <w:t>El pago del</w:t>
      </w:r>
      <w:r w:rsidR="00D83D57" w:rsidRPr="00E91005">
        <w:rPr>
          <w:rFonts w:ascii="Arial" w:hAnsi="Arial" w:cs="Arial"/>
          <w:sz w:val="22"/>
          <w:szCs w:val="22"/>
        </w:rPr>
        <w:t xml:space="preserve"> subsidio establecido en esta línea se</w:t>
      </w:r>
      <w:r w:rsidR="00D83D57" w:rsidRPr="00620030">
        <w:rPr>
          <w:rFonts w:ascii="Arial" w:hAnsi="Arial" w:cs="Arial"/>
          <w:sz w:val="22"/>
          <w:szCs w:val="22"/>
        </w:rPr>
        <w:t xml:space="preserve"> </w:t>
      </w:r>
      <w:r>
        <w:rPr>
          <w:rFonts w:ascii="Arial" w:hAnsi="Arial" w:cs="Arial"/>
          <w:sz w:val="22"/>
          <w:szCs w:val="22"/>
        </w:rPr>
        <w:t>realizará</w:t>
      </w:r>
      <w:r w:rsidR="00D83D57" w:rsidRPr="00620030">
        <w:rPr>
          <w:rFonts w:ascii="Arial" w:hAnsi="Arial" w:cs="Arial"/>
          <w:sz w:val="22"/>
          <w:szCs w:val="22"/>
        </w:rPr>
        <w:t xml:space="preserve"> para aquellos créditos registrados en FIN</w:t>
      </w:r>
      <w:r w:rsidR="009042B1" w:rsidRPr="00620030">
        <w:rPr>
          <w:rFonts w:ascii="Arial" w:hAnsi="Arial" w:cs="Arial"/>
          <w:sz w:val="22"/>
          <w:szCs w:val="22"/>
        </w:rPr>
        <w:t xml:space="preserve">AGRO, </w:t>
      </w:r>
      <w:r>
        <w:rPr>
          <w:rFonts w:ascii="Arial" w:hAnsi="Arial" w:cs="Arial"/>
          <w:sz w:val="22"/>
          <w:szCs w:val="22"/>
        </w:rPr>
        <w:t>en los que se cumpla</w:t>
      </w:r>
      <w:r w:rsidR="00D83D57" w:rsidRPr="00620030">
        <w:rPr>
          <w:rFonts w:ascii="Arial" w:hAnsi="Arial" w:cs="Arial"/>
          <w:sz w:val="22"/>
          <w:szCs w:val="22"/>
        </w:rPr>
        <w:t xml:space="preserve"> </w:t>
      </w:r>
      <w:r w:rsidR="007805B6">
        <w:rPr>
          <w:rFonts w:ascii="Arial" w:hAnsi="Arial" w:cs="Arial"/>
          <w:sz w:val="22"/>
          <w:szCs w:val="22"/>
        </w:rPr>
        <w:t xml:space="preserve">cualquiera </w:t>
      </w:r>
      <w:r w:rsidR="009042B1" w:rsidRPr="00620030">
        <w:rPr>
          <w:rFonts w:ascii="Arial" w:hAnsi="Arial" w:cs="Arial"/>
          <w:sz w:val="22"/>
          <w:szCs w:val="22"/>
        </w:rPr>
        <w:t xml:space="preserve">de </w:t>
      </w:r>
      <w:r w:rsidR="00D83D57" w:rsidRPr="00620030">
        <w:rPr>
          <w:rFonts w:ascii="Arial" w:hAnsi="Arial" w:cs="Arial"/>
          <w:sz w:val="22"/>
          <w:szCs w:val="22"/>
        </w:rPr>
        <w:t>las siguientes circunstancias:</w:t>
      </w:r>
    </w:p>
    <w:p w14:paraId="675BB320" w14:textId="77777777" w:rsidR="007B2E76" w:rsidRPr="00620030" w:rsidRDefault="007B2E76" w:rsidP="007B2E76">
      <w:pPr>
        <w:pStyle w:val="Prrafodelista"/>
        <w:tabs>
          <w:tab w:val="left" w:pos="426"/>
        </w:tabs>
        <w:ind w:left="0"/>
        <w:jc w:val="both"/>
        <w:rPr>
          <w:rFonts w:ascii="Arial" w:hAnsi="Arial" w:cs="Arial"/>
          <w:sz w:val="22"/>
          <w:szCs w:val="22"/>
        </w:rPr>
      </w:pPr>
    </w:p>
    <w:p w14:paraId="64AF236E" w14:textId="5DE9691E" w:rsidR="00D83D57" w:rsidRPr="00620030" w:rsidRDefault="002B3B22" w:rsidP="00D51A15">
      <w:pPr>
        <w:pStyle w:val="Prrafodelista"/>
        <w:numPr>
          <w:ilvl w:val="1"/>
          <w:numId w:val="1"/>
        </w:numPr>
        <w:ind w:left="851" w:hanging="284"/>
        <w:jc w:val="both"/>
        <w:rPr>
          <w:rFonts w:ascii="Arial" w:hAnsi="Arial" w:cs="Arial"/>
          <w:sz w:val="22"/>
          <w:szCs w:val="22"/>
        </w:rPr>
      </w:pPr>
      <w:r w:rsidRPr="00620030">
        <w:rPr>
          <w:rFonts w:ascii="Arial" w:hAnsi="Arial" w:cs="Arial"/>
          <w:sz w:val="22"/>
          <w:szCs w:val="22"/>
        </w:rPr>
        <w:t>Que e</w:t>
      </w:r>
      <w:r w:rsidR="00D83D57" w:rsidRPr="00620030">
        <w:rPr>
          <w:rFonts w:ascii="Arial" w:hAnsi="Arial" w:cs="Arial"/>
          <w:sz w:val="22"/>
          <w:szCs w:val="22"/>
        </w:rPr>
        <w:t xml:space="preserve">l Intermediario Financiero </w:t>
      </w:r>
      <w:r w:rsidR="00A63D6F" w:rsidRPr="00620030">
        <w:rPr>
          <w:rFonts w:ascii="Arial" w:hAnsi="Arial" w:cs="Arial"/>
          <w:sz w:val="22"/>
          <w:szCs w:val="22"/>
        </w:rPr>
        <w:t>haya sido</w:t>
      </w:r>
      <w:r w:rsidR="00D83D57" w:rsidRPr="00620030">
        <w:rPr>
          <w:rFonts w:ascii="Arial" w:hAnsi="Arial" w:cs="Arial"/>
          <w:sz w:val="22"/>
          <w:szCs w:val="22"/>
        </w:rPr>
        <w:t xml:space="preserve"> informado </w:t>
      </w:r>
      <w:r w:rsidR="009042B1" w:rsidRPr="00620030">
        <w:rPr>
          <w:rFonts w:ascii="Arial" w:hAnsi="Arial" w:cs="Arial"/>
          <w:sz w:val="22"/>
          <w:szCs w:val="22"/>
        </w:rPr>
        <w:t xml:space="preserve">por </w:t>
      </w:r>
      <w:r w:rsidR="009D2190" w:rsidRPr="00620030">
        <w:rPr>
          <w:rFonts w:ascii="Arial" w:hAnsi="Arial" w:cs="Arial"/>
          <w:sz w:val="22"/>
          <w:szCs w:val="22"/>
        </w:rPr>
        <w:t xml:space="preserve">alguna de </w:t>
      </w:r>
      <w:r w:rsidR="009042B1" w:rsidRPr="00620030">
        <w:rPr>
          <w:rFonts w:ascii="Arial" w:hAnsi="Arial" w:cs="Arial"/>
          <w:sz w:val="22"/>
          <w:szCs w:val="22"/>
        </w:rPr>
        <w:t>la</w:t>
      </w:r>
      <w:r w:rsidR="009D2190" w:rsidRPr="00620030">
        <w:rPr>
          <w:rFonts w:ascii="Arial" w:hAnsi="Arial" w:cs="Arial"/>
          <w:sz w:val="22"/>
          <w:szCs w:val="22"/>
        </w:rPr>
        <w:t>s partes</w:t>
      </w:r>
      <w:r w:rsidR="007805B6">
        <w:rPr>
          <w:rFonts w:ascii="Arial" w:hAnsi="Arial" w:cs="Arial"/>
          <w:sz w:val="22"/>
          <w:szCs w:val="22"/>
        </w:rPr>
        <w:t xml:space="preserve"> del contrato u orden de compra</w:t>
      </w:r>
      <w:r w:rsidR="009D2190" w:rsidRPr="00620030">
        <w:rPr>
          <w:rFonts w:ascii="Arial" w:hAnsi="Arial" w:cs="Arial"/>
          <w:sz w:val="22"/>
          <w:szCs w:val="22"/>
        </w:rPr>
        <w:t xml:space="preserve">, </w:t>
      </w:r>
      <w:r w:rsidR="00D83D57" w:rsidRPr="00620030">
        <w:rPr>
          <w:rFonts w:ascii="Arial" w:hAnsi="Arial" w:cs="Arial"/>
          <w:sz w:val="22"/>
          <w:szCs w:val="22"/>
        </w:rPr>
        <w:t xml:space="preserve">del cumplimiento </w:t>
      </w:r>
      <w:bookmarkStart w:id="1" w:name="_Hlk1926102"/>
      <w:r w:rsidR="00D83D57" w:rsidRPr="00620030">
        <w:rPr>
          <w:rFonts w:ascii="Arial" w:hAnsi="Arial" w:cs="Arial"/>
          <w:sz w:val="22"/>
          <w:szCs w:val="22"/>
        </w:rPr>
        <w:t xml:space="preserve">de la comercialización, compra y/o suministro de productos agropecuarios </w:t>
      </w:r>
      <w:bookmarkEnd w:id="1"/>
      <w:r w:rsidR="00D83D57" w:rsidRPr="00620030">
        <w:rPr>
          <w:rFonts w:ascii="Arial" w:hAnsi="Arial" w:cs="Arial"/>
          <w:sz w:val="22"/>
          <w:szCs w:val="22"/>
        </w:rPr>
        <w:t>de conformidad con el contrato u orden de compra</w:t>
      </w:r>
      <w:r w:rsidRPr="00620030">
        <w:rPr>
          <w:rFonts w:ascii="Arial" w:hAnsi="Arial" w:cs="Arial"/>
          <w:sz w:val="22"/>
          <w:szCs w:val="22"/>
        </w:rPr>
        <w:t xml:space="preserve"> suscrito</w:t>
      </w:r>
      <w:r w:rsidR="009D2190" w:rsidRPr="00620030">
        <w:rPr>
          <w:rFonts w:ascii="Arial" w:hAnsi="Arial" w:cs="Arial"/>
          <w:sz w:val="22"/>
          <w:szCs w:val="22"/>
        </w:rPr>
        <w:t xml:space="preserve">. Para este efecto, </w:t>
      </w:r>
      <w:r w:rsidR="001F214A" w:rsidRPr="00620030">
        <w:rPr>
          <w:rFonts w:ascii="Arial" w:hAnsi="Arial" w:cs="Arial"/>
          <w:sz w:val="22"/>
          <w:szCs w:val="22"/>
        </w:rPr>
        <w:t>la información</w:t>
      </w:r>
      <w:r w:rsidR="006347A0" w:rsidRPr="00620030">
        <w:rPr>
          <w:rFonts w:ascii="Arial" w:hAnsi="Arial" w:cs="Arial"/>
          <w:sz w:val="22"/>
          <w:szCs w:val="22"/>
        </w:rPr>
        <w:t xml:space="preserve"> que se suministre</w:t>
      </w:r>
      <w:r w:rsidR="001F214A" w:rsidRPr="00620030">
        <w:rPr>
          <w:rFonts w:ascii="Arial" w:hAnsi="Arial" w:cs="Arial"/>
          <w:sz w:val="22"/>
          <w:szCs w:val="22"/>
        </w:rPr>
        <w:t xml:space="preserve"> deberá estar soportada</w:t>
      </w:r>
      <w:r w:rsidR="007805B6">
        <w:rPr>
          <w:rFonts w:ascii="Arial" w:hAnsi="Arial" w:cs="Arial"/>
          <w:sz w:val="22"/>
          <w:szCs w:val="22"/>
        </w:rPr>
        <w:t>.</w:t>
      </w:r>
    </w:p>
    <w:p w14:paraId="2DEF2FA5" w14:textId="216BA747" w:rsidR="00D83D57" w:rsidRPr="00620030" w:rsidRDefault="002B3B22" w:rsidP="00D83D57">
      <w:pPr>
        <w:pStyle w:val="Prrafodelista"/>
        <w:numPr>
          <w:ilvl w:val="1"/>
          <w:numId w:val="1"/>
        </w:numPr>
        <w:ind w:left="851" w:hanging="284"/>
        <w:jc w:val="both"/>
        <w:rPr>
          <w:rFonts w:ascii="Arial" w:hAnsi="Arial" w:cs="Arial"/>
          <w:sz w:val="22"/>
          <w:szCs w:val="22"/>
        </w:rPr>
      </w:pPr>
      <w:r w:rsidRPr="00620030">
        <w:rPr>
          <w:rFonts w:ascii="Arial" w:hAnsi="Arial" w:cs="Arial"/>
          <w:sz w:val="22"/>
          <w:szCs w:val="22"/>
        </w:rPr>
        <w:t>Que e</w:t>
      </w:r>
      <w:r w:rsidR="00D83D57" w:rsidRPr="00620030">
        <w:rPr>
          <w:rFonts w:ascii="Arial" w:hAnsi="Arial" w:cs="Arial"/>
          <w:sz w:val="22"/>
          <w:szCs w:val="22"/>
        </w:rPr>
        <w:t>l intermediario financiero haya recibido el pago del comprador por cuenta del productor.</w:t>
      </w:r>
    </w:p>
    <w:p w14:paraId="4C038A02" w14:textId="77777777" w:rsidR="00E84550" w:rsidRPr="00620030" w:rsidRDefault="00E84550" w:rsidP="00E84550">
      <w:pPr>
        <w:jc w:val="both"/>
        <w:rPr>
          <w:rFonts w:ascii="Arial" w:hAnsi="Arial" w:cs="Arial"/>
          <w:sz w:val="22"/>
          <w:szCs w:val="22"/>
        </w:rPr>
      </w:pPr>
    </w:p>
    <w:p w14:paraId="3ED249FD" w14:textId="30DCBA24" w:rsidR="00E84550" w:rsidRPr="00620030" w:rsidRDefault="00E84550" w:rsidP="00E84550">
      <w:pPr>
        <w:jc w:val="both"/>
        <w:rPr>
          <w:rFonts w:ascii="Arial" w:hAnsi="Arial" w:cs="Arial"/>
          <w:sz w:val="22"/>
          <w:szCs w:val="22"/>
        </w:rPr>
      </w:pPr>
      <w:r w:rsidRPr="00620030">
        <w:rPr>
          <w:rFonts w:ascii="Arial" w:hAnsi="Arial" w:cs="Arial"/>
          <w:sz w:val="22"/>
          <w:szCs w:val="22"/>
        </w:rPr>
        <w:t xml:space="preserve">El Intermediario Financiero deberá informar a FINAGRO </w:t>
      </w:r>
      <w:r w:rsidR="004711B5" w:rsidRPr="00620030">
        <w:rPr>
          <w:rFonts w:ascii="Arial" w:hAnsi="Arial" w:cs="Arial"/>
          <w:sz w:val="22"/>
          <w:szCs w:val="22"/>
        </w:rPr>
        <w:t xml:space="preserve">si el </w:t>
      </w:r>
      <w:r w:rsidR="007B2E76">
        <w:rPr>
          <w:rFonts w:ascii="Arial" w:hAnsi="Arial" w:cs="Arial"/>
          <w:sz w:val="22"/>
          <w:szCs w:val="22"/>
        </w:rPr>
        <w:t>subsidio le es aplicable al crédito</w:t>
      </w:r>
      <w:r w:rsidR="004711B5" w:rsidRPr="00620030">
        <w:rPr>
          <w:rFonts w:ascii="Arial" w:hAnsi="Arial" w:cs="Arial"/>
          <w:sz w:val="22"/>
          <w:szCs w:val="22"/>
        </w:rPr>
        <w:t>,</w:t>
      </w:r>
      <w:r w:rsidR="002B3B22" w:rsidRPr="00620030">
        <w:rPr>
          <w:rFonts w:ascii="Arial" w:hAnsi="Arial" w:cs="Arial"/>
          <w:sz w:val="22"/>
          <w:szCs w:val="22"/>
        </w:rPr>
        <w:t xml:space="preserve"> para lo cual deberá tener en cuenta</w:t>
      </w:r>
      <w:r w:rsidR="004711B5" w:rsidRPr="00620030">
        <w:rPr>
          <w:rFonts w:ascii="Arial" w:hAnsi="Arial" w:cs="Arial"/>
          <w:sz w:val="22"/>
          <w:szCs w:val="22"/>
        </w:rPr>
        <w:t xml:space="preserve"> los términos y condiciones señalados</w:t>
      </w:r>
      <w:r w:rsidR="002B3B22" w:rsidRPr="00620030">
        <w:rPr>
          <w:rFonts w:ascii="Arial" w:hAnsi="Arial" w:cs="Arial"/>
          <w:sz w:val="22"/>
          <w:szCs w:val="22"/>
        </w:rPr>
        <w:t xml:space="preserve"> en esta Resolución y en la Circular Reglamentaria que expida FINAGRO</w:t>
      </w:r>
      <w:r w:rsidRPr="00620030">
        <w:rPr>
          <w:rFonts w:ascii="Arial" w:hAnsi="Arial" w:cs="Arial"/>
          <w:sz w:val="22"/>
          <w:szCs w:val="22"/>
        </w:rPr>
        <w:t>.</w:t>
      </w:r>
    </w:p>
    <w:p w14:paraId="246D51E4" w14:textId="77777777" w:rsidR="00044DFD" w:rsidRPr="00620030" w:rsidRDefault="00044DFD" w:rsidP="00E84550">
      <w:pPr>
        <w:jc w:val="both"/>
        <w:rPr>
          <w:rFonts w:ascii="Arial" w:hAnsi="Arial" w:cs="Arial"/>
          <w:sz w:val="22"/>
          <w:szCs w:val="22"/>
        </w:rPr>
      </w:pPr>
    </w:p>
    <w:p w14:paraId="6ABE084A" w14:textId="1EDDB233" w:rsidR="00B76929" w:rsidRPr="00620030" w:rsidRDefault="00B76929" w:rsidP="00B76929">
      <w:pPr>
        <w:pStyle w:val="Prrafodelista"/>
        <w:ind w:left="0"/>
        <w:jc w:val="both"/>
        <w:rPr>
          <w:rFonts w:ascii="Arial" w:hAnsi="Arial" w:cs="Arial"/>
          <w:sz w:val="22"/>
          <w:szCs w:val="22"/>
        </w:rPr>
      </w:pPr>
      <w:r w:rsidRPr="00620030">
        <w:rPr>
          <w:rFonts w:ascii="Arial" w:hAnsi="Arial" w:cs="Arial"/>
          <w:sz w:val="22"/>
          <w:szCs w:val="22"/>
        </w:rPr>
        <w:t xml:space="preserve">Los créditos podrán pactarse con amortización única de capital e intereses, o contemplar cuotas de amortización de capital y/o intereses con una periodicidad menor a la del cumplimiento de las obligaciones derivadas del contrato u orden de compra, caso en el cual los créditos se podrán otorgar hasta por la tasa de interés máxima del beneficiario establecida para la presente línea (tasa de interés de la LEC más el subsidio: Pequeño Productor hasta DTF+6 </w:t>
      </w:r>
      <w:proofErr w:type="spellStart"/>
      <w:r w:rsidRPr="00620030">
        <w:rPr>
          <w:rFonts w:ascii="Arial" w:hAnsi="Arial" w:cs="Arial"/>
          <w:sz w:val="22"/>
          <w:szCs w:val="22"/>
        </w:rPr>
        <w:t>ea</w:t>
      </w:r>
      <w:proofErr w:type="spellEnd"/>
      <w:r w:rsidRPr="00620030">
        <w:rPr>
          <w:rFonts w:ascii="Arial" w:hAnsi="Arial" w:cs="Arial"/>
          <w:sz w:val="22"/>
          <w:szCs w:val="22"/>
        </w:rPr>
        <w:t xml:space="preserve"> y Mediano Productor hasta DTF+7 </w:t>
      </w:r>
      <w:proofErr w:type="spellStart"/>
      <w:r w:rsidRPr="00620030">
        <w:rPr>
          <w:rFonts w:ascii="Arial" w:hAnsi="Arial" w:cs="Arial"/>
          <w:sz w:val="22"/>
          <w:szCs w:val="22"/>
        </w:rPr>
        <w:t>ea</w:t>
      </w:r>
      <w:proofErr w:type="spellEnd"/>
      <w:r w:rsidRPr="00620030">
        <w:rPr>
          <w:rFonts w:ascii="Arial" w:hAnsi="Arial" w:cs="Arial"/>
          <w:sz w:val="22"/>
          <w:szCs w:val="22"/>
        </w:rPr>
        <w:t>).  En todo caso, el subsidio se adquier</w:t>
      </w:r>
      <w:r w:rsidR="007805B6">
        <w:rPr>
          <w:rFonts w:ascii="Arial" w:hAnsi="Arial" w:cs="Arial"/>
          <w:sz w:val="22"/>
          <w:szCs w:val="22"/>
        </w:rPr>
        <w:t>e únicamente cuando se presente alguna de</w:t>
      </w:r>
      <w:r w:rsidRPr="00620030">
        <w:rPr>
          <w:rFonts w:ascii="Arial" w:hAnsi="Arial" w:cs="Arial"/>
          <w:sz w:val="22"/>
          <w:szCs w:val="22"/>
        </w:rPr>
        <w:t xml:space="preserve"> las circunstancias </w:t>
      </w:r>
      <w:r w:rsidR="002B3B22" w:rsidRPr="00620030">
        <w:rPr>
          <w:rFonts w:ascii="Arial" w:hAnsi="Arial" w:cs="Arial"/>
          <w:sz w:val="22"/>
          <w:szCs w:val="22"/>
        </w:rPr>
        <w:t xml:space="preserve">antes </w:t>
      </w:r>
      <w:r w:rsidRPr="00620030">
        <w:rPr>
          <w:rFonts w:ascii="Arial" w:hAnsi="Arial" w:cs="Arial"/>
          <w:sz w:val="22"/>
          <w:szCs w:val="22"/>
        </w:rPr>
        <w:t>señaladas.</w:t>
      </w:r>
    </w:p>
    <w:p w14:paraId="1750DF9E" w14:textId="77777777" w:rsidR="00B76929" w:rsidRPr="00620030" w:rsidRDefault="00B76929" w:rsidP="00B76929">
      <w:pPr>
        <w:rPr>
          <w:rFonts w:ascii="Calibri" w:hAnsi="Calibri" w:cs="Calibri"/>
          <w:sz w:val="22"/>
          <w:szCs w:val="22"/>
        </w:rPr>
      </w:pPr>
    </w:p>
    <w:p w14:paraId="171CE8BD" w14:textId="61C2AE39" w:rsidR="0057399C" w:rsidRPr="00620030" w:rsidRDefault="00044DFD" w:rsidP="00E60099">
      <w:pPr>
        <w:jc w:val="both"/>
        <w:rPr>
          <w:rFonts w:ascii="Arial" w:eastAsia="Arial" w:hAnsi="Arial" w:cs="Arial"/>
          <w:sz w:val="22"/>
          <w:szCs w:val="22"/>
          <w:lang w:val="es-CO" w:eastAsia="es-CO" w:bidi="es-CO"/>
        </w:rPr>
      </w:pPr>
      <w:r w:rsidRPr="00620030">
        <w:rPr>
          <w:rFonts w:ascii="Arial" w:eastAsia="Arial" w:hAnsi="Arial" w:cs="Arial"/>
          <w:sz w:val="22"/>
          <w:szCs w:val="22"/>
          <w:lang w:val="es-CO" w:eastAsia="es-CO" w:bidi="es-CO"/>
        </w:rPr>
        <w:t xml:space="preserve">FINAGRO señalará mediante </w:t>
      </w:r>
      <w:r w:rsidR="007805B6">
        <w:rPr>
          <w:rFonts w:ascii="Arial" w:eastAsia="Arial" w:hAnsi="Arial" w:cs="Arial"/>
          <w:sz w:val="22"/>
          <w:szCs w:val="22"/>
          <w:lang w:val="es-CO" w:eastAsia="es-CO" w:bidi="es-CO"/>
        </w:rPr>
        <w:t>C</w:t>
      </w:r>
      <w:r w:rsidRPr="00620030">
        <w:rPr>
          <w:rFonts w:ascii="Arial" w:eastAsia="Arial" w:hAnsi="Arial" w:cs="Arial"/>
          <w:sz w:val="22"/>
          <w:szCs w:val="22"/>
          <w:lang w:val="es-CO" w:eastAsia="es-CO" w:bidi="es-CO"/>
        </w:rPr>
        <w:t xml:space="preserve">ircular </w:t>
      </w:r>
      <w:r w:rsidR="007805B6">
        <w:rPr>
          <w:rFonts w:ascii="Arial" w:eastAsia="Arial" w:hAnsi="Arial" w:cs="Arial"/>
          <w:sz w:val="22"/>
          <w:szCs w:val="22"/>
          <w:lang w:val="es-CO" w:eastAsia="es-CO" w:bidi="es-CO"/>
        </w:rPr>
        <w:t>R</w:t>
      </w:r>
      <w:r w:rsidRPr="00620030">
        <w:rPr>
          <w:rFonts w:ascii="Arial" w:eastAsia="Arial" w:hAnsi="Arial" w:cs="Arial"/>
          <w:sz w:val="22"/>
          <w:szCs w:val="22"/>
          <w:lang w:val="es-CO" w:eastAsia="es-CO" w:bidi="es-CO"/>
        </w:rPr>
        <w:t>eglamentaria el procedimiento que deberá observarse en estos casos</w:t>
      </w:r>
      <w:r w:rsidR="00E70432" w:rsidRPr="00620030">
        <w:rPr>
          <w:rFonts w:ascii="Arial" w:eastAsia="Arial" w:hAnsi="Arial" w:cs="Arial"/>
          <w:sz w:val="22"/>
          <w:szCs w:val="22"/>
          <w:lang w:val="es-CO" w:eastAsia="es-CO" w:bidi="es-CO"/>
        </w:rPr>
        <w:t>, incluyendo la reserva del subsidio</w:t>
      </w:r>
      <w:r w:rsidR="00E60099" w:rsidRPr="00620030">
        <w:rPr>
          <w:rFonts w:ascii="Arial" w:eastAsia="Arial" w:hAnsi="Arial" w:cs="Arial"/>
          <w:sz w:val="22"/>
          <w:szCs w:val="22"/>
          <w:lang w:val="es-CO" w:eastAsia="es-CO" w:bidi="es-CO"/>
        </w:rPr>
        <w:t xml:space="preserve"> a la tasa</w:t>
      </w:r>
      <w:r w:rsidR="00E13141">
        <w:rPr>
          <w:rFonts w:ascii="Arial" w:eastAsia="Arial" w:hAnsi="Arial" w:cs="Arial"/>
          <w:sz w:val="22"/>
          <w:szCs w:val="22"/>
          <w:lang w:val="es-CO" w:eastAsia="es-CO" w:bidi="es-CO"/>
        </w:rPr>
        <w:t xml:space="preserve"> de interés</w:t>
      </w:r>
      <w:r w:rsidR="00E60099" w:rsidRPr="00620030">
        <w:rPr>
          <w:rFonts w:ascii="Arial" w:eastAsia="Arial" w:hAnsi="Arial" w:cs="Arial"/>
          <w:sz w:val="22"/>
          <w:szCs w:val="22"/>
          <w:lang w:val="es-CO" w:eastAsia="es-CO" w:bidi="es-CO"/>
        </w:rPr>
        <w:t xml:space="preserve"> y la forma de su reconocimiento</w:t>
      </w:r>
      <w:r w:rsidR="00E13141">
        <w:rPr>
          <w:rFonts w:ascii="Arial" w:eastAsia="Arial" w:hAnsi="Arial" w:cs="Arial"/>
          <w:sz w:val="22"/>
          <w:szCs w:val="22"/>
          <w:lang w:val="es-CO" w:eastAsia="es-CO" w:bidi="es-CO"/>
        </w:rPr>
        <w:t xml:space="preserve"> y reembolso</w:t>
      </w:r>
      <w:r w:rsidR="00E60099" w:rsidRPr="00620030">
        <w:rPr>
          <w:rFonts w:ascii="Arial" w:eastAsia="Arial" w:hAnsi="Arial" w:cs="Arial"/>
          <w:sz w:val="22"/>
          <w:szCs w:val="22"/>
          <w:lang w:val="es-CO" w:eastAsia="es-CO" w:bidi="es-CO"/>
        </w:rPr>
        <w:t>.</w:t>
      </w:r>
    </w:p>
    <w:p w14:paraId="0DFCBC05" w14:textId="77777777" w:rsidR="00E60099" w:rsidRPr="00620030" w:rsidRDefault="00E60099" w:rsidP="00E60099">
      <w:pPr>
        <w:jc w:val="both"/>
        <w:rPr>
          <w:rFonts w:ascii="Arial" w:hAnsi="Arial" w:cs="Arial"/>
          <w:sz w:val="22"/>
          <w:szCs w:val="22"/>
        </w:rPr>
      </w:pPr>
    </w:p>
    <w:p w14:paraId="0B31316B" w14:textId="77777777" w:rsidR="002A5F3D" w:rsidRPr="007805B6" w:rsidRDefault="002A5F3D" w:rsidP="00D51A15">
      <w:pPr>
        <w:widowControl w:val="0"/>
        <w:numPr>
          <w:ilvl w:val="0"/>
          <w:numId w:val="1"/>
        </w:numPr>
        <w:tabs>
          <w:tab w:val="left" w:pos="284"/>
          <w:tab w:val="left" w:pos="426"/>
        </w:tabs>
        <w:autoSpaceDE w:val="0"/>
        <w:autoSpaceDN w:val="0"/>
        <w:spacing w:before="77"/>
        <w:ind w:left="284" w:right="81" w:hanging="284"/>
        <w:jc w:val="both"/>
        <w:rPr>
          <w:rFonts w:ascii="Arial" w:eastAsia="Arial" w:hAnsi="Arial" w:cs="Arial"/>
          <w:color w:val="000000" w:themeColor="text1"/>
          <w:sz w:val="22"/>
          <w:szCs w:val="22"/>
          <w:lang w:val="es-CO" w:eastAsia="es-CO" w:bidi="es-CO"/>
        </w:rPr>
      </w:pPr>
      <w:r w:rsidRPr="007805B6">
        <w:rPr>
          <w:rFonts w:ascii="Arial" w:eastAsia="Arial" w:hAnsi="Arial" w:cs="Arial"/>
          <w:color w:val="000000" w:themeColor="text1"/>
          <w:sz w:val="22"/>
          <w:szCs w:val="22"/>
          <w:lang w:val="es-CO" w:eastAsia="es-CO" w:bidi="es-CO"/>
        </w:rPr>
        <w:t>Garantía FAG: Estos créditos podrán acceder a las garantías del Fondo Agropecuario de Garantías – FAG, con cobertura de hasta el 50% para Pequeño Productor y de hasta el 40% para Mediano Productor.</w:t>
      </w:r>
    </w:p>
    <w:p w14:paraId="794195C8" w14:textId="77777777" w:rsidR="002A5F3D" w:rsidRPr="007805B6" w:rsidRDefault="002A5F3D" w:rsidP="002A5F3D">
      <w:pPr>
        <w:widowControl w:val="0"/>
        <w:autoSpaceDE w:val="0"/>
        <w:autoSpaceDN w:val="0"/>
        <w:ind w:left="902" w:hanging="360"/>
        <w:rPr>
          <w:rFonts w:ascii="Arial" w:eastAsia="Arial" w:hAnsi="Arial" w:cs="Arial"/>
          <w:color w:val="000000" w:themeColor="text1"/>
          <w:sz w:val="22"/>
          <w:szCs w:val="22"/>
          <w:lang w:val="es-CO" w:eastAsia="es-CO" w:bidi="es-CO"/>
        </w:rPr>
      </w:pPr>
    </w:p>
    <w:p w14:paraId="641C1789" w14:textId="78314545" w:rsidR="0083298C" w:rsidRPr="007805B6" w:rsidRDefault="0083298C" w:rsidP="00805488">
      <w:pPr>
        <w:widowControl w:val="0"/>
        <w:numPr>
          <w:ilvl w:val="0"/>
          <w:numId w:val="1"/>
        </w:numPr>
        <w:tabs>
          <w:tab w:val="left" w:pos="284"/>
          <w:tab w:val="left" w:pos="426"/>
        </w:tabs>
        <w:autoSpaceDE w:val="0"/>
        <w:autoSpaceDN w:val="0"/>
        <w:spacing w:before="77"/>
        <w:ind w:left="284" w:right="81" w:hanging="284"/>
        <w:jc w:val="both"/>
        <w:rPr>
          <w:rFonts w:ascii="Arial" w:eastAsia="Arial" w:hAnsi="Arial" w:cs="Arial"/>
          <w:color w:val="000000" w:themeColor="text1"/>
          <w:sz w:val="22"/>
          <w:szCs w:val="22"/>
          <w:lang w:eastAsia="es-CO" w:bidi="es-CO"/>
        </w:rPr>
      </w:pPr>
      <w:r w:rsidRPr="007805B6">
        <w:rPr>
          <w:rFonts w:ascii="Arial" w:eastAsia="Arial" w:hAnsi="Arial" w:cs="Arial"/>
          <w:color w:val="000000" w:themeColor="text1"/>
          <w:sz w:val="22"/>
          <w:szCs w:val="22"/>
          <w:lang w:val="es-CO" w:eastAsia="es-CO" w:bidi="es-CO"/>
        </w:rPr>
        <w:t xml:space="preserve">Control y seguimiento: El control y seguimiento de la presente línea se entenderá surtido con la información que suministre al Intermediario Financiero </w:t>
      </w:r>
      <w:r w:rsidR="007805B6">
        <w:rPr>
          <w:rFonts w:ascii="Arial" w:eastAsia="Arial" w:hAnsi="Arial" w:cs="Arial"/>
          <w:color w:val="000000" w:themeColor="text1"/>
          <w:sz w:val="22"/>
          <w:szCs w:val="22"/>
          <w:lang w:val="es-CO" w:eastAsia="es-CO" w:bidi="es-CO"/>
        </w:rPr>
        <w:t xml:space="preserve">alguna de las partes del contrato u orden de compra, </w:t>
      </w:r>
      <w:r w:rsidRPr="007805B6">
        <w:rPr>
          <w:rFonts w:ascii="Arial" w:eastAsia="Arial" w:hAnsi="Arial" w:cs="Arial"/>
          <w:color w:val="000000" w:themeColor="text1"/>
          <w:sz w:val="22"/>
          <w:szCs w:val="22"/>
          <w:lang w:eastAsia="es-CO" w:bidi="es-CO"/>
        </w:rPr>
        <w:t xml:space="preserve">en relación con la entrega de los productos agropecuarios de conformidad con el contrato u orden de compra o mediante el pago que realice </w:t>
      </w:r>
      <w:r w:rsidR="007B2E76">
        <w:rPr>
          <w:rFonts w:ascii="Arial" w:eastAsia="Arial" w:hAnsi="Arial" w:cs="Arial"/>
          <w:color w:val="000000" w:themeColor="text1"/>
          <w:sz w:val="22"/>
          <w:szCs w:val="22"/>
          <w:lang w:eastAsia="es-CO" w:bidi="es-CO"/>
        </w:rPr>
        <w:t xml:space="preserve">al Intermediario Financiero </w:t>
      </w:r>
      <w:r w:rsidRPr="007805B6">
        <w:rPr>
          <w:rFonts w:ascii="Arial" w:eastAsia="Arial" w:hAnsi="Arial" w:cs="Arial"/>
          <w:color w:val="000000" w:themeColor="text1"/>
          <w:sz w:val="22"/>
          <w:szCs w:val="22"/>
          <w:lang w:eastAsia="es-CO" w:bidi="es-CO"/>
        </w:rPr>
        <w:t>el comprado</w:t>
      </w:r>
      <w:r w:rsidR="004711B5" w:rsidRPr="007805B6">
        <w:rPr>
          <w:rFonts w:ascii="Arial" w:eastAsia="Arial" w:hAnsi="Arial" w:cs="Arial"/>
          <w:color w:val="000000" w:themeColor="text1"/>
          <w:sz w:val="22"/>
          <w:szCs w:val="22"/>
          <w:lang w:eastAsia="es-CO" w:bidi="es-CO"/>
        </w:rPr>
        <w:t>r por cuenta del productor.</w:t>
      </w:r>
    </w:p>
    <w:p w14:paraId="24BFC29B" w14:textId="77777777" w:rsidR="002A5F3D" w:rsidRPr="00620030" w:rsidRDefault="002A5F3D" w:rsidP="002A5F3D">
      <w:pPr>
        <w:widowControl w:val="0"/>
        <w:autoSpaceDE w:val="0"/>
        <w:autoSpaceDN w:val="0"/>
        <w:ind w:left="902" w:hanging="360"/>
        <w:rPr>
          <w:rFonts w:ascii="Arial" w:eastAsia="Arial" w:hAnsi="Arial" w:cs="Arial"/>
          <w:color w:val="000000" w:themeColor="text1"/>
          <w:sz w:val="22"/>
          <w:szCs w:val="22"/>
          <w:lang w:eastAsia="es-CO" w:bidi="es-CO"/>
        </w:rPr>
      </w:pPr>
    </w:p>
    <w:p w14:paraId="6B9973FF" w14:textId="3096618B" w:rsidR="00440D3A" w:rsidRPr="00620030" w:rsidRDefault="001F214A" w:rsidP="00440D3A">
      <w:pPr>
        <w:widowControl w:val="0"/>
        <w:autoSpaceDE w:val="0"/>
        <w:autoSpaceDN w:val="0"/>
        <w:jc w:val="both"/>
        <w:rPr>
          <w:rFonts w:ascii="Arial" w:eastAsia="Arial" w:hAnsi="Arial" w:cs="Arial"/>
          <w:color w:val="000000" w:themeColor="text1"/>
          <w:sz w:val="22"/>
          <w:szCs w:val="22"/>
          <w:lang w:val="es-CO" w:eastAsia="es-CO" w:bidi="es-CO"/>
        </w:rPr>
      </w:pPr>
      <w:r w:rsidRPr="00620030">
        <w:rPr>
          <w:rFonts w:ascii="Arial" w:eastAsia="Arial" w:hAnsi="Arial" w:cs="Arial"/>
          <w:b/>
          <w:sz w:val="22"/>
          <w:szCs w:val="22"/>
          <w:lang w:val="es-CO" w:eastAsia="es-CO" w:bidi="es-CO"/>
        </w:rPr>
        <w:t>Artículo 2o.</w:t>
      </w:r>
      <w:r w:rsidRPr="00620030">
        <w:rPr>
          <w:rFonts w:ascii="Arial" w:eastAsia="Arial" w:hAnsi="Arial" w:cs="Arial"/>
          <w:sz w:val="22"/>
          <w:szCs w:val="22"/>
          <w:lang w:val="es-CO" w:eastAsia="es-CO" w:bidi="es-CO"/>
        </w:rPr>
        <w:t xml:space="preserve"> </w:t>
      </w:r>
      <w:r w:rsidR="00440D3A" w:rsidRPr="00620030">
        <w:rPr>
          <w:rFonts w:ascii="Arial" w:eastAsia="Arial" w:hAnsi="Arial" w:cs="Arial"/>
          <w:color w:val="000000" w:themeColor="text1"/>
          <w:sz w:val="22"/>
          <w:szCs w:val="22"/>
          <w:lang w:val="es-CO" w:eastAsia="es-CO" w:bidi="es-CO"/>
        </w:rPr>
        <w:t>Modificar el literal h del artículo 5o. de la Resolución No. 12 de 2018 de la CNCA, el cual quedará así:</w:t>
      </w:r>
    </w:p>
    <w:p w14:paraId="7903E69C" w14:textId="77777777" w:rsidR="00440D3A" w:rsidRPr="00620030" w:rsidRDefault="00440D3A" w:rsidP="00440D3A">
      <w:pPr>
        <w:widowControl w:val="0"/>
        <w:autoSpaceDE w:val="0"/>
        <w:autoSpaceDN w:val="0"/>
        <w:jc w:val="both"/>
        <w:rPr>
          <w:rFonts w:ascii="Arial" w:eastAsia="Arial" w:hAnsi="Arial" w:cs="Arial"/>
          <w:color w:val="000000" w:themeColor="text1"/>
          <w:sz w:val="22"/>
          <w:szCs w:val="22"/>
          <w:lang w:val="es-CO" w:eastAsia="es-CO" w:bidi="es-CO"/>
        </w:rPr>
      </w:pPr>
    </w:p>
    <w:p w14:paraId="25B2DAF2" w14:textId="77777777" w:rsidR="00440D3A" w:rsidRPr="00620030" w:rsidRDefault="00440D3A" w:rsidP="00440D3A">
      <w:pPr>
        <w:widowControl w:val="0"/>
        <w:tabs>
          <w:tab w:val="left" w:pos="284"/>
        </w:tabs>
        <w:autoSpaceDE w:val="0"/>
        <w:autoSpaceDN w:val="0"/>
        <w:spacing w:before="1"/>
        <w:ind w:right="81"/>
        <w:jc w:val="both"/>
        <w:rPr>
          <w:rFonts w:ascii="Arial" w:eastAsia="Arial" w:hAnsi="Arial" w:cs="Arial"/>
          <w:i/>
          <w:color w:val="000000" w:themeColor="text1"/>
          <w:sz w:val="22"/>
          <w:szCs w:val="22"/>
          <w:lang w:val="es-CO" w:eastAsia="es-CO" w:bidi="es-CO"/>
        </w:rPr>
      </w:pPr>
      <w:r w:rsidRPr="00620030">
        <w:rPr>
          <w:rFonts w:ascii="Arial" w:eastAsia="Arial" w:hAnsi="Arial" w:cs="Arial"/>
          <w:i/>
          <w:color w:val="000000" w:themeColor="text1"/>
          <w:sz w:val="22"/>
          <w:szCs w:val="22"/>
          <w:lang w:val="es-CO" w:eastAsia="es-CO" w:bidi="es-CO"/>
        </w:rPr>
        <w:t xml:space="preserve">“(…) </w:t>
      </w:r>
    </w:p>
    <w:p w14:paraId="59863B85" w14:textId="77777777" w:rsidR="00440D3A" w:rsidRPr="00620030" w:rsidRDefault="00440D3A" w:rsidP="00440D3A">
      <w:pPr>
        <w:widowControl w:val="0"/>
        <w:tabs>
          <w:tab w:val="left" w:pos="284"/>
        </w:tabs>
        <w:autoSpaceDE w:val="0"/>
        <w:autoSpaceDN w:val="0"/>
        <w:spacing w:before="1" w:line="120" w:lineRule="auto"/>
        <w:ind w:right="79"/>
        <w:jc w:val="both"/>
        <w:rPr>
          <w:rFonts w:ascii="Arial" w:eastAsia="Arial" w:hAnsi="Arial" w:cs="Arial"/>
          <w:i/>
          <w:color w:val="000000" w:themeColor="text1"/>
          <w:sz w:val="22"/>
          <w:szCs w:val="22"/>
          <w:lang w:val="es-CO" w:eastAsia="es-CO" w:bidi="es-CO"/>
        </w:rPr>
      </w:pPr>
    </w:p>
    <w:p w14:paraId="0DA653B5" w14:textId="77A9391F" w:rsidR="00440D3A" w:rsidRPr="00620030" w:rsidRDefault="00440D3A" w:rsidP="00E8742A">
      <w:pPr>
        <w:widowControl w:val="0"/>
        <w:autoSpaceDE w:val="0"/>
        <w:autoSpaceDN w:val="0"/>
        <w:spacing w:before="1"/>
        <w:ind w:left="284" w:right="81" w:hanging="284"/>
        <w:jc w:val="both"/>
        <w:rPr>
          <w:rFonts w:ascii="Arial" w:eastAsia="Arial" w:hAnsi="Arial" w:cs="Arial"/>
          <w:i/>
          <w:color w:val="000000" w:themeColor="text1"/>
          <w:sz w:val="22"/>
          <w:szCs w:val="22"/>
          <w:lang w:val="es-CO" w:eastAsia="es-CO" w:bidi="es-CO"/>
        </w:rPr>
      </w:pPr>
      <w:r w:rsidRPr="00620030">
        <w:rPr>
          <w:rFonts w:ascii="Arial" w:eastAsia="Arial" w:hAnsi="Arial" w:cs="Arial"/>
          <w:i/>
          <w:color w:val="000000" w:themeColor="text1"/>
          <w:sz w:val="22"/>
          <w:szCs w:val="22"/>
          <w:lang w:val="es-CO" w:eastAsia="es-CO" w:bidi="es-CO"/>
        </w:rPr>
        <w:t xml:space="preserve">h. En caso de que la UPRA haya determinado la aptitud de un cultivo o actividad </w:t>
      </w:r>
      <w:r w:rsidR="00957D83" w:rsidRPr="00620030">
        <w:rPr>
          <w:rFonts w:ascii="Arial" w:eastAsia="Arial" w:hAnsi="Arial" w:cs="Arial"/>
          <w:i/>
          <w:color w:val="000000" w:themeColor="text1"/>
          <w:sz w:val="22"/>
          <w:szCs w:val="22"/>
          <w:lang w:val="es-CO" w:eastAsia="es-CO" w:bidi="es-CO"/>
        </w:rPr>
        <w:t xml:space="preserve">agropecuaria </w:t>
      </w:r>
      <w:r w:rsidRPr="00620030">
        <w:rPr>
          <w:rFonts w:ascii="Arial" w:eastAsia="Arial" w:hAnsi="Arial" w:cs="Arial"/>
          <w:i/>
          <w:color w:val="000000" w:themeColor="text1"/>
          <w:sz w:val="22"/>
          <w:szCs w:val="22"/>
          <w:lang w:val="es-CO" w:eastAsia="es-CO" w:bidi="es-CO"/>
        </w:rPr>
        <w:t xml:space="preserve">por medio del Sistema de Información para la Planificación Rural Agropecuaria – SIPRA, solo serán </w:t>
      </w:r>
      <w:r w:rsidR="00E21DC7">
        <w:rPr>
          <w:rFonts w:ascii="Arial" w:eastAsia="Arial" w:hAnsi="Arial" w:cs="Arial"/>
          <w:i/>
          <w:color w:val="000000" w:themeColor="text1"/>
          <w:sz w:val="22"/>
          <w:szCs w:val="22"/>
          <w:lang w:val="es-CO" w:eastAsia="es-CO" w:bidi="es-CO"/>
        </w:rPr>
        <w:t>objeto</w:t>
      </w:r>
      <w:r w:rsidRPr="00620030">
        <w:rPr>
          <w:rFonts w:ascii="Arial" w:eastAsia="Arial" w:hAnsi="Arial" w:cs="Arial"/>
          <w:i/>
          <w:color w:val="000000" w:themeColor="text1"/>
          <w:sz w:val="22"/>
          <w:szCs w:val="22"/>
          <w:lang w:val="es-CO" w:eastAsia="es-CO" w:bidi="es-CO"/>
        </w:rPr>
        <w:t xml:space="preserve"> de</w:t>
      </w:r>
      <w:r w:rsidR="000632BE">
        <w:rPr>
          <w:rFonts w:ascii="Arial" w:eastAsia="Arial" w:hAnsi="Arial" w:cs="Arial"/>
          <w:i/>
          <w:color w:val="000000" w:themeColor="text1"/>
          <w:sz w:val="22"/>
          <w:szCs w:val="22"/>
          <w:lang w:val="es-CO" w:eastAsia="es-CO" w:bidi="es-CO"/>
        </w:rPr>
        <w:t>l</w:t>
      </w:r>
      <w:bookmarkStart w:id="2" w:name="_GoBack"/>
      <w:bookmarkEnd w:id="2"/>
      <w:r w:rsidRPr="00620030">
        <w:rPr>
          <w:rFonts w:ascii="Arial" w:eastAsia="Arial" w:hAnsi="Arial" w:cs="Arial"/>
          <w:i/>
          <w:color w:val="000000" w:themeColor="text1"/>
          <w:sz w:val="22"/>
          <w:szCs w:val="22"/>
          <w:lang w:val="es-CO" w:eastAsia="es-CO" w:bidi="es-CO"/>
        </w:rPr>
        <w:t xml:space="preserve"> subsidio</w:t>
      </w:r>
      <w:r w:rsidR="007805B6">
        <w:rPr>
          <w:rFonts w:ascii="Arial" w:eastAsia="Arial" w:hAnsi="Arial" w:cs="Arial"/>
          <w:i/>
          <w:color w:val="000000" w:themeColor="text1"/>
          <w:sz w:val="22"/>
          <w:szCs w:val="22"/>
          <w:lang w:val="es-CO" w:eastAsia="es-CO" w:bidi="es-CO"/>
        </w:rPr>
        <w:t xml:space="preserve"> a la tasa</w:t>
      </w:r>
      <w:r w:rsidRPr="00620030">
        <w:rPr>
          <w:rFonts w:ascii="Arial" w:eastAsia="Arial" w:hAnsi="Arial" w:cs="Arial"/>
          <w:i/>
          <w:color w:val="000000" w:themeColor="text1"/>
          <w:sz w:val="22"/>
          <w:szCs w:val="22"/>
          <w:lang w:val="es-CO" w:eastAsia="es-CO" w:bidi="es-CO"/>
        </w:rPr>
        <w:t xml:space="preserve"> las inversiones que se realicen dentro de la zonificación establecida. </w:t>
      </w:r>
    </w:p>
    <w:p w14:paraId="40E5F9EE" w14:textId="77777777" w:rsidR="00440D3A" w:rsidRPr="00620030" w:rsidRDefault="00440D3A" w:rsidP="00440D3A">
      <w:pPr>
        <w:widowControl w:val="0"/>
        <w:tabs>
          <w:tab w:val="left" w:pos="284"/>
        </w:tabs>
        <w:autoSpaceDE w:val="0"/>
        <w:autoSpaceDN w:val="0"/>
        <w:spacing w:before="1" w:line="120" w:lineRule="auto"/>
        <w:ind w:right="79"/>
        <w:jc w:val="both"/>
        <w:rPr>
          <w:rFonts w:ascii="Arial" w:eastAsia="Arial" w:hAnsi="Arial" w:cs="Arial"/>
          <w:i/>
          <w:color w:val="000000" w:themeColor="text1"/>
          <w:sz w:val="22"/>
          <w:szCs w:val="22"/>
          <w:lang w:val="es-CO" w:eastAsia="es-CO" w:bidi="es-CO"/>
        </w:rPr>
      </w:pPr>
    </w:p>
    <w:p w14:paraId="51B1FB9F" w14:textId="77777777" w:rsidR="00440D3A" w:rsidRPr="00620030" w:rsidRDefault="00440D3A" w:rsidP="00440D3A">
      <w:pPr>
        <w:widowControl w:val="0"/>
        <w:tabs>
          <w:tab w:val="left" w:pos="284"/>
        </w:tabs>
        <w:autoSpaceDE w:val="0"/>
        <w:autoSpaceDN w:val="0"/>
        <w:spacing w:before="1"/>
        <w:ind w:right="81"/>
        <w:jc w:val="both"/>
        <w:rPr>
          <w:rFonts w:ascii="Arial" w:eastAsia="Arial" w:hAnsi="Arial" w:cs="Arial"/>
          <w:i/>
          <w:color w:val="000000" w:themeColor="text1"/>
          <w:sz w:val="22"/>
          <w:szCs w:val="22"/>
          <w:lang w:eastAsia="es-CO" w:bidi="es-CO"/>
        </w:rPr>
      </w:pPr>
      <w:r w:rsidRPr="00620030">
        <w:rPr>
          <w:rFonts w:ascii="Arial" w:eastAsia="Arial" w:hAnsi="Arial" w:cs="Arial"/>
          <w:i/>
          <w:color w:val="000000" w:themeColor="text1"/>
          <w:sz w:val="22"/>
          <w:szCs w:val="22"/>
          <w:lang w:val="es-CO" w:eastAsia="es-CO" w:bidi="es-CO"/>
        </w:rPr>
        <w:t>(…)</w:t>
      </w:r>
      <w:r w:rsidRPr="00620030">
        <w:rPr>
          <w:rFonts w:ascii="Arial" w:eastAsia="Arial" w:hAnsi="Arial" w:cs="Arial"/>
          <w:i/>
          <w:color w:val="000000" w:themeColor="text1"/>
          <w:sz w:val="22"/>
          <w:szCs w:val="22"/>
          <w:lang w:eastAsia="es-CO" w:bidi="es-CO"/>
        </w:rPr>
        <w:t>”</w:t>
      </w:r>
    </w:p>
    <w:p w14:paraId="340EECA3" w14:textId="77777777" w:rsidR="002A5F3D" w:rsidRPr="00620030" w:rsidRDefault="002A5F3D" w:rsidP="002A5F3D">
      <w:pPr>
        <w:widowControl w:val="0"/>
        <w:autoSpaceDE w:val="0"/>
        <w:autoSpaceDN w:val="0"/>
        <w:ind w:right="81"/>
        <w:rPr>
          <w:rFonts w:ascii="Arial" w:eastAsia="Arial" w:hAnsi="Arial" w:cs="Arial"/>
          <w:sz w:val="22"/>
          <w:szCs w:val="22"/>
          <w:lang w:val="es-CO" w:eastAsia="es-CO" w:bidi="es-CO"/>
        </w:rPr>
      </w:pPr>
    </w:p>
    <w:p w14:paraId="3B98F5F1" w14:textId="77777777" w:rsidR="009D452B" w:rsidRPr="00620030" w:rsidRDefault="002A5F3D" w:rsidP="009D452B">
      <w:pPr>
        <w:widowControl w:val="0"/>
        <w:autoSpaceDE w:val="0"/>
        <w:autoSpaceDN w:val="0"/>
        <w:ind w:right="81"/>
        <w:jc w:val="both"/>
        <w:rPr>
          <w:rFonts w:ascii="Arial" w:eastAsia="Arial" w:hAnsi="Arial" w:cs="Arial"/>
          <w:i/>
          <w:sz w:val="22"/>
          <w:szCs w:val="22"/>
          <w:lang w:val="es-CO" w:eastAsia="es-CO" w:bidi="es-CO"/>
        </w:rPr>
      </w:pPr>
      <w:r w:rsidRPr="00620030">
        <w:rPr>
          <w:rFonts w:ascii="Arial" w:eastAsia="Arial" w:hAnsi="Arial" w:cs="Arial"/>
          <w:b/>
          <w:sz w:val="22"/>
          <w:szCs w:val="22"/>
          <w:lang w:val="es-CO" w:eastAsia="es-CO" w:bidi="es-CO"/>
        </w:rPr>
        <w:t xml:space="preserve">Artículo 3o. </w:t>
      </w:r>
      <w:r w:rsidR="009D452B" w:rsidRPr="00620030">
        <w:rPr>
          <w:rFonts w:ascii="Arial" w:eastAsia="Arial" w:hAnsi="Arial" w:cs="Arial"/>
          <w:sz w:val="22"/>
          <w:szCs w:val="22"/>
          <w:lang w:val="es-CO" w:eastAsia="es-CO" w:bidi="es-CO"/>
        </w:rPr>
        <w:t>FINAGRO adoptará los procedimientos y medidas necesarias para el desarrollo de la presente resolución para lo cual expedirá la circular reglamentaria</w:t>
      </w:r>
      <w:r w:rsidR="009D452B" w:rsidRPr="00620030">
        <w:rPr>
          <w:rFonts w:ascii="Arial" w:eastAsia="Arial" w:hAnsi="Arial" w:cs="Arial"/>
          <w:spacing w:val="-5"/>
          <w:sz w:val="22"/>
          <w:szCs w:val="22"/>
          <w:lang w:val="es-CO" w:eastAsia="es-CO" w:bidi="es-CO"/>
        </w:rPr>
        <w:t xml:space="preserve"> </w:t>
      </w:r>
      <w:r w:rsidR="009D452B" w:rsidRPr="00620030">
        <w:rPr>
          <w:rFonts w:ascii="Arial" w:eastAsia="Arial" w:hAnsi="Arial" w:cs="Arial"/>
          <w:sz w:val="22"/>
          <w:szCs w:val="22"/>
          <w:lang w:val="es-CO" w:eastAsia="es-CO" w:bidi="es-CO"/>
        </w:rPr>
        <w:t>correspondiente.</w:t>
      </w:r>
    </w:p>
    <w:p w14:paraId="761FF863" w14:textId="77777777" w:rsidR="009D452B" w:rsidRPr="00620030" w:rsidRDefault="009D452B" w:rsidP="002A5F3D">
      <w:pPr>
        <w:widowControl w:val="0"/>
        <w:autoSpaceDE w:val="0"/>
        <w:autoSpaceDN w:val="0"/>
        <w:ind w:right="81"/>
        <w:jc w:val="both"/>
        <w:rPr>
          <w:rFonts w:ascii="Arial" w:eastAsia="Arial" w:hAnsi="Arial" w:cs="Arial"/>
          <w:b/>
          <w:sz w:val="22"/>
          <w:szCs w:val="22"/>
          <w:lang w:val="es-CO" w:eastAsia="es-CO" w:bidi="es-CO"/>
        </w:rPr>
      </w:pPr>
    </w:p>
    <w:p w14:paraId="5A373DB8" w14:textId="2630784C" w:rsidR="00936415" w:rsidRPr="00620030" w:rsidRDefault="009D452B" w:rsidP="002A5F3D">
      <w:pPr>
        <w:widowControl w:val="0"/>
        <w:autoSpaceDE w:val="0"/>
        <w:autoSpaceDN w:val="0"/>
        <w:ind w:right="81"/>
        <w:jc w:val="both"/>
        <w:rPr>
          <w:rFonts w:ascii="Arial" w:eastAsia="Arial" w:hAnsi="Arial" w:cs="Arial"/>
          <w:sz w:val="22"/>
          <w:szCs w:val="22"/>
          <w:lang w:val="es-CO" w:eastAsia="es-CO" w:bidi="es-CO"/>
        </w:rPr>
      </w:pPr>
      <w:r w:rsidRPr="00620030">
        <w:rPr>
          <w:rFonts w:ascii="Arial" w:eastAsia="Arial" w:hAnsi="Arial" w:cs="Arial"/>
          <w:b/>
          <w:sz w:val="22"/>
          <w:szCs w:val="22"/>
          <w:lang w:val="es-CO" w:eastAsia="es-CO" w:bidi="es-CO"/>
        </w:rPr>
        <w:t>Artículo 4o.</w:t>
      </w:r>
      <w:r w:rsidR="001F214A" w:rsidRPr="00620030">
        <w:rPr>
          <w:rFonts w:ascii="Arial" w:eastAsia="Arial" w:hAnsi="Arial" w:cs="Arial"/>
          <w:b/>
          <w:sz w:val="22"/>
          <w:szCs w:val="22"/>
          <w:lang w:val="es-CO" w:eastAsia="es-CO" w:bidi="es-CO"/>
        </w:rPr>
        <w:t xml:space="preserve"> </w:t>
      </w:r>
      <w:r w:rsidR="00936415" w:rsidRPr="00620030">
        <w:rPr>
          <w:rFonts w:ascii="Arial" w:eastAsia="Arial" w:hAnsi="Arial" w:cs="Arial"/>
          <w:sz w:val="22"/>
          <w:szCs w:val="22"/>
          <w:lang w:val="es-CO" w:eastAsia="es-CO" w:bidi="es-CO"/>
        </w:rPr>
        <w:t>Los términos y condiciones establecidos en las demás resoluciones de la Comisión Nacional de Crédito Agropecuario permanecerán inalterados y conservarán toda su vigencia y efecto, en cuanto no se opongan a lo establecido en la presente Resolución.</w:t>
      </w:r>
    </w:p>
    <w:p w14:paraId="7DDC7650" w14:textId="475D1D3B" w:rsidR="001F214A" w:rsidRPr="00620030" w:rsidRDefault="00936415" w:rsidP="002A5F3D">
      <w:pPr>
        <w:widowControl w:val="0"/>
        <w:autoSpaceDE w:val="0"/>
        <w:autoSpaceDN w:val="0"/>
        <w:ind w:right="81"/>
        <w:jc w:val="both"/>
        <w:rPr>
          <w:rFonts w:ascii="Arial" w:eastAsia="Arial" w:hAnsi="Arial" w:cs="Arial"/>
          <w:b/>
          <w:sz w:val="22"/>
          <w:szCs w:val="22"/>
          <w:lang w:val="es-CO" w:eastAsia="es-CO" w:bidi="es-CO"/>
        </w:rPr>
      </w:pPr>
      <w:r w:rsidRPr="00620030">
        <w:rPr>
          <w:rFonts w:ascii="Arial" w:eastAsia="Arial" w:hAnsi="Arial" w:cs="Arial"/>
          <w:sz w:val="22"/>
          <w:szCs w:val="22"/>
          <w:lang w:val="es-CO" w:eastAsia="es-CO" w:bidi="es-CO"/>
        </w:rPr>
        <w:t xml:space="preserve"> </w:t>
      </w:r>
      <w:r w:rsidR="009D452B" w:rsidRPr="00620030">
        <w:rPr>
          <w:rFonts w:ascii="Arial" w:eastAsia="Arial" w:hAnsi="Arial" w:cs="Arial"/>
          <w:b/>
          <w:sz w:val="22"/>
          <w:szCs w:val="22"/>
          <w:lang w:val="es-CO" w:eastAsia="es-CO" w:bidi="es-CO"/>
        </w:rPr>
        <w:t xml:space="preserve"> </w:t>
      </w:r>
    </w:p>
    <w:p w14:paraId="4388E600" w14:textId="4E728AC3" w:rsidR="002A5F3D" w:rsidRPr="002A5F3D" w:rsidRDefault="001F214A" w:rsidP="002A5F3D">
      <w:pPr>
        <w:widowControl w:val="0"/>
        <w:autoSpaceDE w:val="0"/>
        <w:autoSpaceDN w:val="0"/>
        <w:ind w:right="81"/>
        <w:jc w:val="both"/>
        <w:rPr>
          <w:rFonts w:ascii="Arial" w:eastAsia="Arial" w:hAnsi="Arial" w:cs="Arial"/>
          <w:sz w:val="22"/>
          <w:szCs w:val="22"/>
          <w:lang w:val="es-CO" w:eastAsia="es-CO" w:bidi="es-CO"/>
        </w:rPr>
      </w:pPr>
      <w:r w:rsidRPr="00620030">
        <w:rPr>
          <w:rFonts w:ascii="Arial" w:eastAsia="Arial" w:hAnsi="Arial" w:cs="Arial"/>
          <w:b/>
          <w:sz w:val="22"/>
          <w:szCs w:val="22"/>
          <w:lang w:val="es-CO" w:eastAsia="es-CO" w:bidi="es-CO"/>
        </w:rPr>
        <w:t xml:space="preserve">Artículo 5o. </w:t>
      </w:r>
      <w:r w:rsidR="002A5F3D" w:rsidRPr="00620030">
        <w:rPr>
          <w:rFonts w:ascii="Arial" w:eastAsia="Arial" w:hAnsi="Arial" w:cs="Arial"/>
          <w:sz w:val="22"/>
          <w:szCs w:val="22"/>
          <w:lang w:val="es-CO" w:eastAsia="es-CO" w:bidi="es-CO"/>
        </w:rPr>
        <w:t>La presente resolución rige a partir de la fecha de su publicación en el Diario Oficial, y sus efectos aplicarán a partir de la fecha en que FINAGRO disponga de los recursos presupuestales</w:t>
      </w:r>
      <w:r w:rsidR="002A5F3D" w:rsidRPr="002A5F3D">
        <w:rPr>
          <w:rFonts w:ascii="Arial" w:eastAsia="Arial" w:hAnsi="Arial" w:cs="Arial"/>
          <w:sz w:val="22"/>
          <w:szCs w:val="22"/>
          <w:lang w:val="es-CO" w:eastAsia="es-CO" w:bidi="es-CO"/>
        </w:rPr>
        <w:t xml:space="preserve">. </w:t>
      </w:r>
    </w:p>
    <w:p w14:paraId="75EC6789" w14:textId="77777777" w:rsidR="002A5F3D" w:rsidRPr="002A5F3D" w:rsidRDefault="002A5F3D" w:rsidP="002A5F3D">
      <w:pPr>
        <w:widowControl w:val="0"/>
        <w:tabs>
          <w:tab w:val="left" w:pos="170"/>
        </w:tabs>
        <w:autoSpaceDE w:val="0"/>
        <w:autoSpaceDN w:val="0"/>
        <w:adjustRightInd w:val="0"/>
        <w:jc w:val="both"/>
        <w:rPr>
          <w:rFonts w:ascii="Arial" w:eastAsia="Arial" w:hAnsi="Arial" w:cs="Arial"/>
          <w:color w:val="000000" w:themeColor="text1"/>
          <w:sz w:val="22"/>
          <w:szCs w:val="22"/>
          <w:lang w:val="es-CO" w:eastAsia="es-CO" w:bidi="es-CO"/>
        </w:rPr>
      </w:pPr>
    </w:p>
    <w:p w14:paraId="094CF54C" w14:textId="77777777" w:rsidR="002A5F3D" w:rsidRPr="002A5F3D" w:rsidRDefault="002A5F3D" w:rsidP="002A5F3D">
      <w:pPr>
        <w:widowControl w:val="0"/>
        <w:tabs>
          <w:tab w:val="left" w:pos="170"/>
        </w:tabs>
        <w:autoSpaceDE w:val="0"/>
        <w:autoSpaceDN w:val="0"/>
        <w:adjustRightInd w:val="0"/>
        <w:jc w:val="both"/>
        <w:rPr>
          <w:rFonts w:ascii="Arial" w:eastAsia="Arial" w:hAnsi="Arial" w:cs="Arial"/>
          <w:color w:val="000000" w:themeColor="text1"/>
          <w:sz w:val="22"/>
          <w:szCs w:val="22"/>
          <w:lang w:val="es-CO" w:eastAsia="es-CO" w:bidi="es-CO"/>
        </w:rPr>
      </w:pPr>
      <w:r w:rsidRPr="002A5F3D">
        <w:rPr>
          <w:rFonts w:ascii="Arial" w:eastAsia="Arial" w:hAnsi="Arial" w:cs="Arial"/>
          <w:color w:val="000000" w:themeColor="text1"/>
          <w:sz w:val="22"/>
          <w:szCs w:val="22"/>
          <w:lang w:val="es-CO" w:eastAsia="es-CO" w:bidi="es-CO"/>
        </w:rPr>
        <w:t xml:space="preserve">Dada en Bogotá D.C., a los </w:t>
      </w:r>
      <w:r w:rsidR="002265E8">
        <w:rPr>
          <w:rFonts w:ascii="Arial" w:eastAsia="Arial" w:hAnsi="Arial" w:cs="Arial"/>
          <w:color w:val="000000" w:themeColor="text1"/>
          <w:sz w:val="22"/>
          <w:szCs w:val="22"/>
          <w:lang w:val="es-CO" w:eastAsia="es-CO" w:bidi="es-CO"/>
        </w:rPr>
        <w:t>_________</w:t>
      </w:r>
    </w:p>
    <w:p w14:paraId="686B2844" w14:textId="77777777" w:rsidR="002A5F3D" w:rsidRPr="002A5F3D" w:rsidRDefault="002A5F3D" w:rsidP="002A5F3D">
      <w:pPr>
        <w:widowControl w:val="0"/>
        <w:autoSpaceDE w:val="0"/>
        <w:autoSpaceDN w:val="0"/>
        <w:jc w:val="both"/>
        <w:rPr>
          <w:rFonts w:ascii="Arial" w:eastAsiaTheme="minorHAnsi" w:hAnsi="Arial" w:cs="Arial"/>
          <w:b/>
          <w:color w:val="000000" w:themeColor="text1"/>
          <w:sz w:val="22"/>
          <w:szCs w:val="22"/>
          <w:lang w:val="es-CO" w:eastAsia="en-US" w:bidi="es-CO"/>
        </w:rPr>
      </w:pPr>
    </w:p>
    <w:p w14:paraId="71F4B9BA" w14:textId="77777777" w:rsidR="002A5F3D" w:rsidRPr="002A5F3D" w:rsidRDefault="002A5F3D" w:rsidP="002A5F3D">
      <w:pPr>
        <w:widowControl w:val="0"/>
        <w:autoSpaceDE w:val="0"/>
        <w:autoSpaceDN w:val="0"/>
        <w:jc w:val="both"/>
        <w:rPr>
          <w:rFonts w:ascii="Arial" w:eastAsiaTheme="minorHAnsi" w:hAnsi="Arial" w:cs="Arial"/>
          <w:b/>
          <w:color w:val="000000" w:themeColor="text1"/>
          <w:sz w:val="22"/>
          <w:szCs w:val="22"/>
          <w:lang w:val="es-CO" w:eastAsia="en-US" w:bidi="es-CO"/>
        </w:rPr>
      </w:pPr>
    </w:p>
    <w:p w14:paraId="54860C88" w14:textId="77777777" w:rsidR="002A5F3D" w:rsidRPr="002A5F3D" w:rsidRDefault="002A5F3D" w:rsidP="002A5F3D">
      <w:pPr>
        <w:widowControl w:val="0"/>
        <w:autoSpaceDE w:val="0"/>
        <w:autoSpaceDN w:val="0"/>
        <w:jc w:val="both"/>
        <w:rPr>
          <w:rFonts w:ascii="Arial" w:eastAsiaTheme="minorHAnsi" w:hAnsi="Arial" w:cs="Arial"/>
          <w:b/>
          <w:color w:val="000000" w:themeColor="text1"/>
          <w:sz w:val="22"/>
          <w:szCs w:val="22"/>
          <w:lang w:val="es-CO" w:eastAsia="en-US" w:bidi="es-CO"/>
        </w:rPr>
      </w:pPr>
    </w:p>
    <w:p w14:paraId="359B8FE7" w14:textId="77777777" w:rsidR="002A5F3D" w:rsidRPr="002A5F3D" w:rsidRDefault="002A5F3D" w:rsidP="002A5F3D">
      <w:pPr>
        <w:widowControl w:val="0"/>
        <w:autoSpaceDE w:val="0"/>
        <w:autoSpaceDN w:val="0"/>
        <w:jc w:val="both"/>
        <w:rPr>
          <w:rFonts w:ascii="Arial" w:eastAsiaTheme="minorHAnsi" w:hAnsi="Arial" w:cs="Arial"/>
          <w:b/>
          <w:color w:val="000000" w:themeColor="text1"/>
          <w:sz w:val="22"/>
          <w:szCs w:val="22"/>
          <w:lang w:val="es-CO" w:eastAsia="en-US" w:bidi="es-CO"/>
        </w:rPr>
      </w:pPr>
    </w:p>
    <w:p w14:paraId="2BEC6A3C" w14:textId="77777777" w:rsidR="002A5F3D" w:rsidRPr="002A5F3D" w:rsidRDefault="002A5F3D" w:rsidP="002A5F3D">
      <w:pPr>
        <w:widowControl w:val="0"/>
        <w:autoSpaceDE w:val="0"/>
        <w:autoSpaceDN w:val="0"/>
        <w:jc w:val="both"/>
        <w:rPr>
          <w:rFonts w:ascii="Arial" w:eastAsiaTheme="minorHAnsi" w:hAnsi="Arial" w:cs="Arial"/>
          <w:b/>
          <w:color w:val="000000" w:themeColor="text1"/>
          <w:sz w:val="22"/>
          <w:szCs w:val="22"/>
          <w:lang w:val="es-CO" w:eastAsia="en-US" w:bidi="es-CO"/>
        </w:rPr>
      </w:pPr>
      <w:r w:rsidRPr="002A5F3D">
        <w:rPr>
          <w:rFonts w:ascii="Arial" w:eastAsiaTheme="minorHAnsi" w:hAnsi="Arial" w:cs="Arial"/>
          <w:b/>
          <w:color w:val="000000" w:themeColor="text1"/>
          <w:sz w:val="22"/>
          <w:szCs w:val="22"/>
          <w:lang w:val="es-CO" w:eastAsia="en-US" w:bidi="es-CO"/>
        </w:rPr>
        <w:t>ANDRÉS VALENCIA</w:t>
      </w:r>
      <w:r w:rsidRPr="002A5F3D">
        <w:rPr>
          <w:rFonts w:ascii="Arial" w:eastAsiaTheme="minorHAnsi" w:hAnsi="Arial" w:cs="Arial"/>
          <w:b/>
          <w:color w:val="000000" w:themeColor="text1"/>
          <w:sz w:val="22"/>
          <w:szCs w:val="22"/>
          <w:lang w:val="es-CO" w:eastAsia="en-US" w:bidi="es-CO"/>
        </w:rPr>
        <w:tab/>
        <w:t xml:space="preserve"> PINZÓN</w:t>
      </w:r>
      <w:r w:rsidRPr="002A5F3D">
        <w:rPr>
          <w:rFonts w:ascii="Arial" w:eastAsiaTheme="minorHAnsi" w:hAnsi="Arial" w:cs="Arial"/>
          <w:b/>
          <w:color w:val="000000" w:themeColor="text1"/>
          <w:sz w:val="22"/>
          <w:szCs w:val="22"/>
          <w:lang w:val="es-CO" w:eastAsia="en-US" w:bidi="es-CO"/>
        </w:rPr>
        <w:tab/>
      </w:r>
      <w:r w:rsidRPr="002A5F3D">
        <w:rPr>
          <w:rFonts w:ascii="Arial" w:eastAsiaTheme="minorHAnsi" w:hAnsi="Arial" w:cs="Arial"/>
          <w:b/>
          <w:color w:val="000000" w:themeColor="text1"/>
          <w:sz w:val="22"/>
          <w:szCs w:val="22"/>
          <w:lang w:val="es-CO" w:eastAsia="en-US" w:bidi="es-CO"/>
        </w:rPr>
        <w:tab/>
      </w:r>
      <w:r w:rsidRPr="002A5F3D">
        <w:rPr>
          <w:rFonts w:ascii="Arial" w:eastAsiaTheme="minorHAnsi" w:hAnsi="Arial" w:cs="Arial"/>
          <w:b/>
          <w:color w:val="000000" w:themeColor="text1"/>
          <w:sz w:val="22"/>
          <w:szCs w:val="22"/>
          <w:lang w:val="es-CO" w:eastAsia="en-US" w:bidi="es-CO"/>
        </w:rPr>
        <w:tab/>
        <w:t>CLAUDIA ACOSTA ECHEVERRÍA</w:t>
      </w:r>
    </w:p>
    <w:p w14:paraId="27B4470E" w14:textId="77777777" w:rsidR="002A5F3D" w:rsidRPr="002A5F3D" w:rsidRDefault="00440D3A" w:rsidP="00440D3A">
      <w:pPr>
        <w:widowControl w:val="0"/>
        <w:autoSpaceDE w:val="0"/>
        <w:autoSpaceDN w:val="0"/>
        <w:rPr>
          <w:rFonts w:ascii="Arial" w:eastAsiaTheme="minorHAnsi" w:hAnsi="Arial" w:cs="Arial"/>
          <w:color w:val="000000" w:themeColor="text1"/>
          <w:sz w:val="22"/>
          <w:szCs w:val="22"/>
          <w:lang w:val="es-CO" w:eastAsia="en-US" w:bidi="es-CO"/>
        </w:rPr>
      </w:pPr>
      <w:r>
        <w:rPr>
          <w:rFonts w:ascii="Arial" w:eastAsiaTheme="minorHAnsi" w:hAnsi="Arial" w:cs="Arial"/>
          <w:color w:val="000000" w:themeColor="text1"/>
          <w:sz w:val="22"/>
          <w:szCs w:val="22"/>
          <w:lang w:val="es-CO" w:eastAsia="en-US" w:bidi="es-CO"/>
        </w:rPr>
        <w:t xml:space="preserve">           Presidente</w:t>
      </w:r>
      <w:r>
        <w:rPr>
          <w:rFonts w:ascii="Arial" w:eastAsiaTheme="minorHAnsi" w:hAnsi="Arial" w:cs="Arial"/>
          <w:color w:val="000000" w:themeColor="text1"/>
          <w:sz w:val="22"/>
          <w:szCs w:val="22"/>
          <w:lang w:val="es-CO" w:eastAsia="en-US" w:bidi="es-CO"/>
        </w:rPr>
        <w:tab/>
      </w:r>
      <w:r>
        <w:rPr>
          <w:rFonts w:ascii="Arial" w:eastAsiaTheme="minorHAnsi" w:hAnsi="Arial" w:cs="Arial"/>
          <w:color w:val="000000" w:themeColor="text1"/>
          <w:sz w:val="22"/>
          <w:szCs w:val="22"/>
          <w:lang w:val="es-CO" w:eastAsia="en-US" w:bidi="es-CO"/>
        </w:rPr>
        <w:tab/>
      </w:r>
      <w:r>
        <w:rPr>
          <w:rFonts w:ascii="Arial" w:eastAsiaTheme="minorHAnsi" w:hAnsi="Arial" w:cs="Arial"/>
          <w:color w:val="000000" w:themeColor="text1"/>
          <w:sz w:val="22"/>
          <w:szCs w:val="22"/>
          <w:lang w:val="es-CO" w:eastAsia="en-US" w:bidi="es-CO"/>
        </w:rPr>
        <w:tab/>
      </w:r>
      <w:r>
        <w:rPr>
          <w:rFonts w:ascii="Arial" w:eastAsiaTheme="minorHAnsi" w:hAnsi="Arial" w:cs="Arial"/>
          <w:color w:val="000000" w:themeColor="text1"/>
          <w:sz w:val="22"/>
          <w:szCs w:val="22"/>
          <w:lang w:val="es-CO" w:eastAsia="en-US" w:bidi="es-CO"/>
        </w:rPr>
        <w:tab/>
      </w:r>
      <w:r>
        <w:rPr>
          <w:rFonts w:ascii="Arial" w:eastAsiaTheme="minorHAnsi" w:hAnsi="Arial" w:cs="Arial"/>
          <w:color w:val="000000" w:themeColor="text1"/>
          <w:sz w:val="22"/>
          <w:szCs w:val="22"/>
          <w:lang w:val="es-CO" w:eastAsia="en-US" w:bidi="es-CO"/>
        </w:rPr>
        <w:tab/>
        <w:t xml:space="preserve">          </w:t>
      </w:r>
      <w:r w:rsidR="002A5F3D" w:rsidRPr="002A5F3D">
        <w:rPr>
          <w:rFonts w:ascii="Arial" w:eastAsiaTheme="minorHAnsi" w:hAnsi="Arial" w:cs="Arial"/>
          <w:color w:val="000000" w:themeColor="text1"/>
          <w:sz w:val="22"/>
          <w:szCs w:val="22"/>
          <w:lang w:val="es-CO" w:eastAsia="en-US" w:bidi="es-CO"/>
        </w:rPr>
        <w:t>Secretaria Técnica (E)</w:t>
      </w:r>
    </w:p>
    <w:sectPr w:rsidR="002A5F3D" w:rsidRPr="002A5F3D" w:rsidSect="00D51A15">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AB0"/>
    <w:multiLevelType w:val="hybridMultilevel"/>
    <w:tmpl w:val="FE300848"/>
    <w:lvl w:ilvl="0" w:tplc="0C0A0001">
      <w:start w:val="1"/>
      <w:numFmt w:val="bullet"/>
      <w:lvlText w:val=""/>
      <w:lvlJc w:val="left"/>
      <w:pPr>
        <w:ind w:left="720" w:hanging="360"/>
      </w:pPr>
      <w:rPr>
        <w:rFonts w:ascii="Symbol" w:hAnsi="Symbol" w:hint="default"/>
      </w:rPr>
    </w:lvl>
    <w:lvl w:ilvl="1" w:tplc="24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490EDA"/>
    <w:multiLevelType w:val="hybridMultilevel"/>
    <w:tmpl w:val="7C0A1FA2"/>
    <w:lvl w:ilvl="0" w:tplc="D7A2E418">
      <w:start w:val="1"/>
      <w:numFmt w:val="lowerLetter"/>
      <w:lvlText w:val="%1."/>
      <w:lvlJc w:val="left"/>
      <w:pPr>
        <w:ind w:left="1920" w:hanging="360"/>
      </w:pPr>
      <w:rPr>
        <w:rFonts w:hint="default"/>
        <w:b w:val="0"/>
      </w:rPr>
    </w:lvl>
    <w:lvl w:ilvl="1" w:tplc="E482CC80">
      <w:start w:val="1"/>
      <w:numFmt w:val="lowerRoman"/>
      <w:lvlText w:val="%2."/>
      <w:lvlJc w:val="left"/>
      <w:pPr>
        <w:ind w:left="1353" w:hanging="360"/>
      </w:pPr>
      <w:rPr>
        <w:rFonts w:ascii="Arial" w:eastAsia="Times New Roman" w:hAnsi="Arial" w:cs="Arial"/>
      </w:r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27"/>
    <w:rsid w:val="00001ED9"/>
    <w:rsid w:val="0001002B"/>
    <w:rsid w:val="00022E39"/>
    <w:rsid w:val="00027CC4"/>
    <w:rsid w:val="00044DFD"/>
    <w:rsid w:val="0005684F"/>
    <w:rsid w:val="00061363"/>
    <w:rsid w:val="000632BE"/>
    <w:rsid w:val="00083E4E"/>
    <w:rsid w:val="000C1206"/>
    <w:rsid w:val="000C2AC1"/>
    <w:rsid w:val="000C7B59"/>
    <w:rsid w:val="000E2DDB"/>
    <w:rsid w:val="000E515F"/>
    <w:rsid w:val="00103F9F"/>
    <w:rsid w:val="001059BD"/>
    <w:rsid w:val="00107A3F"/>
    <w:rsid w:val="00110419"/>
    <w:rsid w:val="00116101"/>
    <w:rsid w:val="00127474"/>
    <w:rsid w:val="0013245B"/>
    <w:rsid w:val="00132F2D"/>
    <w:rsid w:val="00135025"/>
    <w:rsid w:val="00140BB7"/>
    <w:rsid w:val="00143851"/>
    <w:rsid w:val="0016140B"/>
    <w:rsid w:val="00193B36"/>
    <w:rsid w:val="001B48C1"/>
    <w:rsid w:val="001C1B9C"/>
    <w:rsid w:val="001E70FC"/>
    <w:rsid w:val="001E74B6"/>
    <w:rsid w:val="001F214A"/>
    <w:rsid w:val="001F5514"/>
    <w:rsid w:val="001F63A5"/>
    <w:rsid w:val="0021278B"/>
    <w:rsid w:val="0021723B"/>
    <w:rsid w:val="00225D51"/>
    <w:rsid w:val="002265E8"/>
    <w:rsid w:val="00236B80"/>
    <w:rsid w:val="00251434"/>
    <w:rsid w:val="0025664A"/>
    <w:rsid w:val="0026451E"/>
    <w:rsid w:val="0026578B"/>
    <w:rsid w:val="0027469E"/>
    <w:rsid w:val="00283406"/>
    <w:rsid w:val="00283664"/>
    <w:rsid w:val="00284F24"/>
    <w:rsid w:val="002A5F3D"/>
    <w:rsid w:val="002B215B"/>
    <w:rsid w:val="002B3B22"/>
    <w:rsid w:val="002B51F2"/>
    <w:rsid w:val="002C2B98"/>
    <w:rsid w:val="002C6363"/>
    <w:rsid w:val="002E3878"/>
    <w:rsid w:val="002E658A"/>
    <w:rsid w:val="002F3FC5"/>
    <w:rsid w:val="002F416D"/>
    <w:rsid w:val="003176CF"/>
    <w:rsid w:val="0032107C"/>
    <w:rsid w:val="003241CD"/>
    <w:rsid w:val="003344B6"/>
    <w:rsid w:val="00345AA7"/>
    <w:rsid w:val="00346B12"/>
    <w:rsid w:val="00362A19"/>
    <w:rsid w:val="00375EF3"/>
    <w:rsid w:val="00381583"/>
    <w:rsid w:val="0038216F"/>
    <w:rsid w:val="003940FE"/>
    <w:rsid w:val="003A2DDC"/>
    <w:rsid w:val="003A454F"/>
    <w:rsid w:val="003D1120"/>
    <w:rsid w:val="003D426B"/>
    <w:rsid w:val="003F34B9"/>
    <w:rsid w:val="003F3F24"/>
    <w:rsid w:val="0040087C"/>
    <w:rsid w:val="00407661"/>
    <w:rsid w:val="004145CE"/>
    <w:rsid w:val="004210D3"/>
    <w:rsid w:val="00422A39"/>
    <w:rsid w:val="004236DE"/>
    <w:rsid w:val="00440D3A"/>
    <w:rsid w:val="004508FC"/>
    <w:rsid w:val="00451E55"/>
    <w:rsid w:val="00464E9D"/>
    <w:rsid w:val="0046588C"/>
    <w:rsid w:val="004711B5"/>
    <w:rsid w:val="00474626"/>
    <w:rsid w:val="00492605"/>
    <w:rsid w:val="004960F7"/>
    <w:rsid w:val="004974ED"/>
    <w:rsid w:val="004A4FA5"/>
    <w:rsid w:val="004A5EEF"/>
    <w:rsid w:val="004B45C1"/>
    <w:rsid w:val="004B5467"/>
    <w:rsid w:val="004D585D"/>
    <w:rsid w:val="004E4202"/>
    <w:rsid w:val="004F33F8"/>
    <w:rsid w:val="00524188"/>
    <w:rsid w:val="005536C5"/>
    <w:rsid w:val="00564619"/>
    <w:rsid w:val="005701FC"/>
    <w:rsid w:val="0057399C"/>
    <w:rsid w:val="00593FFD"/>
    <w:rsid w:val="005B0A9C"/>
    <w:rsid w:val="005B5183"/>
    <w:rsid w:val="005D25E1"/>
    <w:rsid w:val="005D49C1"/>
    <w:rsid w:val="005F4A97"/>
    <w:rsid w:val="005F54AA"/>
    <w:rsid w:val="00612F72"/>
    <w:rsid w:val="00620030"/>
    <w:rsid w:val="006347A0"/>
    <w:rsid w:val="006513B2"/>
    <w:rsid w:val="00673EBD"/>
    <w:rsid w:val="006A390F"/>
    <w:rsid w:val="006B2E1A"/>
    <w:rsid w:val="006B3F0D"/>
    <w:rsid w:val="006B615B"/>
    <w:rsid w:val="006C7C81"/>
    <w:rsid w:val="006D2DEB"/>
    <w:rsid w:val="006D4606"/>
    <w:rsid w:val="006F47DF"/>
    <w:rsid w:val="00712736"/>
    <w:rsid w:val="00714DC2"/>
    <w:rsid w:val="007221D5"/>
    <w:rsid w:val="0074487E"/>
    <w:rsid w:val="00760F0B"/>
    <w:rsid w:val="007667A4"/>
    <w:rsid w:val="00777F50"/>
    <w:rsid w:val="007805B6"/>
    <w:rsid w:val="00790368"/>
    <w:rsid w:val="007915D6"/>
    <w:rsid w:val="007B2E76"/>
    <w:rsid w:val="007C3EF0"/>
    <w:rsid w:val="007D31EA"/>
    <w:rsid w:val="007E2719"/>
    <w:rsid w:val="007F27C4"/>
    <w:rsid w:val="00805488"/>
    <w:rsid w:val="008156C4"/>
    <w:rsid w:val="0083298C"/>
    <w:rsid w:val="0083470E"/>
    <w:rsid w:val="00835CB8"/>
    <w:rsid w:val="00836C04"/>
    <w:rsid w:val="00853E77"/>
    <w:rsid w:val="00871866"/>
    <w:rsid w:val="008848C3"/>
    <w:rsid w:val="0088573F"/>
    <w:rsid w:val="00892EBB"/>
    <w:rsid w:val="008A4E27"/>
    <w:rsid w:val="008A4E51"/>
    <w:rsid w:val="008D4E19"/>
    <w:rsid w:val="008E4DA9"/>
    <w:rsid w:val="008E71F7"/>
    <w:rsid w:val="00901A40"/>
    <w:rsid w:val="009042B1"/>
    <w:rsid w:val="009049E4"/>
    <w:rsid w:val="0091079B"/>
    <w:rsid w:val="009156C7"/>
    <w:rsid w:val="0092466D"/>
    <w:rsid w:val="00925D35"/>
    <w:rsid w:val="0093556B"/>
    <w:rsid w:val="00936415"/>
    <w:rsid w:val="00957D83"/>
    <w:rsid w:val="0097058D"/>
    <w:rsid w:val="009A13DF"/>
    <w:rsid w:val="009A4702"/>
    <w:rsid w:val="009A70F3"/>
    <w:rsid w:val="009B05BB"/>
    <w:rsid w:val="009B304E"/>
    <w:rsid w:val="009B30EA"/>
    <w:rsid w:val="009D2190"/>
    <w:rsid w:val="009D3E7A"/>
    <w:rsid w:val="009D452B"/>
    <w:rsid w:val="009E0E3F"/>
    <w:rsid w:val="009E55C7"/>
    <w:rsid w:val="009E626E"/>
    <w:rsid w:val="009F3998"/>
    <w:rsid w:val="009F7B78"/>
    <w:rsid w:val="00A03F9B"/>
    <w:rsid w:val="00A51709"/>
    <w:rsid w:val="00A63D6F"/>
    <w:rsid w:val="00A739F4"/>
    <w:rsid w:val="00A8174B"/>
    <w:rsid w:val="00A917C7"/>
    <w:rsid w:val="00A92144"/>
    <w:rsid w:val="00A95DFE"/>
    <w:rsid w:val="00AA1273"/>
    <w:rsid w:val="00AD0409"/>
    <w:rsid w:val="00AE3002"/>
    <w:rsid w:val="00B318BA"/>
    <w:rsid w:val="00B319A8"/>
    <w:rsid w:val="00B33A06"/>
    <w:rsid w:val="00B36715"/>
    <w:rsid w:val="00B4699A"/>
    <w:rsid w:val="00B54552"/>
    <w:rsid w:val="00B606A3"/>
    <w:rsid w:val="00B71036"/>
    <w:rsid w:val="00B76929"/>
    <w:rsid w:val="00B91340"/>
    <w:rsid w:val="00B916FB"/>
    <w:rsid w:val="00B9309E"/>
    <w:rsid w:val="00BA30EC"/>
    <w:rsid w:val="00BA5ADF"/>
    <w:rsid w:val="00BA770E"/>
    <w:rsid w:val="00BB4453"/>
    <w:rsid w:val="00BB55C4"/>
    <w:rsid w:val="00BB76CC"/>
    <w:rsid w:val="00BE7B37"/>
    <w:rsid w:val="00BF04C4"/>
    <w:rsid w:val="00BF7E32"/>
    <w:rsid w:val="00C03F30"/>
    <w:rsid w:val="00C04379"/>
    <w:rsid w:val="00C107B3"/>
    <w:rsid w:val="00C112DA"/>
    <w:rsid w:val="00C12467"/>
    <w:rsid w:val="00C15EA3"/>
    <w:rsid w:val="00C22B74"/>
    <w:rsid w:val="00C237C2"/>
    <w:rsid w:val="00C364C0"/>
    <w:rsid w:val="00C8708B"/>
    <w:rsid w:val="00C956D9"/>
    <w:rsid w:val="00CC4E45"/>
    <w:rsid w:val="00CD0865"/>
    <w:rsid w:val="00CD1842"/>
    <w:rsid w:val="00CD76CA"/>
    <w:rsid w:val="00CE0EA7"/>
    <w:rsid w:val="00CE659A"/>
    <w:rsid w:val="00CF3328"/>
    <w:rsid w:val="00CF64B3"/>
    <w:rsid w:val="00D10493"/>
    <w:rsid w:val="00D26622"/>
    <w:rsid w:val="00D31F23"/>
    <w:rsid w:val="00D47464"/>
    <w:rsid w:val="00D51A15"/>
    <w:rsid w:val="00D61A92"/>
    <w:rsid w:val="00D62039"/>
    <w:rsid w:val="00D641B1"/>
    <w:rsid w:val="00D70507"/>
    <w:rsid w:val="00D7436D"/>
    <w:rsid w:val="00D83D57"/>
    <w:rsid w:val="00D94A44"/>
    <w:rsid w:val="00D95310"/>
    <w:rsid w:val="00D97447"/>
    <w:rsid w:val="00DA6A94"/>
    <w:rsid w:val="00DB06A6"/>
    <w:rsid w:val="00DB5BDB"/>
    <w:rsid w:val="00E11A49"/>
    <w:rsid w:val="00E13141"/>
    <w:rsid w:val="00E157C4"/>
    <w:rsid w:val="00E1611F"/>
    <w:rsid w:val="00E21DC7"/>
    <w:rsid w:val="00E35851"/>
    <w:rsid w:val="00E4610C"/>
    <w:rsid w:val="00E57D66"/>
    <w:rsid w:val="00E60099"/>
    <w:rsid w:val="00E70432"/>
    <w:rsid w:val="00E83176"/>
    <w:rsid w:val="00E84550"/>
    <w:rsid w:val="00E8742A"/>
    <w:rsid w:val="00E90161"/>
    <w:rsid w:val="00E90FB2"/>
    <w:rsid w:val="00E91005"/>
    <w:rsid w:val="00EC3BF8"/>
    <w:rsid w:val="00EF7897"/>
    <w:rsid w:val="00F11BFA"/>
    <w:rsid w:val="00F27424"/>
    <w:rsid w:val="00F308E1"/>
    <w:rsid w:val="00F36968"/>
    <w:rsid w:val="00F36B20"/>
    <w:rsid w:val="00F37B94"/>
    <w:rsid w:val="00F416C9"/>
    <w:rsid w:val="00F51CF6"/>
    <w:rsid w:val="00F93EC7"/>
    <w:rsid w:val="00FC706D"/>
    <w:rsid w:val="00FD02EC"/>
    <w:rsid w:val="00FD4295"/>
    <w:rsid w:val="00FE0DF7"/>
    <w:rsid w:val="00FE3EA9"/>
    <w:rsid w:val="00FE72FE"/>
    <w:rsid w:val="00FF14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2722"/>
  <w15:chartTrackingRefBased/>
  <w15:docId w15:val="{E44900A6-DB86-44DD-8CA2-2106F692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4E27"/>
    <w:pPr>
      <w:spacing w:after="0" w:line="240" w:lineRule="auto"/>
    </w:pPr>
    <w:rPr>
      <w:rFonts w:ascii="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4702"/>
    <w:pPr>
      <w:spacing w:after="0" w:line="240" w:lineRule="auto"/>
      <w:jc w:val="both"/>
    </w:pPr>
    <w:rPr>
      <w:rFonts w:ascii="Arial" w:hAnsi="Arial" w:cs="Times New Roman"/>
      <w:szCs w:val="24"/>
      <w:lang w:eastAsia="es-ES"/>
    </w:rPr>
  </w:style>
  <w:style w:type="paragraph" w:customStyle="1" w:styleId="c5">
    <w:name w:val="c5"/>
    <w:basedOn w:val="Normal"/>
    <w:rsid w:val="008A4E27"/>
    <w:pPr>
      <w:autoSpaceDE w:val="0"/>
      <w:autoSpaceDN w:val="0"/>
      <w:spacing w:line="240" w:lineRule="atLeast"/>
      <w:jc w:val="center"/>
    </w:pPr>
  </w:style>
  <w:style w:type="paragraph" w:customStyle="1" w:styleId="c4">
    <w:name w:val="c4"/>
    <w:basedOn w:val="Normal"/>
    <w:rsid w:val="008A4E27"/>
    <w:pPr>
      <w:widowControl w:val="0"/>
      <w:autoSpaceDE w:val="0"/>
      <w:autoSpaceDN w:val="0"/>
      <w:adjustRightInd w:val="0"/>
      <w:spacing w:line="240" w:lineRule="atLeast"/>
      <w:jc w:val="center"/>
    </w:pPr>
    <w:rPr>
      <w:lang w:val="en-US"/>
    </w:rPr>
  </w:style>
  <w:style w:type="paragraph" w:customStyle="1" w:styleId="p6">
    <w:name w:val="p6"/>
    <w:basedOn w:val="Normal"/>
    <w:rsid w:val="008A4E27"/>
    <w:pPr>
      <w:widowControl w:val="0"/>
      <w:tabs>
        <w:tab w:val="left" w:pos="1479"/>
      </w:tabs>
      <w:autoSpaceDE w:val="0"/>
      <w:autoSpaceDN w:val="0"/>
      <w:adjustRightInd w:val="0"/>
      <w:spacing w:line="266" w:lineRule="atLeast"/>
      <w:ind w:left="555"/>
      <w:jc w:val="both"/>
    </w:pPr>
    <w:rPr>
      <w:lang w:val="en-US"/>
    </w:rPr>
  </w:style>
  <w:style w:type="paragraph" w:customStyle="1" w:styleId="p2">
    <w:name w:val="p2"/>
    <w:basedOn w:val="Normal"/>
    <w:rsid w:val="00714DC2"/>
    <w:pPr>
      <w:widowControl w:val="0"/>
      <w:tabs>
        <w:tab w:val="left" w:pos="170"/>
      </w:tabs>
      <w:autoSpaceDE w:val="0"/>
      <w:autoSpaceDN w:val="0"/>
      <w:adjustRightInd w:val="0"/>
      <w:spacing w:line="240" w:lineRule="atLeast"/>
      <w:ind w:left="754"/>
      <w:jc w:val="both"/>
    </w:pPr>
    <w:rPr>
      <w:lang w:val="en-US"/>
    </w:rPr>
  </w:style>
  <w:style w:type="table" w:customStyle="1" w:styleId="Tabladecuadrcula4-nfasis64">
    <w:name w:val="Tabla de cuadrícula 4 - Énfasis 64"/>
    <w:basedOn w:val="Tablanormal"/>
    <w:next w:val="Tabladecuadrcula4-nfasis6"/>
    <w:uiPriority w:val="49"/>
    <w:rsid w:val="00901A40"/>
    <w:pPr>
      <w:spacing w:after="0" w:line="240" w:lineRule="auto"/>
    </w:pPr>
    <w:rPr>
      <w:rFonts w:eastAsia="Calibri"/>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6">
    <w:name w:val="Grid Table 4 Accent 6"/>
    <w:basedOn w:val="Tablanormal"/>
    <w:uiPriority w:val="49"/>
    <w:rsid w:val="00901A4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aliases w:val="Segundo nivel de viñetas"/>
    <w:basedOn w:val="Normal"/>
    <w:uiPriority w:val="34"/>
    <w:qFormat/>
    <w:rsid w:val="009049E4"/>
    <w:pPr>
      <w:ind w:left="720"/>
      <w:contextualSpacing/>
    </w:pPr>
  </w:style>
  <w:style w:type="character" w:styleId="Refdecomentario">
    <w:name w:val="annotation reference"/>
    <w:basedOn w:val="Fuentedeprrafopredeter"/>
    <w:uiPriority w:val="99"/>
    <w:semiHidden/>
    <w:unhideWhenUsed/>
    <w:rsid w:val="00CD76CA"/>
    <w:rPr>
      <w:sz w:val="16"/>
      <w:szCs w:val="16"/>
    </w:rPr>
  </w:style>
  <w:style w:type="paragraph" w:styleId="Textocomentario">
    <w:name w:val="annotation text"/>
    <w:basedOn w:val="Normal"/>
    <w:link w:val="TextocomentarioCar"/>
    <w:uiPriority w:val="99"/>
    <w:semiHidden/>
    <w:unhideWhenUsed/>
    <w:rsid w:val="00CD76CA"/>
    <w:rPr>
      <w:sz w:val="20"/>
      <w:szCs w:val="20"/>
    </w:rPr>
  </w:style>
  <w:style w:type="character" w:customStyle="1" w:styleId="TextocomentarioCar">
    <w:name w:val="Texto comentario Car"/>
    <w:basedOn w:val="Fuentedeprrafopredeter"/>
    <w:link w:val="Textocomentario"/>
    <w:uiPriority w:val="99"/>
    <w:semiHidden/>
    <w:rsid w:val="00CD76CA"/>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D76CA"/>
    <w:rPr>
      <w:b/>
      <w:bCs/>
    </w:rPr>
  </w:style>
  <w:style w:type="character" w:customStyle="1" w:styleId="AsuntodelcomentarioCar">
    <w:name w:val="Asunto del comentario Car"/>
    <w:basedOn w:val="TextocomentarioCar"/>
    <w:link w:val="Asuntodelcomentario"/>
    <w:uiPriority w:val="99"/>
    <w:semiHidden/>
    <w:rsid w:val="00CD76CA"/>
    <w:rPr>
      <w:rFonts w:ascii="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D76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6CA"/>
    <w:rPr>
      <w:rFonts w:ascii="Segoe UI" w:hAnsi="Segoe UI" w:cs="Segoe UI"/>
      <w:sz w:val="18"/>
      <w:szCs w:val="18"/>
      <w:lang w:val="es-ES" w:eastAsia="es-ES"/>
    </w:rPr>
  </w:style>
  <w:style w:type="table" w:customStyle="1" w:styleId="Tabladecuadrcula4-nfasis641">
    <w:name w:val="Tabla de cuadrícula 4 - Énfasis 641"/>
    <w:basedOn w:val="Tablanormal"/>
    <w:next w:val="Tabladecuadrcula4-nfasis6"/>
    <w:uiPriority w:val="49"/>
    <w:rsid w:val="002A5F3D"/>
    <w:pPr>
      <w:spacing w:after="0" w:line="240" w:lineRule="auto"/>
    </w:pPr>
    <w:rPr>
      <w:rFonts w:eastAsia="Calibri"/>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4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57238-EDC6-4B6F-BA16-56FE00B3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1818</Words>
  <Characters>10005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Alfredo Benitez Lozano</dc:creator>
  <cp:keywords/>
  <dc:description/>
  <cp:lastModifiedBy>Maria Fernanda Guerra Charry</cp:lastModifiedBy>
  <cp:revision>14</cp:revision>
  <dcterms:created xsi:type="dcterms:W3CDTF">2019-02-26T19:01:00Z</dcterms:created>
  <dcterms:modified xsi:type="dcterms:W3CDTF">2019-03-05T21:47:00Z</dcterms:modified>
</cp:coreProperties>
</file>