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27" w:rsidRPr="00777993" w:rsidRDefault="008A4E27" w:rsidP="008A4E27">
      <w:pPr>
        <w:pStyle w:val="c4"/>
        <w:tabs>
          <w:tab w:val="left" w:pos="-374"/>
          <w:tab w:val="left" w:pos="0"/>
        </w:tabs>
        <w:spacing w:line="240" w:lineRule="auto"/>
        <w:rPr>
          <w:rFonts w:ascii="Arial" w:hAnsi="Arial" w:cs="Arial"/>
          <w:b/>
          <w:color w:val="000000" w:themeColor="text1"/>
          <w:sz w:val="22"/>
          <w:szCs w:val="22"/>
          <w:lang w:val="es-CO"/>
        </w:rPr>
      </w:pPr>
      <w:r w:rsidRPr="00777993">
        <w:rPr>
          <w:rFonts w:ascii="Arial" w:hAnsi="Arial" w:cs="Arial"/>
          <w:b/>
          <w:color w:val="000000" w:themeColor="text1"/>
          <w:sz w:val="22"/>
          <w:szCs w:val="22"/>
          <w:lang w:val="es-CO"/>
        </w:rPr>
        <w:t>REPÚBLICA DE COLOMBIA</w:t>
      </w:r>
    </w:p>
    <w:p w:rsidR="008A4E27" w:rsidRPr="00777993" w:rsidRDefault="008A4E27" w:rsidP="008A4E27">
      <w:pPr>
        <w:tabs>
          <w:tab w:val="left" w:pos="204"/>
        </w:tabs>
        <w:jc w:val="center"/>
        <w:rPr>
          <w:rFonts w:ascii="Arial" w:hAnsi="Arial" w:cs="Arial"/>
          <w:b/>
          <w:color w:val="000000" w:themeColor="text1"/>
          <w:sz w:val="22"/>
          <w:szCs w:val="22"/>
        </w:rPr>
      </w:pPr>
    </w:p>
    <w:p w:rsidR="008A4E27" w:rsidRPr="00777993" w:rsidRDefault="008A4E27" w:rsidP="008A4E27">
      <w:pPr>
        <w:pStyle w:val="c4"/>
        <w:tabs>
          <w:tab w:val="left" w:pos="204"/>
        </w:tabs>
        <w:spacing w:line="240" w:lineRule="auto"/>
        <w:rPr>
          <w:rFonts w:ascii="Arial" w:hAnsi="Arial" w:cs="Arial"/>
          <w:b/>
          <w:color w:val="000000" w:themeColor="text1"/>
          <w:sz w:val="22"/>
          <w:szCs w:val="22"/>
          <w:lang w:val="es-CO"/>
        </w:rPr>
      </w:pPr>
      <w:r w:rsidRPr="00777993">
        <w:rPr>
          <w:rFonts w:ascii="Arial" w:hAnsi="Arial" w:cs="Arial"/>
          <w:b/>
          <w:color w:val="000000" w:themeColor="text1"/>
          <w:sz w:val="22"/>
          <w:szCs w:val="22"/>
          <w:lang w:val="es-CO"/>
        </w:rPr>
        <w:t>COMISIÓN NACIONAL DE CRÉDITO AGROPECUARIO</w:t>
      </w:r>
    </w:p>
    <w:p w:rsidR="008A4E27" w:rsidRPr="00777993" w:rsidRDefault="008A4E27" w:rsidP="008A4E27">
      <w:pPr>
        <w:tabs>
          <w:tab w:val="left" w:pos="204"/>
        </w:tabs>
        <w:jc w:val="center"/>
        <w:rPr>
          <w:rFonts w:ascii="Arial" w:hAnsi="Arial" w:cs="Arial"/>
          <w:b/>
          <w:color w:val="000000" w:themeColor="text1"/>
          <w:sz w:val="22"/>
          <w:szCs w:val="22"/>
        </w:rPr>
      </w:pPr>
    </w:p>
    <w:p w:rsidR="008A4E27" w:rsidRPr="004E5CA3" w:rsidRDefault="008A4E27" w:rsidP="008A4E27">
      <w:pPr>
        <w:pStyle w:val="c5"/>
        <w:tabs>
          <w:tab w:val="left" w:pos="204"/>
        </w:tabs>
        <w:spacing w:line="240" w:lineRule="auto"/>
        <w:rPr>
          <w:rFonts w:ascii="Arial" w:hAnsi="Arial" w:cs="Arial"/>
          <w:b/>
          <w:color w:val="000000" w:themeColor="text1"/>
          <w:sz w:val="22"/>
          <w:szCs w:val="22"/>
          <w:lang w:val="es-CO"/>
        </w:rPr>
      </w:pPr>
      <w:r w:rsidRPr="004E5CA3">
        <w:rPr>
          <w:rFonts w:ascii="Arial" w:hAnsi="Arial" w:cs="Arial"/>
          <w:b/>
          <w:color w:val="000000" w:themeColor="text1"/>
          <w:sz w:val="22"/>
          <w:szCs w:val="22"/>
          <w:lang w:val="es-CO"/>
        </w:rPr>
        <w:t>RESOLUCIÓN No.__ DE 2019</w:t>
      </w:r>
    </w:p>
    <w:p w:rsidR="008A4E27" w:rsidRPr="004E5CA3" w:rsidRDefault="008A4E27" w:rsidP="008A4E27">
      <w:pPr>
        <w:pStyle w:val="c5"/>
        <w:tabs>
          <w:tab w:val="left" w:pos="204"/>
        </w:tabs>
        <w:spacing w:line="240" w:lineRule="auto"/>
        <w:rPr>
          <w:rFonts w:ascii="Arial" w:hAnsi="Arial" w:cs="Arial"/>
          <w:b/>
          <w:color w:val="000000" w:themeColor="text1"/>
          <w:sz w:val="22"/>
          <w:szCs w:val="22"/>
          <w:lang w:val="es-CO"/>
        </w:rPr>
      </w:pPr>
      <w:r w:rsidRPr="004E5CA3">
        <w:rPr>
          <w:rFonts w:ascii="Arial" w:hAnsi="Arial" w:cs="Arial"/>
          <w:b/>
          <w:color w:val="000000" w:themeColor="text1"/>
          <w:sz w:val="22"/>
          <w:szCs w:val="22"/>
          <w:lang w:val="es-CO"/>
        </w:rPr>
        <w:t xml:space="preserve">(Febrero </w:t>
      </w:r>
      <w:proofErr w:type="gramStart"/>
      <w:r w:rsidR="0088573F" w:rsidRPr="004E5CA3">
        <w:rPr>
          <w:rFonts w:ascii="Arial" w:hAnsi="Arial" w:cs="Arial"/>
          <w:b/>
          <w:color w:val="000000" w:themeColor="text1"/>
          <w:sz w:val="22"/>
          <w:szCs w:val="22"/>
          <w:lang w:val="es-CO"/>
        </w:rPr>
        <w:t xml:space="preserve">XX </w:t>
      </w:r>
      <w:r w:rsidRPr="004E5CA3">
        <w:rPr>
          <w:rFonts w:ascii="Arial" w:hAnsi="Arial" w:cs="Arial"/>
          <w:b/>
          <w:color w:val="000000" w:themeColor="text1"/>
          <w:sz w:val="22"/>
          <w:szCs w:val="22"/>
          <w:lang w:val="es-CO"/>
        </w:rPr>
        <w:t>)</w:t>
      </w:r>
      <w:proofErr w:type="gramEnd"/>
    </w:p>
    <w:p w:rsidR="008A4E27" w:rsidRPr="004E5CA3" w:rsidRDefault="008A4E27" w:rsidP="00FE443E">
      <w:pPr>
        <w:tabs>
          <w:tab w:val="left" w:pos="204"/>
        </w:tabs>
        <w:rPr>
          <w:rFonts w:ascii="Arial" w:hAnsi="Arial" w:cs="Arial"/>
          <w:color w:val="000000" w:themeColor="text1"/>
          <w:sz w:val="22"/>
          <w:szCs w:val="22"/>
        </w:rPr>
      </w:pPr>
    </w:p>
    <w:p w:rsidR="001863C0" w:rsidRPr="00777993" w:rsidRDefault="001863C0" w:rsidP="001863C0">
      <w:pPr>
        <w:pStyle w:val="c5"/>
        <w:tabs>
          <w:tab w:val="left" w:pos="204"/>
        </w:tabs>
        <w:spacing w:line="240" w:lineRule="auto"/>
        <w:rPr>
          <w:rFonts w:ascii="Arial" w:hAnsi="Arial" w:cs="Arial"/>
          <w:sz w:val="22"/>
          <w:szCs w:val="22"/>
          <w:lang w:val="es-CO"/>
        </w:rPr>
      </w:pPr>
      <w:r w:rsidRPr="004E5CA3">
        <w:rPr>
          <w:rFonts w:ascii="Arial" w:hAnsi="Arial" w:cs="Arial"/>
          <w:sz w:val="22"/>
          <w:szCs w:val="22"/>
          <w:lang w:val="es-CO"/>
        </w:rPr>
        <w:t xml:space="preserve">“Por la </w:t>
      </w:r>
      <w:r w:rsidRPr="004E5CA3">
        <w:rPr>
          <w:rFonts w:ascii="Arial" w:hAnsi="Arial" w:cs="Arial"/>
          <w:bCs/>
          <w:sz w:val="22"/>
          <w:szCs w:val="22"/>
          <w:lang w:val="es-CO"/>
        </w:rPr>
        <w:t xml:space="preserve">cual se establece una Línea Especial de Crédito para la </w:t>
      </w:r>
      <w:r w:rsidR="00B562B1" w:rsidRPr="004E5CA3">
        <w:rPr>
          <w:rFonts w:ascii="Arial" w:hAnsi="Arial" w:cs="Arial"/>
          <w:bCs/>
          <w:sz w:val="22"/>
          <w:szCs w:val="22"/>
          <w:lang w:val="es-CO"/>
        </w:rPr>
        <w:t>R</w:t>
      </w:r>
      <w:r w:rsidR="0071381B" w:rsidRPr="004E5CA3">
        <w:rPr>
          <w:rFonts w:ascii="Arial" w:hAnsi="Arial" w:cs="Arial"/>
          <w:bCs/>
          <w:sz w:val="22"/>
          <w:szCs w:val="22"/>
          <w:lang w:val="es-CO"/>
        </w:rPr>
        <w:t xml:space="preserve">eactivación </w:t>
      </w:r>
      <w:r w:rsidR="00B562B1" w:rsidRPr="004E5CA3">
        <w:rPr>
          <w:rFonts w:ascii="Arial" w:hAnsi="Arial" w:cs="Arial"/>
          <w:bCs/>
          <w:sz w:val="22"/>
          <w:szCs w:val="22"/>
          <w:lang w:val="es-CO"/>
        </w:rPr>
        <w:t>A</w:t>
      </w:r>
      <w:r w:rsidR="0071381B" w:rsidRPr="004E5CA3">
        <w:rPr>
          <w:rFonts w:ascii="Arial" w:hAnsi="Arial" w:cs="Arial"/>
          <w:bCs/>
          <w:sz w:val="22"/>
          <w:szCs w:val="22"/>
          <w:lang w:val="es-CO"/>
        </w:rPr>
        <w:t xml:space="preserve">gropecuaria </w:t>
      </w:r>
      <w:r w:rsidR="00EB2685" w:rsidRPr="004E5CA3">
        <w:rPr>
          <w:rFonts w:ascii="Arial" w:hAnsi="Arial" w:cs="Arial"/>
          <w:bCs/>
          <w:sz w:val="22"/>
          <w:szCs w:val="22"/>
          <w:lang w:val="es-CO"/>
        </w:rPr>
        <w:t xml:space="preserve">destinada a la financiación de anticipos de las </w:t>
      </w:r>
      <w:r w:rsidR="0071381B" w:rsidRPr="004E5CA3">
        <w:rPr>
          <w:rFonts w:ascii="Arial" w:hAnsi="Arial" w:cs="Arial"/>
          <w:bCs/>
          <w:sz w:val="22"/>
          <w:szCs w:val="22"/>
          <w:lang w:val="es-CO"/>
        </w:rPr>
        <w:t>operaciones Forward</w:t>
      </w:r>
      <w:r w:rsidRPr="004E5CA3">
        <w:rPr>
          <w:rFonts w:ascii="Arial" w:hAnsi="Arial" w:cs="Arial"/>
          <w:bCs/>
          <w:sz w:val="22"/>
          <w:szCs w:val="22"/>
          <w:lang w:val="es-CO"/>
        </w:rPr>
        <w:t xml:space="preserve"> </w:t>
      </w:r>
      <w:r w:rsidR="00291572" w:rsidRPr="004E5CA3">
        <w:rPr>
          <w:rFonts w:ascii="Arial" w:hAnsi="Arial" w:cs="Arial"/>
          <w:bCs/>
          <w:sz w:val="22"/>
          <w:szCs w:val="22"/>
          <w:lang w:val="es-CO"/>
        </w:rPr>
        <w:t>celebradas a través de las</w:t>
      </w:r>
      <w:r w:rsidR="0071381B" w:rsidRPr="004E5CA3">
        <w:rPr>
          <w:rFonts w:ascii="Arial" w:hAnsi="Arial" w:cs="Arial"/>
          <w:bCs/>
          <w:sz w:val="22"/>
          <w:szCs w:val="22"/>
          <w:lang w:val="es-CO"/>
        </w:rPr>
        <w:t xml:space="preserve"> Bolsas de Bienes y Productos Agropecuarios, Agroindustriales </w:t>
      </w:r>
      <w:r w:rsidR="00D936DE" w:rsidRPr="004E5CA3">
        <w:rPr>
          <w:rFonts w:ascii="Arial" w:hAnsi="Arial" w:cs="Arial"/>
          <w:bCs/>
          <w:sz w:val="22"/>
          <w:szCs w:val="22"/>
          <w:lang w:val="es-CO"/>
        </w:rPr>
        <w:t>o</w:t>
      </w:r>
      <w:r w:rsidR="0071381B" w:rsidRPr="004E5CA3">
        <w:rPr>
          <w:rFonts w:ascii="Arial" w:hAnsi="Arial" w:cs="Arial"/>
          <w:bCs/>
          <w:sz w:val="22"/>
          <w:szCs w:val="22"/>
          <w:lang w:val="es-CO"/>
        </w:rPr>
        <w:t xml:space="preserve"> de otros </w:t>
      </w:r>
      <w:r w:rsidR="00AB64F9" w:rsidRPr="004E5CA3">
        <w:rPr>
          <w:rFonts w:ascii="Arial" w:hAnsi="Arial" w:cs="Arial"/>
          <w:bCs/>
          <w:sz w:val="22"/>
          <w:szCs w:val="22"/>
          <w:lang w:val="es-CO"/>
        </w:rPr>
        <w:t>C</w:t>
      </w:r>
      <w:r w:rsidR="0071381B" w:rsidRPr="004E5CA3">
        <w:rPr>
          <w:rFonts w:ascii="Arial" w:hAnsi="Arial" w:cs="Arial"/>
          <w:bCs/>
          <w:sz w:val="22"/>
          <w:szCs w:val="22"/>
          <w:lang w:val="es-CO"/>
        </w:rPr>
        <w:t>ommodities</w:t>
      </w:r>
      <w:r w:rsidR="0046149B" w:rsidRPr="004E5CA3">
        <w:rPr>
          <w:rFonts w:ascii="Arial" w:hAnsi="Arial" w:cs="Arial"/>
          <w:bCs/>
          <w:sz w:val="22"/>
          <w:szCs w:val="22"/>
          <w:lang w:val="es-CO"/>
        </w:rPr>
        <w:t xml:space="preserve"> y se adoptan otras disposiciones</w:t>
      </w:r>
      <w:r w:rsidRPr="004E5CA3">
        <w:rPr>
          <w:rFonts w:ascii="Arial" w:hAnsi="Arial" w:cs="Arial"/>
          <w:sz w:val="22"/>
          <w:szCs w:val="22"/>
          <w:lang w:val="es-CO"/>
        </w:rPr>
        <w:t>”</w:t>
      </w:r>
    </w:p>
    <w:p w:rsidR="00B175B5" w:rsidRPr="00777993" w:rsidRDefault="00B175B5" w:rsidP="001863C0">
      <w:pPr>
        <w:pStyle w:val="c5"/>
        <w:tabs>
          <w:tab w:val="left" w:pos="204"/>
        </w:tabs>
        <w:spacing w:line="240" w:lineRule="auto"/>
        <w:rPr>
          <w:rFonts w:ascii="Arial" w:hAnsi="Arial" w:cs="Arial"/>
          <w:sz w:val="22"/>
          <w:szCs w:val="22"/>
          <w:lang w:val="es-CO"/>
        </w:rPr>
      </w:pPr>
    </w:p>
    <w:p w:rsidR="008A4E27" w:rsidRPr="00777993" w:rsidRDefault="008A4E27" w:rsidP="008A4E27">
      <w:pPr>
        <w:tabs>
          <w:tab w:val="left" w:pos="204"/>
        </w:tabs>
        <w:jc w:val="center"/>
        <w:rPr>
          <w:rFonts w:ascii="Arial" w:hAnsi="Arial" w:cs="Arial"/>
          <w:color w:val="000000" w:themeColor="text1"/>
          <w:sz w:val="22"/>
          <w:szCs w:val="22"/>
        </w:rPr>
      </w:pPr>
    </w:p>
    <w:p w:rsidR="008A4E27" w:rsidRPr="00777993" w:rsidRDefault="008A4E27" w:rsidP="008A4E27">
      <w:pPr>
        <w:pStyle w:val="c5"/>
        <w:tabs>
          <w:tab w:val="left" w:pos="204"/>
        </w:tabs>
        <w:spacing w:line="240" w:lineRule="auto"/>
        <w:rPr>
          <w:rFonts w:ascii="Arial" w:hAnsi="Arial" w:cs="Arial"/>
          <w:b/>
          <w:color w:val="000000" w:themeColor="text1"/>
          <w:sz w:val="22"/>
          <w:szCs w:val="22"/>
          <w:lang w:val="es-CO"/>
        </w:rPr>
      </w:pPr>
      <w:r w:rsidRPr="00777993">
        <w:rPr>
          <w:rFonts w:ascii="Arial" w:hAnsi="Arial" w:cs="Arial"/>
          <w:b/>
          <w:color w:val="000000" w:themeColor="text1"/>
          <w:sz w:val="22"/>
          <w:szCs w:val="22"/>
          <w:lang w:val="es-CO"/>
        </w:rPr>
        <w:t>LA COMISIÓN NACIONAL DE CRÉDITO AGROPECUARIO</w:t>
      </w:r>
    </w:p>
    <w:p w:rsidR="008A4E27" w:rsidRPr="00777993" w:rsidRDefault="008A4E27" w:rsidP="008A4E27">
      <w:pPr>
        <w:tabs>
          <w:tab w:val="left" w:pos="204"/>
        </w:tabs>
        <w:jc w:val="both"/>
        <w:rPr>
          <w:rFonts w:ascii="Arial" w:hAnsi="Arial" w:cs="Arial"/>
          <w:color w:val="000000" w:themeColor="text1"/>
          <w:sz w:val="22"/>
          <w:szCs w:val="22"/>
        </w:rPr>
      </w:pPr>
    </w:p>
    <w:p w:rsidR="008A4E27" w:rsidRPr="00777993" w:rsidRDefault="008A4E27" w:rsidP="008A4E27">
      <w:pPr>
        <w:pStyle w:val="p6"/>
        <w:spacing w:line="240" w:lineRule="auto"/>
        <w:ind w:left="0"/>
        <w:rPr>
          <w:rFonts w:ascii="Arial" w:hAnsi="Arial" w:cs="Arial"/>
          <w:color w:val="000000" w:themeColor="text1"/>
          <w:sz w:val="22"/>
          <w:szCs w:val="22"/>
          <w:lang w:val="es-CO"/>
        </w:rPr>
      </w:pPr>
      <w:r w:rsidRPr="00777993">
        <w:rPr>
          <w:rFonts w:ascii="Arial" w:hAnsi="Arial" w:cs="Arial"/>
          <w:color w:val="000000" w:themeColor="text1"/>
          <w:sz w:val="22"/>
          <w:szCs w:val="22"/>
          <w:lang w:val="es-CO"/>
        </w:rPr>
        <w:t>En ejercicio de las facultades conferidas por los artículos 218 y 220 del Estatuto Orgánico del Sistema Financie</w:t>
      </w:r>
      <w:r w:rsidRPr="002D3AE8">
        <w:rPr>
          <w:rFonts w:ascii="Arial" w:hAnsi="Arial" w:cs="Arial"/>
          <w:color w:val="000000" w:themeColor="text1"/>
          <w:sz w:val="22"/>
          <w:szCs w:val="22"/>
          <w:lang w:val="es-CO"/>
        </w:rPr>
        <w:t>ro, las Leyes 16 de 1990, 101 de 1993,</w:t>
      </w:r>
      <w:r w:rsidR="00B33764" w:rsidRPr="002D3AE8">
        <w:rPr>
          <w:rFonts w:ascii="Arial" w:hAnsi="Arial" w:cs="Arial"/>
          <w:color w:val="000000" w:themeColor="text1"/>
          <w:sz w:val="22"/>
          <w:szCs w:val="22"/>
          <w:lang w:val="es-CO"/>
        </w:rPr>
        <w:t xml:space="preserve"> </w:t>
      </w:r>
      <w:r w:rsidRPr="002D3AE8">
        <w:rPr>
          <w:rFonts w:ascii="Arial" w:hAnsi="Arial" w:cs="Arial"/>
          <w:color w:val="000000" w:themeColor="text1"/>
          <w:sz w:val="22"/>
          <w:szCs w:val="22"/>
          <w:lang w:val="es-CO"/>
        </w:rPr>
        <w:t xml:space="preserve">1133 de 2007, 1731 de 2014, el Decreto Ley 2371 de 2015, y </w:t>
      </w:r>
      <w:r w:rsidR="00B562B1" w:rsidRPr="002D3AE8">
        <w:rPr>
          <w:rFonts w:ascii="Arial" w:hAnsi="Arial" w:cs="Arial"/>
          <w:color w:val="000000" w:themeColor="text1"/>
          <w:sz w:val="22"/>
          <w:szCs w:val="22"/>
          <w:lang w:val="es-CO"/>
        </w:rPr>
        <w:t>el</w:t>
      </w:r>
      <w:r w:rsidRPr="002D3AE8">
        <w:rPr>
          <w:rFonts w:ascii="Arial" w:hAnsi="Arial" w:cs="Arial"/>
          <w:color w:val="000000" w:themeColor="text1"/>
          <w:sz w:val="22"/>
          <w:szCs w:val="22"/>
          <w:lang w:val="es-CO"/>
        </w:rPr>
        <w:t xml:space="preserve"> Decreto 1313 de 1990</w:t>
      </w:r>
      <w:r w:rsidR="00DC3062" w:rsidRPr="002D3AE8">
        <w:rPr>
          <w:rFonts w:ascii="Arial" w:hAnsi="Arial" w:cs="Arial"/>
          <w:color w:val="000000" w:themeColor="text1"/>
          <w:sz w:val="22"/>
          <w:szCs w:val="22"/>
          <w:lang w:val="es-CO"/>
        </w:rPr>
        <w:t>,</w:t>
      </w:r>
    </w:p>
    <w:p w:rsidR="008A4E27" w:rsidRPr="00777993" w:rsidRDefault="008A4E27" w:rsidP="008A4E27">
      <w:pPr>
        <w:tabs>
          <w:tab w:val="left" w:pos="1479"/>
        </w:tabs>
        <w:jc w:val="center"/>
        <w:rPr>
          <w:rFonts w:ascii="Arial" w:hAnsi="Arial" w:cs="Arial"/>
          <w:b/>
          <w:color w:val="000000" w:themeColor="text1"/>
          <w:sz w:val="22"/>
          <w:szCs w:val="22"/>
        </w:rPr>
      </w:pPr>
    </w:p>
    <w:p w:rsidR="008A4E27" w:rsidRPr="00777993" w:rsidRDefault="008A4E27" w:rsidP="008A4E27">
      <w:pPr>
        <w:tabs>
          <w:tab w:val="left" w:pos="1479"/>
        </w:tabs>
        <w:jc w:val="center"/>
        <w:rPr>
          <w:rFonts w:ascii="Arial" w:hAnsi="Arial" w:cs="Arial"/>
          <w:b/>
          <w:color w:val="000000" w:themeColor="text1"/>
          <w:sz w:val="22"/>
          <w:szCs w:val="22"/>
        </w:rPr>
      </w:pPr>
      <w:r w:rsidRPr="00777993">
        <w:rPr>
          <w:rFonts w:ascii="Arial" w:hAnsi="Arial" w:cs="Arial"/>
          <w:b/>
          <w:color w:val="000000" w:themeColor="text1"/>
          <w:sz w:val="22"/>
          <w:szCs w:val="22"/>
        </w:rPr>
        <w:t>CONSIDERANDO</w:t>
      </w:r>
    </w:p>
    <w:p w:rsidR="008A4E27" w:rsidRPr="00777993" w:rsidRDefault="008A4E27" w:rsidP="008A4E27">
      <w:pPr>
        <w:jc w:val="both"/>
        <w:rPr>
          <w:rFonts w:ascii="Arial" w:hAnsi="Arial" w:cs="Arial"/>
          <w:color w:val="000000" w:themeColor="text1"/>
          <w:sz w:val="22"/>
          <w:szCs w:val="22"/>
        </w:rPr>
      </w:pPr>
    </w:p>
    <w:p w:rsidR="005A6647" w:rsidRPr="00777993" w:rsidRDefault="005A6647" w:rsidP="008A4E27">
      <w:pPr>
        <w:widowControl w:val="0"/>
        <w:autoSpaceDE w:val="0"/>
        <w:autoSpaceDN w:val="0"/>
        <w:ind w:right="81"/>
        <w:jc w:val="both"/>
        <w:rPr>
          <w:rFonts w:ascii="Arial" w:eastAsia="Arial" w:hAnsi="Arial" w:cs="Arial"/>
          <w:b/>
          <w:color w:val="000000" w:themeColor="text1"/>
          <w:sz w:val="22"/>
          <w:szCs w:val="22"/>
          <w:lang w:eastAsia="es-CO" w:bidi="es-CO"/>
        </w:rPr>
      </w:pPr>
    </w:p>
    <w:p w:rsidR="008A4E27" w:rsidRPr="00777993" w:rsidRDefault="00581610" w:rsidP="008A4E27">
      <w:pPr>
        <w:widowControl w:val="0"/>
        <w:autoSpaceDE w:val="0"/>
        <w:autoSpaceDN w:val="0"/>
        <w:ind w:right="81"/>
        <w:jc w:val="both"/>
        <w:rPr>
          <w:rFonts w:ascii="Arial" w:eastAsia="Arial" w:hAnsi="Arial" w:cs="Arial"/>
          <w:color w:val="000000" w:themeColor="text1"/>
          <w:sz w:val="22"/>
          <w:szCs w:val="22"/>
          <w:lang w:eastAsia="es-CO" w:bidi="es-CO"/>
        </w:rPr>
      </w:pPr>
      <w:r w:rsidRPr="00777993">
        <w:rPr>
          <w:rFonts w:ascii="Arial" w:eastAsia="Arial" w:hAnsi="Arial" w:cs="Arial"/>
          <w:b/>
          <w:color w:val="000000" w:themeColor="text1"/>
          <w:sz w:val="22"/>
          <w:szCs w:val="22"/>
          <w:lang w:eastAsia="es-CO" w:bidi="es-CO"/>
        </w:rPr>
        <w:t>Primero</w:t>
      </w:r>
      <w:r w:rsidR="008A4E27" w:rsidRPr="00777993">
        <w:rPr>
          <w:rFonts w:ascii="Arial" w:eastAsia="Arial" w:hAnsi="Arial" w:cs="Arial"/>
          <w:color w:val="000000" w:themeColor="text1"/>
          <w:sz w:val="22"/>
          <w:szCs w:val="22"/>
          <w:lang w:eastAsia="es-CO" w:bidi="es-CO"/>
        </w:rPr>
        <w:t xml:space="preserve">. Que de acuerdo con lo dispuesto en </w:t>
      </w:r>
      <w:r w:rsidR="002339EC">
        <w:rPr>
          <w:rFonts w:ascii="Arial" w:eastAsia="Arial" w:hAnsi="Arial" w:cs="Arial"/>
          <w:color w:val="000000" w:themeColor="text1"/>
          <w:sz w:val="22"/>
          <w:szCs w:val="22"/>
          <w:lang w:eastAsia="es-CO" w:bidi="es-CO"/>
        </w:rPr>
        <w:t xml:space="preserve">el </w:t>
      </w:r>
      <w:r w:rsidR="008A4E27" w:rsidRPr="00777993">
        <w:rPr>
          <w:rFonts w:ascii="Arial" w:eastAsia="Arial" w:hAnsi="Arial" w:cs="Arial"/>
          <w:color w:val="000000" w:themeColor="text1"/>
          <w:sz w:val="22"/>
          <w:szCs w:val="22"/>
          <w:lang w:eastAsia="es-CO" w:bidi="es-CO"/>
        </w:rPr>
        <w:t>numeral 2. del artículo 218 del Estatuto Orgánico del Sistema Financiero, modificado por el artículo 2</w:t>
      </w:r>
      <w:r w:rsidR="00CC4E45" w:rsidRPr="00777993">
        <w:rPr>
          <w:rFonts w:ascii="Arial" w:eastAsia="Arial" w:hAnsi="Arial" w:cs="Arial"/>
          <w:color w:val="000000" w:themeColor="text1"/>
          <w:sz w:val="22"/>
          <w:szCs w:val="22"/>
          <w:lang w:eastAsia="es-CO" w:bidi="es-CO"/>
        </w:rPr>
        <w:t>o.</w:t>
      </w:r>
      <w:r w:rsidR="008A4E27" w:rsidRPr="00777993">
        <w:rPr>
          <w:rFonts w:ascii="Arial" w:eastAsia="Arial" w:hAnsi="Arial" w:cs="Arial"/>
          <w:color w:val="000000" w:themeColor="text1"/>
          <w:sz w:val="22"/>
          <w:szCs w:val="22"/>
          <w:lang w:eastAsia="es-CO" w:bidi="es-CO"/>
        </w:rPr>
        <w:t xml:space="preserve"> del Decreto Ley 2371 de 2015, la Comisión Nacional de Crédito Agropecuario - CNCA, </w:t>
      </w:r>
      <w:r w:rsidR="002339EC">
        <w:rPr>
          <w:rFonts w:ascii="Arial" w:eastAsia="Arial" w:hAnsi="Arial" w:cs="Arial"/>
          <w:color w:val="000000" w:themeColor="text1"/>
          <w:sz w:val="22"/>
          <w:szCs w:val="22"/>
          <w:lang w:eastAsia="es-CO" w:bidi="es-CO"/>
        </w:rPr>
        <w:t xml:space="preserve">como organismo rector del financiamiento del sector agropecuario y del manejo de riesgos </w:t>
      </w:r>
      <w:r w:rsidR="008A4E27" w:rsidRPr="00777993">
        <w:rPr>
          <w:rFonts w:ascii="Arial" w:eastAsia="Arial" w:hAnsi="Arial" w:cs="Arial"/>
          <w:color w:val="000000" w:themeColor="text1"/>
          <w:sz w:val="22"/>
          <w:szCs w:val="22"/>
          <w:lang w:eastAsia="es-CO" w:bidi="es-CO"/>
        </w:rPr>
        <w:t>podrá:</w:t>
      </w:r>
    </w:p>
    <w:p w:rsidR="008A4E27" w:rsidRDefault="008A4E27"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 xml:space="preserve">“(…) </w:t>
      </w:r>
    </w:p>
    <w:p w:rsidR="002339EC" w:rsidRDefault="002339EC"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rsidR="002339EC" w:rsidRDefault="002339EC"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Pr>
          <w:rFonts w:ascii="Arial" w:eastAsia="Arial" w:hAnsi="Arial" w:cs="Arial"/>
          <w:color w:val="000000" w:themeColor="text1"/>
          <w:sz w:val="22"/>
          <w:szCs w:val="22"/>
          <w:lang w:eastAsia="es-CO" w:bidi="es-CO"/>
        </w:rPr>
        <w:t>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w:t>
      </w:r>
      <w:r w:rsidR="00A548F2">
        <w:rPr>
          <w:rFonts w:ascii="Arial" w:eastAsia="Arial" w:hAnsi="Arial" w:cs="Arial"/>
          <w:color w:val="000000" w:themeColor="text1"/>
          <w:sz w:val="22"/>
          <w:szCs w:val="22"/>
          <w:lang w:eastAsia="es-CO" w:bidi="es-CO"/>
        </w:rPr>
        <w:t>. (…)</w:t>
      </w:r>
    </w:p>
    <w:p w:rsidR="00A548F2" w:rsidRPr="00777993" w:rsidRDefault="00A548F2"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Pr>
          <w:rFonts w:ascii="Arial" w:eastAsia="Arial" w:hAnsi="Arial" w:cs="Arial"/>
          <w:color w:val="000000" w:themeColor="text1"/>
          <w:sz w:val="22"/>
          <w:szCs w:val="22"/>
          <w:lang w:eastAsia="es-CO" w:bidi="es-CO"/>
        </w:rPr>
        <w:t>f) Fijar las tasas y márgenes de redescuento de las operaciones que apruebe Finagro. (…)</w:t>
      </w:r>
    </w:p>
    <w:p w:rsidR="008A4E27" w:rsidRDefault="008A4E27"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w:t>
      </w:r>
      <w:r w:rsidR="00A548F2">
        <w:rPr>
          <w:rFonts w:ascii="Arial" w:eastAsia="Arial" w:hAnsi="Arial" w:cs="Arial"/>
          <w:color w:val="000000" w:themeColor="text1"/>
          <w:sz w:val="22"/>
          <w:szCs w:val="22"/>
          <w:lang w:eastAsia="es-CO" w:bidi="es-CO"/>
        </w:rPr>
        <w:t xml:space="preserve"> (…)</w:t>
      </w:r>
    </w:p>
    <w:p w:rsidR="00A548F2" w:rsidRPr="00777993" w:rsidRDefault="00A548F2"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Pr>
          <w:rFonts w:ascii="Arial" w:eastAsia="Arial" w:hAnsi="Arial" w:cs="Arial"/>
          <w:color w:val="000000" w:themeColor="text1"/>
          <w:sz w:val="22"/>
          <w:szCs w:val="22"/>
          <w:lang w:eastAsia="es-CO" w:bidi="es-CO"/>
        </w:rPr>
        <w:t>q)  Las demás que le correspondan</w:t>
      </w:r>
      <w:r w:rsidR="00E10CCE">
        <w:rPr>
          <w:rFonts w:ascii="Arial" w:eastAsia="Arial" w:hAnsi="Arial" w:cs="Arial"/>
          <w:color w:val="000000" w:themeColor="text1"/>
          <w:sz w:val="22"/>
          <w:szCs w:val="22"/>
          <w:lang w:eastAsia="es-CO" w:bidi="es-CO"/>
        </w:rPr>
        <w:t xml:space="preserve"> como organismo rector de la política del financiamiento y gestión del riesgo del sector agropecuario.</w:t>
      </w:r>
    </w:p>
    <w:p w:rsidR="008A4E27" w:rsidRPr="00777993" w:rsidRDefault="008A4E27"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w:t>
      </w:r>
    </w:p>
    <w:p w:rsidR="008A4E27" w:rsidRDefault="00581610" w:rsidP="008A4E27">
      <w:pPr>
        <w:widowControl w:val="0"/>
        <w:autoSpaceDE w:val="0"/>
        <w:autoSpaceDN w:val="0"/>
        <w:spacing w:before="185"/>
        <w:ind w:right="81"/>
        <w:jc w:val="both"/>
        <w:rPr>
          <w:rFonts w:ascii="Arial" w:eastAsia="Arial" w:hAnsi="Arial" w:cs="Arial"/>
          <w:color w:val="000000" w:themeColor="text1"/>
          <w:sz w:val="22"/>
          <w:szCs w:val="22"/>
          <w:lang w:eastAsia="es-CO" w:bidi="es-CO"/>
        </w:rPr>
      </w:pPr>
      <w:r w:rsidRPr="00777993">
        <w:rPr>
          <w:rFonts w:ascii="Arial" w:hAnsi="Arial" w:cs="Arial"/>
          <w:b/>
          <w:color w:val="000000" w:themeColor="text1"/>
          <w:sz w:val="22"/>
          <w:szCs w:val="22"/>
        </w:rPr>
        <w:t>Segundo</w:t>
      </w:r>
      <w:r w:rsidR="008A4E27" w:rsidRPr="00777993">
        <w:rPr>
          <w:rFonts w:ascii="Arial" w:eastAsia="Arial" w:hAnsi="Arial" w:cs="Arial"/>
          <w:b/>
          <w:color w:val="000000" w:themeColor="text1"/>
          <w:sz w:val="22"/>
          <w:szCs w:val="22"/>
          <w:lang w:eastAsia="es-CO" w:bidi="es-CO"/>
        </w:rPr>
        <w:t xml:space="preserve">. </w:t>
      </w:r>
      <w:r w:rsidR="008A4E27" w:rsidRPr="00777993">
        <w:rPr>
          <w:rFonts w:ascii="Arial" w:eastAsia="Arial" w:hAnsi="Arial" w:cs="Arial"/>
          <w:color w:val="000000" w:themeColor="text1"/>
          <w:sz w:val="22"/>
          <w:szCs w:val="22"/>
          <w:lang w:eastAsia="es-CO" w:bidi="es-CO"/>
        </w:rPr>
        <w:t xml:space="preserve">Que de acuerdo con lo dispuesto en el artículo 220 del Estatuto Orgánico del Sistema Financiero, “La Comisión Nacional de Crédito Agropecuario definirá las líneas de crédito que otorgarán las entidades que integran el Sistema Nacional de Crédito </w:t>
      </w:r>
      <w:r w:rsidR="008A4E27" w:rsidRPr="00777993">
        <w:rPr>
          <w:rFonts w:ascii="Arial" w:eastAsia="Arial" w:hAnsi="Arial" w:cs="Arial"/>
          <w:color w:val="000000" w:themeColor="text1"/>
          <w:sz w:val="22"/>
          <w:szCs w:val="22"/>
          <w:lang w:eastAsia="es-CO" w:bidi="es-CO"/>
        </w:rPr>
        <w:lastRenderedPageBreak/>
        <w:t>Agropecuario, y las instituciones bancarias y financieras debidamente autorizadas por la Superintendencia Bancaria, para conceder créditos con destino al sector agropecuario, afines y similares (…)”.</w:t>
      </w:r>
    </w:p>
    <w:p w:rsidR="00EB7D17" w:rsidRDefault="00EB7D17" w:rsidP="00EB7D17">
      <w:pPr>
        <w:jc w:val="both"/>
        <w:rPr>
          <w:rFonts w:ascii="Arial" w:hAnsi="Arial" w:cs="Arial"/>
          <w:b/>
          <w:color w:val="000000" w:themeColor="text1"/>
          <w:sz w:val="22"/>
          <w:szCs w:val="22"/>
          <w:highlight w:val="yellow"/>
        </w:rPr>
      </w:pPr>
    </w:p>
    <w:p w:rsidR="00EB7D17" w:rsidRPr="009D2442" w:rsidRDefault="00EB7D17" w:rsidP="00EB7D17">
      <w:pPr>
        <w:jc w:val="both"/>
        <w:rPr>
          <w:rFonts w:ascii="Arial" w:hAnsi="Arial" w:cs="Arial"/>
          <w:color w:val="000000" w:themeColor="text1"/>
          <w:sz w:val="22"/>
          <w:szCs w:val="22"/>
        </w:rPr>
      </w:pPr>
      <w:r w:rsidRPr="009D2442">
        <w:rPr>
          <w:rFonts w:ascii="Arial" w:hAnsi="Arial" w:cs="Arial"/>
          <w:b/>
          <w:color w:val="000000" w:themeColor="text1"/>
          <w:sz w:val="22"/>
          <w:szCs w:val="22"/>
        </w:rPr>
        <w:t>Tercero.</w:t>
      </w:r>
      <w:r w:rsidRPr="009D2442">
        <w:rPr>
          <w:rFonts w:ascii="Arial" w:hAnsi="Arial" w:cs="Arial"/>
          <w:color w:val="000000" w:themeColor="text1"/>
          <w:sz w:val="22"/>
          <w:szCs w:val="22"/>
        </w:rPr>
        <w:t xml:space="preserve"> Que guardando correspondencia con lo previsto en el artículo 13 de la Ley 101 de 1993, que asigna como función adicional de este organismo el establecer líneas de redescuento, dotadas de volumen suficiente de recursos y bajo condiciones financieras apropiadas, con el objeto de que los establecimientos de crédito puedan otorgar créditos en moneda nacional y extranjera.</w:t>
      </w:r>
    </w:p>
    <w:p w:rsidR="00EB7D17" w:rsidRPr="009D2442" w:rsidRDefault="00EB7D17" w:rsidP="00EB7D17">
      <w:pPr>
        <w:jc w:val="both"/>
        <w:rPr>
          <w:rFonts w:ascii="Arial" w:hAnsi="Arial" w:cs="Arial"/>
          <w:color w:val="000000" w:themeColor="text1"/>
          <w:sz w:val="22"/>
          <w:szCs w:val="22"/>
        </w:rPr>
      </w:pPr>
    </w:p>
    <w:p w:rsidR="00EB7D17" w:rsidRPr="00135025" w:rsidRDefault="00EB7D17" w:rsidP="00EB7D17">
      <w:pPr>
        <w:jc w:val="both"/>
        <w:rPr>
          <w:rFonts w:ascii="Arial" w:hAnsi="Arial" w:cs="Arial"/>
          <w:color w:val="000000" w:themeColor="text1"/>
          <w:sz w:val="22"/>
          <w:szCs w:val="22"/>
        </w:rPr>
      </w:pPr>
      <w:r w:rsidRPr="009D2442">
        <w:rPr>
          <w:rFonts w:ascii="Arial" w:hAnsi="Arial" w:cs="Arial"/>
          <w:b/>
          <w:color w:val="000000" w:themeColor="text1"/>
          <w:sz w:val="22"/>
          <w:szCs w:val="22"/>
        </w:rPr>
        <w:t xml:space="preserve">Cuarto. </w:t>
      </w:r>
      <w:r w:rsidR="009D2442" w:rsidRPr="009D2442">
        <w:rPr>
          <w:rFonts w:ascii="Arial" w:hAnsi="Arial" w:cs="Arial"/>
          <w:color w:val="000000" w:themeColor="text1"/>
          <w:sz w:val="22"/>
          <w:szCs w:val="22"/>
        </w:rPr>
        <w:t>Que conforme a las sentencias C-300 de 2011 y C-917 de 2002 de la Corte Constitucional, el otorgamiento de funciones de regulación y reglamentación a las autoridades públicas dentro de ellas a la CNCA se ha considerado constitucionalmente válido, en tanto guardan correspondencia con el cumplimiento de la función administrativa necesaria para pormenorizar el proceso de implantación de las pautas dadas para el cumplimiento de la voluntad legislativa, por ser organismos de la administración que cuentan con información inmediata relacionada con el funcionamiento práctico de las herramientas de creación legislativa.</w:t>
      </w:r>
    </w:p>
    <w:p w:rsidR="005E19BB" w:rsidRPr="005E19BB" w:rsidRDefault="005E19BB" w:rsidP="006D5940">
      <w:pPr>
        <w:widowControl w:val="0"/>
        <w:autoSpaceDE w:val="0"/>
        <w:autoSpaceDN w:val="0"/>
        <w:spacing w:before="185"/>
        <w:ind w:right="81"/>
        <w:jc w:val="both"/>
        <w:rPr>
          <w:rFonts w:ascii="Arial" w:hAnsi="Arial" w:cs="Arial"/>
          <w:color w:val="000000" w:themeColor="text1"/>
          <w:sz w:val="22"/>
          <w:szCs w:val="22"/>
        </w:rPr>
      </w:pPr>
      <w:r>
        <w:rPr>
          <w:rFonts w:ascii="Arial" w:hAnsi="Arial" w:cs="Arial"/>
          <w:b/>
          <w:color w:val="000000" w:themeColor="text1"/>
          <w:sz w:val="22"/>
          <w:szCs w:val="22"/>
        </w:rPr>
        <w:t xml:space="preserve">Quinto. </w:t>
      </w:r>
      <w:r>
        <w:rPr>
          <w:rFonts w:ascii="Arial" w:hAnsi="Arial" w:cs="Arial"/>
          <w:color w:val="000000" w:themeColor="text1"/>
          <w:sz w:val="22"/>
          <w:szCs w:val="22"/>
        </w:rPr>
        <w:t>Que</w:t>
      </w:r>
      <w:r w:rsidRPr="002F2C83">
        <w:rPr>
          <w:rFonts w:ascii="Arial" w:hAnsi="Arial" w:cs="Arial"/>
          <w:color w:val="000000" w:themeColor="text1"/>
          <w:sz w:val="22"/>
          <w:szCs w:val="22"/>
        </w:rPr>
        <w:t xml:space="preserve"> los artículos 219 y 221 del Estatuto Orgánico del Sistema Financiero definen el crédito agropecuario y señala quienes pueden ser beneficiarios del mismo a través del Sistema Nacional de Crédito Agropecuario. De esta manera, conforme a las citadas normas, dentro los beneficiarios del crédito de fomento agropecuario se encuentran las personas naturales y jurídicas que realicen la explotación de actividades agropecuarias, piscícolas, apícolas, avícolas, forestales, afines o similares, en sus distintas fases del proceso de producción y/o comercialización.</w:t>
      </w:r>
    </w:p>
    <w:p w:rsidR="006D5940" w:rsidRPr="00EB7D17" w:rsidRDefault="005E19BB" w:rsidP="006D5940">
      <w:pPr>
        <w:widowControl w:val="0"/>
        <w:autoSpaceDE w:val="0"/>
        <w:autoSpaceDN w:val="0"/>
        <w:spacing w:before="185"/>
        <w:ind w:right="81"/>
        <w:jc w:val="both"/>
        <w:rPr>
          <w:rFonts w:ascii="Arial" w:eastAsia="Arial" w:hAnsi="Arial" w:cs="Arial"/>
          <w:color w:val="000000" w:themeColor="text1"/>
          <w:sz w:val="22"/>
          <w:szCs w:val="22"/>
          <w:lang w:eastAsia="es-CO" w:bidi="es-CO"/>
        </w:rPr>
      </w:pPr>
      <w:r>
        <w:rPr>
          <w:rFonts w:ascii="Arial" w:hAnsi="Arial" w:cs="Arial"/>
          <w:b/>
          <w:color w:val="000000" w:themeColor="text1"/>
          <w:sz w:val="22"/>
          <w:szCs w:val="22"/>
        </w:rPr>
        <w:t>Sexto</w:t>
      </w:r>
      <w:r w:rsidR="006D5940" w:rsidRPr="00EB7D17">
        <w:rPr>
          <w:rFonts w:ascii="Arial" w:hAnsi="Arial" w:cs="Arial"/>
          <w:b/>
          <w:color w:val="000000" w:themeColor="text1"/>
          <w:sz w:val="22"/>
          <w:szCs w:val="22"/>
        </w:rPr>
        <w:t>.</w:t>
      </w:r>
      <w:r w:rsidR="006D5940" w:rsidRPr="00EB7D17">
        <w:rPr>
          <w:rFonts w:ascii="Arial" w:hAnsi="Arial" w:cs="Arial"/>
          <w:color w:val="000000" w:themeColor="text1"/>
          <w:sz w:val="22"/>
          <w:szCs w:val="22"/>
        </w:rPr>
        <w:t xml:space="preserve"> Que </w:t>
      </w:r>
      <w:r w:rsidR="002D3AE8" w:rsidRPr="00EB7D17">
        <w:rPr>
          <w:rFonts w:ascii="Arial" w:hAnsi="Arial" w:cs="Arial"/>
          <w:color w:val="000000" w:themeColor="text1"/>
          <w:sz w:val="22"/>
          <w:szCs w:val="22"/>
        </w:rPr>
        <w:t>de conformidad con</w:t>
      </w:r>
      <w:r w:rsidR="00291572" w:rsidRPr="00EB7D17">
        <w:rPr>
          <w:rFonts w:ascii="Arial" w:hAnsi="Arial" w:cs="Arial"/>
          <w:color w:val="000000" w:themeColor="text1"/>
          <w:sz w:val="22"/>
          <w:szCs w:val="22"/>
        </w:rPr>
        <w:t xml:space="preserve"> lo establecido en el artículo 221 del Estatuto Orgánico del Sistema Financiero, la </w:t>
      </w:r>
      <w:r w:rsidR="006D5940" w:rsidRPr="00EB7D17">
        <w:rPr>
          <w:rFonts w:ascii="Arial" w:hAnsi="Arial" w:cs="Arial"/>
          <w:color w:val="000000" w:themeColor="text1"/>
          <w:sz w:val="22"/>
          <w:szCs w:val="22"/>
        </w:rPr>
        <w:t>Comisión Nacional del Crédito Agropecuario</w:t>
      </w:r>
      <w:r w:rsidR="00291572" w:rsidRPr="00EB7D17">
        <w:rPr>
          <w:rFonts w:ascii="Arial" w:hAnsi="Arial" w:cs="Arial"/>
          <w:color w:val="000000" w:themeColor="text1"/>
          <w:sz w:val="22"/>
          <w:szCs w:val="22"/>
        </w:rPr>
        <w:t>, mediante la Resolución No. 1 de 2016 modificada</w:t>
      </w:r>
      <w:r w:rsidR="00283F67" w:rsidRPr="00EB7D17">
        <w:rPr>
          <w:rFonts w:ascii="Arial" w:hAnsi="Arial" w:cs="Arial"/>
          <w:color w:val="000000" w:themeColor="text1"/>
          <w:sz w:val="22"/>
          <w:szCs w:val="22"/>
        </w:rPr>
        <w:t>,</w:t>
      </w:r>
      <w:r w:rsidR="00291572" w:rsidRPr="00EB7D17">
        <w:rPr>
          <w:rFonts w:ascii="Arial" w:hAnsi="Arial" w:cs="Arial"/>
          <w:color w:val="000000" w:themeColor="text1"/>
          <w:sz w:val="22"/>
          <w:szCs w:val="22"/>
        </w:rPr>
        <w:t xml:space="preserve"> entre otras</w:t>
      </w:r>
      <w:r w:rsidR="00283F67" w:rsidRPr="00EB7D17">
        <w:rPr>
          <w:rFonts w:ascii="Arial" w:hAnsi="Arial" w:cs="Arial"/>
          <w:color w:val="000000" w:themeColor="text1"/>
          <w:sz w:val="22"/>
          <w:szCs w:val="22"/>
        </w:rPr>
        <w:t>,</w:t>
      </w:r>
      <w:r w:rsidR="00291572" w:rsidRPr="00EB7D17">
        <w:rPr>
          <w:rFonts w:ascii="Arial" w:hAnsi="Arial" w:cs="Arial"/>
          <w:color w:val="000000" w:themeColor="text1"/>
          <w:sz w:val="22"/>
          <w:szCs w:val="22"/>
        </w:rPr>
        <w:t xml:space="preserve"> por </w:t>
      </w:r>
      <w:r w:rsidR="00283F67" w:rsidRPr="00EB7D17">
        <w:rPr>
          <w:rFonts w:ascii="Arial" w:hAnsi="Arial" w:cs="Arial"/>
          <w:color w:val="000000" w:themeColor="text1"/>
          <w:sz w:val="22"/>
          <w:szCs w:val="22"/>
        </w:rPr>
        <w:t>las Resoluciones No. 9 de 2017 y No. 16 de 2017, se definen</w:t>
      </w:r>
      <w:r w:rsidR="006D5940" w:rsidRPr="00EB7D17">
        <w:rPr>
          <w:rFonts w:ascii="Arial" w:hAnsi="Arial" w:cs="Arial"/>
          <w:color w:val="000000" w:themeColor="text1"/>
          <w:sz w:val="22"/>
          <w:szCs w:val="22"/>
        </w:rPr>
        <w:t xml:space="preserve"> lo</w:t>
      </w:r>
      <w:r w:rsidR="004D6495" w:rsidRPr="00EB7D17">
        <w:rPr>
          <w:rFonts w:ascii="Arial" w:hAnsi="Arial" w:cs="Arial"/>
          <w:color w:val="000000" w:themeColor="text1"/>
          <w:sz w:val="22"/>
          <w:szCs w:val="22"/>
        </w:rPr>
        <w:t>s</w:t>
      </w:r>
      <w:r w:rsidR="006D5940" w:rsidRPr="00EB7D17">
        <w:rPr>
          <w:rFonts w:ascii="Arial" w:hAnsi="Arial" w:cs="Arial"/>
          <w:color w:val="000000" w:themeColor="text1"/>
          <w:sz w:val="22"/>
          <w:szCs w:val="22"/>
        </w:rPr>
        <w:t xml:space="preserve"> beneficiarios del crédito </w:t>
      </w:r>
      <w:r w:rsidR="00291572" w:rsidRPr="00EB7D17">
        <w:rPr>
          <w:rFonts w:ascii="Arial" w:hAnsi="Arial" w:cs="Arial"/>
          <w:color w:val="000000" w:themeColor="text1"/>
          <w:sz w:val="22"/>
          <w:szCs w:val="22"/>
        </w:rPr>
        <w:t>agropecuario y rural</w:t>
      </w:r>
      <w:r w:rsidR="0037219B" w:rsidRPr="00EB7D17">
        <w:rPr>
          <w:rFonts w:ascii="Arial" w:hAnsi="Arial" w:cs="Arial"/>
          <w:color w:val="000000" w:themeColor="text1"/>
          <w:sz w:val="22"/>
          <w:szCs w:val="22"/>
        </w:rPr>
        <w:t>.</w:t>
      </w:r>
    </w:p>
    <w:p w:rsidR="008A4E27" w:rsidRPr="00EB7D17" w:rsidRDefault="008A4E27" w:rsidP="008A4E27">
      <w:pPr>
        <w:autoSpaceDE w:val="0"/>
        <w:autoSpaceDN w:val="0"/>
        <w:adjustRightInd w:val="0"/>
        <w:spacing w:line="0" w:lineRule="atLeast"/>
        <w:jc w:val="both"/>
        <w:rPr>
          <w:rFonts w:ascii="Arial" w:hAnsi="Arial" w:cs="Arial"/>
          <w:color w:val="000000" w:themeColor="text1"/>
          <w:sz w:val="22"/>
          <w:szCs w:val="22"/>
        </w:rPr>
      </w:pPr>
    </w:p>
    <w:p w:rsidR="00AB64F9" w:rsidRPr="00EB7D17" w:rsidRDefault="005E19BB" w:rsidP="00AB64F9">
      <w:pPr>
        <w:tabs>
          <w:tab w:val="left" w:pos="8503"/>
        </w:tabs>
        <w:ind w:right="-2"/>
        <w:jc w:val="both"/>
        <w:rPr>
          <w:rFonts w:ascii="Arial" w:hAnsi="Arial"/>
          <w:sz w:val="22"/>
          <w:szCs w:val="22"/>
        </w:rPr>
      </w:pPr>
      <w:r>
        <w:rPr>
          <w:rFonts w:ascii="Arial" w:hAnsi="Arial" w:cs="Arial"/>
          <w:b/>
          <w:sz w:val="22"/>
          <w:szCs w:val="22"/>
        </w:rPr>
        <w:t>Séptimo</w:t>
      </w:r>
      <w:r w:rsidR="00AB64F9" w:rsidRPr="00EB7D17">
        <w:rPr>
          <w:rFonts w:ascii="Arial" w:hAnsi="Arial" w:cs="Arial"/>
          <w:b/>
          <w:sz w:val="22"/>
          <w:szCs w:val="22"/>
          <w:lang w:bidi="es-CO"/>
        </w:rPr>
        <w:t>.</w:t>
      </w:r>
      <w:r w:rsidR="00AB64F9" w:rsidRPr="00EB7D17">
        <w:rPr>
          <w:rFonts w:ascii="Arial" w:hAnsi="Arial"/>
          <w:sz w:val="22"/>
          <w:szCs w:val="22"/>
        </w:rPr>
        <w:t xml:space="preserve"> Que la política sectorial del Ministerio de Agricultura y Desarrollo Rural – MADR, propende por asegurar la comercialización de los productos y el financiamiento de los pequeños y medianos productores con fundamento en el encadenamiento productivo. En este propósito, el MADR propone la implementación de una Línea Especial de Crédito para la financiación de anticipos dentro de las</w:t>
      </w:r>
      <w:r w:rsidR="00AB64F9" w:rsidRPr="00EB7D17">
        <w:rPr>
          <w:rFonts w:ascii="Arial" w:hAnsi="Arial" w:cs="Arial"/>
          <w:sz w:val="22"/>
          <w:szCs w:val="22"/>
        </w:rPr>
        <w:t xml:space="preserve"> operaciones Forward </w:t>
      </w:r>
      <w:r w:rsidR="00291572" w:rsidRPr="00EB7D17">
        <w:rPr>
          <w:rFonts w:ascii="Arial" w:hAnsi="Arial" w:cs="Arial"/>
          <w:sz w:val="22"/>
          <w:szCs w:val="22"/>
        </w:rPr>
        <w:t>celebradas a través</w:t>
      </w:r>
      <w:r w:rsidR="00AB64F9" w:rsidRPr="00EB7D17">
        <w:rPr>
          <w:rFonts w:ascii="Arial" w:hAnsi="Arial" w:cs="Arial"/>
          <w:sz w:val="22"/>
          <w:szCs w:val="22"/>
        </w:rPr>
        <w:t xml:space="preserve"> </w:t>
      </w:r>
      <w:r w:rsidR="00291572" w:rsidRPr="00EB7D17">
        <w:rPr>
          <w:rFonts w:ascii="Arial" w:hAnsi="Arial" w:cs="Arial"/>
          <w:sz w:val="22"/>
          <w:szCs w:val="22"/>
        </w:rPr>
        <w:t>de</w:t>
      </w:r>
      <w:r w:rsidR="00AB64F9" w:rsidRPr="00EB7D17">
        <w:rPr>
          <w:rFonts w:ascii="Arial" w:hAnsi="Arial" w:cs="Arial"/>
          <w:sz w:val="22"/>
          <w:szCs w:val="22"/>
        </w:rPr>
        <w:t xml:space="preserve"> las </w:t>
      </w:r>
      <w:r w:rsidR="00AB64F9" w:rsidRPr="00EB7D17">
        <w:rPr>
          <w:rFonts w:ascii="Arial" w:hAnsi="Arial" w:cs="Arial"/>
          <w:bCs/>
          <w:sz w:val="22"/>
          <w:szCs w:val="22"/>
        </w:rPr>
        <w:t xml:space="preserve">Bolsas de Bienes y Productos Agropecuarios, Agroindustriales </w:t>
      </w:r>
      <w:r w:rsidR="00291572" w:rsidRPr="00EB7D17">
        <w:rPr>
          <w:rFonts w:ascii="Arial" w:hAnsi="Arial" w:cs="Arial"/>
          <w:bCs/>
          <w:sz w:val="22"/>
          <w:szCs w:val="22"/>
        </w:rPr>
        <w:t>o</w:t>
      </w:r>
      <w:r w:rsidR="00AB64F9" w:rsidRPr="00EB7D17">
        <w:rPr>
          <w:rFonts w:ascii="Arial" w:hAnsi="Arial" w:cs="Arial"/>
          <w:bCs/>
          <w:sz w:val="22"/>
          <w:szCs w:val="22"/>
        </w:rPr>
        <w:t xml:space="preserve"> de otros commodities</w:t>
      </w:r>
      <w:r w:rsidR="00EB2685" w:rsidRPr="00EB7D17">
        <w:rPr>
          <w:rFonts w:ascii="Arial" w:hAnsi="Arial" w:cs="Arial"/>
          <w:sz w:val="22"/>
          <w:szCs w:val="22"/>
        </w:rPr>
        <w:t xml:space="preserve">, toda vez que se trata de </w:t>
      </w:r>
      <w:r w:rsidR="00AB64F9" w:rsidRPr="00EB7D17">
        <w:rPr>
          <w:rFonts w:ascii="Arial" w:hAnsi="Arial"/>
          <w:sz w:val="22"/>
          <w:szCs w:val="22"/>
        </w:rPr>
        <w:t xml:space="preserve">un escenario que brinda confianza, seguridad y eficiencia, mediante el cual los productores agropecuarios que tienen acceso restringido al crédito bancario </w:t>
      </w:r>
      <w:r w:rsidR="00283F67" w:rsidRPr="00EB7D17">
        <w:rPr>
          <w:rFonts w:ascii="Arial" w:hAnsi="Arial"/>
          <w:color w:val="000000" w:themeColor="text1"/>
          <w:sz w:val="22"/>
          <w:szCs w:val="22"/>
        </w:rPr>
        <w:t>pueden</w:t>
      </w:r>
      <w:r w:rsidR="00283F67" w:rsidRPr="00EB7D17">
        <w:rPr>
          <w:rFonts w:ascii="Arial" w:hAnsi="Arial"/>
          <w:sz w:val="22"/>
          <w:szCs w:val="22"/>
        </w:rPr>
        <w:t xml:space="preserve"> acceder</w:t>
      </w:r>
      <w:r w:rsidR="00AB64F9" w:rsidRPr="00EB7D17">
        <w:rPr>
          <w:rFonts w:ascii="Arial" w:hAnsi="Arial"/>
          <w:sz w:val="22"/>
          <w:szCs w:val="22"/>
        </w:rPr>
        <w:t xml:space="preserve"> a financiación.  </w:t>
      </w:r>
    </w:p>
    <w:p w:rsidR="008C0176" w:rsidRPr="00EB7D17" w:rsidRDefault="008C0176" w:rsidP="00370F79">
      <w:pPr>
        <w:jc w:val="both"/>
        <w:rPr>
          <w:rFonts w:ascii="Arial" w:hAnsi="Arial" w:cs="Arial"/>
          <w:color w:val="000000" w:themeColor="text1"/>
          <w:sz w:val="22"/>
          <w:szCs w:val="22"/>
        </w:rPr>
      </w:pPr>
    </w:p>
    <w:p w:rsidR="00370F79" w:rsidRPr="00EB7D17" w:rsidRDefault="005E19BB" w:rsidP="00370F79">
      <w:pPr>
        <w:jc w:val="both"/>
        <w:rPr>
          <w:rFonts w:ascii="Arial" w:hAnsi="Arial" w:cs="Arial"/>
          <w:sz w:val="22"/>
          <w:szCs w:val="22"/>
        </w:rPr>
      </w:pPr>
      <w:r>
        <w:rPr>
          <w:rFonts w:ascii="Arial" w:hAnsi="Arial" w:cs="Arial"/>
          <w:b/>
          <w:sz w:val="22"/>
          <w:szCs w:val="22"/>
        </w:rPr>
        <w:t>Octavo</w:t>
      </w:r>
      <w:r w:rsidR="005227C3" w:rsidRPr="00EB7D17">
        <w:rPr>
          <w:rFonts w:ascii="Arial" w:hAnsi="Arial" w:cs="Arial"/>
          <w:sz w:val="22"/>
          <w:szCs w:val="22"/>
        </w:rPr>
        <w:t xml:space="preserve">. </w:t>
      </w:r>
      <w:r w:rsidR="00B93FF5" w:rsidRPr="00EB7D17">
        <w:rPr>
          <w:rFonts w:ascii="Arial" w:hAnsi="Arial" w:cs="Arial"/>
          <w:sz w:val="22"/>
          <w:szCs w:val="22"/>
        </w:rPr>
        <w:t xml:space="preserve">Que las </w:t>
      </w:r>
      <w:r w:rsidR="00B93FF5" w:rsidRPr="00EB7D17">
        <w:rPr>
          <w:rFonts w:ascii="Arial" w:hAnsi="Arial" w:cs="Arial"/>
          <w:bCs/>
          <w:sz w:val="22"/>
          <w:szCs w:val="22"/>
        </w:rPr>
        <w:t>Bolsas de Bienes y Productos Agropecuarios, Agroindustriales o de otros Commodities son entidades vigiladas por</w:t>
      </w:r>
      <w:r w:rsidR="00B93FF5" w:rsidRPr="00EB7D17">
        <w:rPr>
          <w:rFonts w:ascii="Arial" w:hAnsi="Arial" w:cs="Arial"/>
          <w:sz w:val="22"/>
          <w:szCs w:val="22"/>
        </w:rPr>
        <w:t xml:space="preserve"> la Superintendencia Financiera de Colombia y tienen como objeto organizar y mantener en funcionamiento un mercado público de bienes y productos agropecuarios, agroindustriales o de otros commodities sin la presencia física de los mismos, así como de servicios, documentos de tradición o representativos de mercancías, títulos, valores, derechos, derivados y contratos que puedan transarse en dichas bolsas.</w:t>
      </w:r>
    </w:p>
    <w:p w:rsidR="00370F79" w:rsidRPr="00EB7D17" w:rsidRDefault="00370F79" w:rsidP="00370F79">
      <w:pPr>
        <w:jc w:val="both"/>
        <w:rPr>
          <w:rFonts w:ascii="Arial" w:hAnsi="Arial" w:cs="Arial"/>
          <w:sz w:val="22"/>
          <w:szCs w:val="22"/>
        </w:rPr>
      </w:pPr>
    </w:p>
    <w:p w:rsidR="00CC056D" w:rsidRPr="00EB7D17" w:rsidRDefault="005E19BB" w:rsidP="00854304">
      <w:pPr>
        <w:jc w:val="both"/>
        <w:rPr>
          <w:rFonts w:ascii="Arial" w:hAnsi="Arial" w:cs="Arial"/>
          <w:sz w:val="22"/>
          <w:szCs w:val="22"/>
        </w:rPr>
      </w:pPr>
      <w:r>
        <w:rPr>
          <w:rFonts w:ascii="Arial" w:hAnsi="Arial" w:cs="Arial"/>
          <w:b/>
          <w:sz w:val="22"/>
          <w:szCs w:val="22"/>
        </w:rPr>
        <w:lastRenderedPageBreak/>
        <w:t>Noveno</w:t>
      </w:r>
      <w:r w:rsidR="00370F79" w:rsidRPr="00EB7D17">
        <w:rPr>
          <w:rFonts w:ascii="Arial" w:hAnsi="Arial" w:cs="Arial"/>
          <w:sz w:val="22"/>
          <w:szCs w:val="22"/>
        </w:rPr>
        <w:t xml:space="preserve">. </w:t>
      </w:r>
      <w:proofErr w:type="gramStart"/>
      <w:r w:rsidR="00B93FF5" w:rsidRPr="00EB7D17">
        <w:rPr>
          <w:rFonts w:ascii="Arial" w:hAnsi="Arial" w:cs="Arial"/>
          <w:sz w:val="22"/>
          <w:szCs w:val="22"/>
        </w:rPr>
        <w:t>Que</w:t>
      </w:r>
      <w:proofErr w:type="gramEnd"/>
      <w:r w:rsidR="00B93FF5" w:rsidRPr="00EB7D17">
        <w:rPr>
          <w:rFonts w:ascii="Arial" w:hAnsi="Arial" w:cs="Arial"/>
          <w:sz w:val="22"/>
          <w:szCs w:val="22"/>
        </w:rPr>
        <w:t xml:space="preserve"> en el mercado abierto de </w:t>
      </w:r>
      <w:bookmarkStart w:id="0" w:name="_Hlk1653048"/>
      <w:r w:rsidR="00B93FF5" w:rsidRPr="00EB7D17">
        <w:rPr>
          <w:rFonts w:ascii="Arial" w:hAnsi="Arial" w:cs="Arial"/>
          <w:sz w:val="22"/>
          <w:szCs w:val="22"/>
        </w:rPr>
        <w:t xml:space="preserve">las </w:t>
      </w:r>
      <w:r w:rsidR="00B93FF5" w:rsidRPr="00EB7D17">
        <w:rPr>
          <w:rFonts w:ascii="Arial" w:hAnsi="Arial" w:cs="Arial"/>
          <w:bCs/>
          <w:sz w:val="22"/>
          <w:szCs w:val="22"/>
        </w:rPr>
        <w:t>Bolsas de Bienes y Productos Agropecuarios, Agroindustriales o de otros Commodities</w:t>
      </w:r>
      <w:bookmarkEnd w:id="0"/>
      <w:r w:rsidR="00B93FF5" w:rsidRPr="00EB7D17">
        <w:rPr>
          <w:rFonts w:ascii="Arial" w:hAnsi="Arial" w:cs="Arial"/>
          <w:bCs/>
          <w:sz w:val="22"/>
          <w:szCs w:val="22"/>
        </w:rPr>
        <w:t xml:space="preserve">, </w:t>
      </w:r>
      <w:r w:rsidR="00B93FF5" w:rsidRPr="00EB7D17">
        <w:rPr>
          <w:rFonts w:ascii="Arial" w:hAnsi="Arial" w:cs="Arial"/>
          <w:sz w:val="22"/>
          <w:szCs w:val="22"/>
        </w:rPr>
        <w:t>se pueden celebrar operaciones Forward sobre bienes, productos o commodities. Mediante este mecanismo se puede pactar la entrega a futuro de un bien o producto a un precio y se puede acordar el pago de un anticipo al momento de la celebración de la operación, el cual se constituye en una fuente de financiamiento del respectivo productor.</w:t>
      </w:r>
    </w:p>
    <w:p w:rsidR="00CC056D" w:rsidRPr="00EB7D17" w:rsidRDefault="00CC056D" w:rsidP="00854304">
      <w:pPr>
        <w:jc w:val="both"/>
        <w:rPr>
          <w:rFonts w:ascii="Arial" w:hAnsi="Arial" w:cs="Arial"/>
          <w:sz w:val="22"/>
          <w:szCs w:val="22"/>
        </w:rPr>
      </w:pPr>
    </w:p>
    <w:p w:rsidR="009512BC" w:rsidRPr="00EB7D17" w:rsidRDefault="005E19BB" w:rsidP="00CD1842">
      <w:pPr>
        <w:jc w:val="both"/>
        <w:rPr>
          <w:rFonts w:ascii="Arial" w:hAnsi="Arial" w:cs="Arial"/>
          <w:sz w:val="22"/>
          <w:szCs w:val="22"/>
        </w:rPr>
      </w:pPr>
      <w:r>
        <w:rPr>
          <w:rFonts w:ascii="Arial" w:eastAsia="Arial" w:hAnsi="Arial" w:cs="Arial"/>
          <w:b/>
          <w:color w:val="000000" w:themeColor="text1"/>
          <w:sz w:val="22"/>
          <w:szCs w:val="22"/>
          <w:lang w:eastAsia="es-CO" w:bidi="es-CO"/>
        </w:rPr>
        <w:t>Décimo</w:t>
      </w:r>
      <w:r w:rsidR="0075053D" w:rsidRPr="00EB7D17">
        <w:rPr>
          <w:rFonts w:ascii="Arial" w:hAnsi="Arial" w:cs="Arial"/>
          <w:b/>
          <w:sz w:val="22"/>
          <w:szCs w:val="22"/>
        </w:rPr>
        <w:t>.</w:t>
      </w:r>
      <w:r w:rsidR="009512BC" w:rsidRPr="00EB7D17">
        <w:rPr>
          <w:rFonts w:ascii="Arial" w:hAnsi="Arial" w:cs="Arial"/>
          <w:color w:val="000000" w:themeColor="text1"/>
          <w:sz w:val="22"/>
          <w:szCs w:val="22"/>
        </w:rPr>
        <w:t xml:space="preserve"> Que de conformidad con lo establecido en los artículos 219, 220 y 221 del Estatuto</w:t>
      </w:r>
      <w:r w:rsidR="00EF1942" w:rsidRPr="00EB7D17">
        <w:rPr>
          <w:rFonts w:ascii="Arial" w:hAnsi="Arial" w:cs="Arial"/>
          <w:color w:val="000000" w:themeColor="text1"/>
          <w:sz w:val="22"/>
          <w:szCs w:val="22"/>
        </w:rPr>
        <w:t xml:space="preserve"> Orgánico del Sistema Financiero</w:t>
      </w:r>
      <w:r w:rsidR="009512BC" w:rsidRPr="00EB7D17">
        <w:rPr>
          <w:rFonts w:ascii="Arial" w:hAnsi="Arial" w:cs="Arial"/>
          <w:color w:val="000000" w:themeColor="text1"/>
          <w:sz w:val="22"/>
          <w:szCs w:val="22"/>
        </w:rPr>
        <w:t xml:space="preserve">, </w:t>
      </w:r>
      <w:r w:rsidR="00EB7D17">
        <w:rPr>
          <w:rFonts w:ascii="Arial" w:hAnsi="Arial" w:cs="Arial"/>
          <w:color w:val="000000" w:themeColor="text1"/>
          <w:sz w:val="22"/>
          <w:szCs w:val="22"/>
        </w:rPr>
        <w:t>se propone</w:t>
      </w:r>
      <w:r w:rsidR="00230255" w:rsidRPr="00EB7D17">
        <w:rPr>
          <w:rFonts w:ascii="Arial" w:hAnsi="Arial" w:cs="Arial"/>
          <w:color w:val="000000" w:themeColor="text1"/>
          <w:sz w:val="22"/>
          <w:szCs w:val="22"/>
        </w:rPr>
        <w:t xml:space="preserve"> a </w:t>
      </w:r>
      <w:r w:rsidR="009512BC" w:rsidRPr="00EB7D17">
        <w:rPr>
          <w:rFonts w:ascii="Arial" w:hAnsi="Arial" w:cs="Arial"/>
          <w:color w:val="000000" w:themeColor="text1"/>
          <w:sz w:val="22"/>
          <w:szCs w:val="22"/>
        </w:rPr>
        <w:t>la Comisión Nacional de Crédito Agropecuario</w:t>
      </w:r>
      <w:r w:rsidR="009512BC" w:rsidRPr="00EB7D17">
        <w:rPr>
          <w:rFonts w:ascii="Arial" w:eastAsia="Arial" w:hAnsi="Arial" w:cs="Arial"/>
          <w:color w:val="000000" w:themeColor="text1"/>
          <w:sz w:val="22"/>
          <w:szCs w:val="22"/>
          <w:lang w:eastAsia="es-CO" w:bidi="es-CO"/>
        </w:rPr>
        <w:t xml:space="preserve"> establecer una </w:t>
      </w:r>
      <w:r w:rsidR="00602BD1" w:rsidRPr="00EB7D17">
        <w:rPr>
          <w:rFonts w:ascii="Arial" w:hAnsi="Arial" w:cs="Arial"/>
          <w:color w:val="000000" w:themeColor="text1"/>
          <w:sz w:val="22"/>
          <w:szCs w:val="22"/>
        </w:rPr>
        <w:t>Línea</w:t>
      </w:r>
      <w:r w:rsidR="009512BC" w:rsidRPr="00EB7D17">
        <w:rPr>
          <w:rFonts w:ascii="Arial" w:hAnsi="Arial" w:cs="Arial"/>
          <w:color w:val="000000" w:themeColor="text1"/>
          <w:sz w:val="22"/>
          <w:szCs w:val="22"/>
        </w:rPr>
        <w:t xml:space="preserve"> Especial de Crédito LEC, cuyo </w:t>
      </w:r>
      <w:r w:rsidR="00530173" w:rsidRPr="00EB7D17">
        <w:rPr>
          <w:rFonts w:ascii="Arial" w:hAnsi="Arial" w:cs="Arial"/>
          <w:color w:val="000000" w:themeColor="text1"/>
          <w:sz w:val="22"/>
          <w:szCs w:val="22"/>
        </w:rPr>
        <w:t>sujeto</w:t>
      </w:r>
      <w:r w:rsidR="00B511C8" w:rsidRPr="00EB7D17">
        <w:rPr>
          <w:rFonts w:ascii="Arial" w:hAnsi="Arial" w:cs="Arial"/>
          <w:color w:val="000000" w:themeColor="text1"/>
          <w:sz w:val="22"/>
          <w:szCs w:val="22"/>
        </w:rPr>
        <w:t xml:space="preserve"> de crédito </w:t>
      </w:r>
      <w:r w:rsidR="009512BC" w:rsidRPr="00EB7D17">
        <w:rPr>
          <w:rFonts w:ascii="Arial" w:hAnsi="Arial" w:cs="Arial"/>
          <w:color w:val="000000" w:themeColor="text1"/>
          <w:sz w:val="22"/>
          <w:szCs w:val="22"/>
        </w:rPr>
        <w:t xml:space="preserve">será el </w:t>
      </w:r>
      <w:r w:rsidR="00955DD3" w:rsidRPr="00EB7D17">
        <w:rPr>
          <w:rFonts w:ascii="Arial" w:hAnsi="Arial" w:cs="Arial"/>
          <w:color w:val="000000" w:themeColor="text1"/>
          <w:sz w:val="22"/>
          <w:szCs w:val="22"/>
        </w:rPr>
        <w:t>comprador</w:t>
      </w:r>
      <w:r w:rsidR="00AA782B" w:rsidRPr="00EB7D17">
        <w:rPr>
          <w:rFonts w:ascii="Arial" w:hAnsi="Arial" w:cs="Arial"/>
          <w:color w:val="000000" w:themeColor="text1"/>
          <w:sz w:val="22"/>
          <w:szCs w:val="22"/>
        </w:rPr>
        <w:t xml:space="preserve"> de las operaciones </w:t>
      </w:r>
      <w:r w:rsidR="004033DE" w:rsidRPr="00EB7D17">
        <w:rPr>
          <w:rFonts w:ascii="Arial" w:hAnsi="Arial" w:cs="Arial"/>
          <w:color w:val="000000" w:themeColor="text1"/>
          <w:sz w:val="22"/>
          <w:szCs w:val="22"/>
        </w:rPr>
        <w:t xml:space="preserve">forward sobre </w:t>
      </w:r>
      <w:r w:rsidR="001141EE" w:rsidRPr="00EB7D17">
        <w:rPr>
          <w:rFonts w:ascii="Arial" w:hAnsi="Arial" w:cs="Arial"/>
          <w:color w:val="000000" w:themeColor="text1"/>
          <w:sz w:val="22"/>
          <w:szCs w:val="22"/>
        </w:rPr>
        <w:t xml:space="preserve">productos agropecuarios celebradas </w:t>
      </w:r>
      <w:r w:rsidR="006431FE" w:rsidRPr="00EB7D17">
        <w:rPr>
          <w:rFonts w:ascii="Arial" w:hAnsi="Arial" w:cs="Arial"/>
          <w:color w:val="000000" w:themeColor="text1"/>
          <w:sz w:val="22"/>
          <w:szCs w:val="22"/>
        </w:rPr>
        <w:t>en las Bolsas de Bienes y Productos Agropecuarios</w:t>
      </w:r>
      <w:r w:rsidR="00C255AD" w:rsidRPr="00EB7D17">
        <w:rPr>
          <w:rFonts w:ascii="Arial" w:hAnsi="Arial" w:cs="Arial"/>
          <w:color w:val="000000" w:themeColor="text1"/>
          <w:sz w:val="22"/>
          <w:szCs w:val="22"/>
        </w:rPr>
        <w:t>,</w:t>
      </w:r>
      <w:r w:rsidR="006431FE" w:rsidRPr="00EB7D17">
        <w:rPr>
          <w:rFonts w:ascii="Arial" w:hAnsi="Arial" w:cs="Arial"/>
          <w:color w:val="000000" w:themeColor="text1"/>
          <w:sz w:val="22"/>
          <w:szCs w:val="22"/>
        </w:rPr>
        <w:t xml:space="preserve"> </w:t>
      </w:r>
      <w:r w:rsidR="00C255AD" w:rsidRPr="00EB7D17">
        <w:rPr>
          <w:rFonts w:ascii="Arial" w:hAnsi="Arial" w:cs="Arial"/>
          <w:color w:val="000000" w:themeColor="text1"/>
          <w:sz w:val="22"/>
          <w:szCs w:val="22"/>
        </w:rPr>
        <w:t>Agroindustriales</w:t>
      </w:r>
      <w:r w:rsidR="00CA1460" w:rsidRPr="00EB7D17">
        <w:rPr>
          <w:rFonts w:ascii="Arial" w:hAnsi="Arial" w:cs="Arial"/>
          <w:color w:val="000000" w:themeColor="text1"/>
          <w:sz w:val="22"/>
          <w:szCs w:val="22"/>
        </w:rPr>
        <w:t xml:space="preserve"> </w:t>
      </w:r>
      <w:r w:rsidR="00D936DE" w:rsidRPr="00EB7D17">
        <w:rPr>
          <w:rFonts w:ascii="Arial" w:hAnsi="Arial" w:cs="Arial"/>
          <w:color w:val="000000" w:themeColor="text1"/>
          <w:sz w:val="22"/>
          <w:szCs w:val="22"/>
        </w:rPr>
        <w:t>o</w:t>
      </w:r>
      <w:r w:rsidR="00C255AD" w:rsidRPr="00EB7D17">
        <w:rPr>
          <w:rFonts w:ascii="Arial" w:hAnsi="Arial" w:cs="Arial"/>
          <w:color w:val="000000" w:themeColor="text1"/>
          <w:sz w:val="22"/>
          <w:szCs w:val="22"/>
        </w:rPr>
        <w:t xml:space="preserve"> de otros Commodities y que </w:t>
      </w:r>
      <w:r w:rsidR="00966F97" w:rsidRPr="00EB7D17">
        <w:rPr>
          <w:rFonts w:ascii="Arial" w:hAnsi="Arial" w:cs="Arial"/>
          <w:color w:val="000000" w:themeColor="text1"/>
          <w:sz w:val="22"/>
          <w:szCs w:val="22"/>
        </w:rPr>
        <w:t xml:space="preserve">se denominará </w:t>
      </w:r>
      <w:r w:rsidR="00F619B0" w:rsidRPr="00EB7D17">
        <w:rPr>
          <w:rFonts w:ascii="Arial" w:hAnsi="Arial" w:cs="Arial"/>
          <w:color w:val="000000" w:themeColor="text1"/>
          <w:sz w:val="22"/>
          <w:szCs w:val="22"/>
        </w:rPr>
        <w:t>“</w:t>
      </w:r>
      <w:r w:rsidR="00966F97" w:rsidRPr="00EB7D17">
        <w:rPr>
          <w:rFonts w:ascii="Arial" w:hAnsi="Arial" w:cs="Arial"/>
          <w:color w:val="000000" w:themeColor="text1"/>
          <w:sz w:val="22"/>
          <w:szCs w:val="22"/>
        </w:rPr>
        <w:t xml:space="preserve">Integrador </w:t>
      </w:r>
      <w:r w:rsidR="003839FE" w:rsidRPr="00EB7D17">
        <w:rPr>
          <w:rFonts w:ascii="Arial" w:hAnsi="Arial" w:cs="Arial"/>
          <w:color w:val="000000" w:themeColor="text1"/>
          <w:sz w:val="22"/>
          <w:szCs w:val="22"/>
        </w:rPr>
        <w:t>Bursátil Comprador</w:t>
      </w:r>
      <w:r w:rsidR="00FE519A" w:rsidRPr="00EB7D17">
        <w:rPr>
          <w:rFonts w:ascii="Arial" w:hAnsi="Arial" w:cs="Arial"/>
          <w:color w:val="000000" w:themeColor="text1"/>
          <w:sz w:val="22"/>
          <w:szCs w:val="22"/>
        </w:rPr>
        <w:t>”.</w:t>
      </w:r>
      <w:r w:rsidR="00CA1460" w:rsidRPr="00EB7D17">
        <w:rPr>
          <w:rFonts w:ascii="Arial" w:hAnsi="Arial" w:cs="Arial"/>
          <w:color w:val="000000" w:themeColor="text1"/>
          <w:sz w:val="22"/>
          <w:szCs w:val="22"/>
        </w:rPr>
        <w:t xml:space="preserve"> </w:t>
      </w:r>
    </w:p>
    <w:p w:rsidR="009512BC" w:rsidRPr="00EB7D17" w:rsidRDefault="009512BC" w:rsidP="00CD1842">
      <w:pPr>
        <w:jc w:val="both"/>
        <w:rPr>
          <w:rFonts w:ascii="Arial" w:hAnsi="Arial" w:cs="Arial"/>
          <w:sz w:val="22"/>
          <w:szCs w:val="22"/>
        </w:rPr>
      </w:pPr>
    </w:p>
    <w:p w:rsidR="00955DD3" w:rsidRPr="00EB7D17" w:rsidRDefault="005E19BB" w:rsidP="00CD1842">
      <w:pPr>
        <w:jc w:val="both"/>
        <w:rPr>
          <w:rFonts w:ascii="Arial" w:eastAsia="Arial" w:hAnsi="Arial" w:cs="Arial"/>
          <w:color w:val="000000" w:themeColor="text1"/>
          <w:sz w:val="22"/>
          <w:szCs w:val="22"/>
          <w:lang w:eastAsia="es-CO" w:bidi="es-CO"/>
        </w:rPr>
      </w:pPr>
      <w:r>
        <w:rPr>
          <w:rFonts w:ascii="Arial" w:eastAsia="Arial" w:hAnsi="Arial" w:cs="Arial"/>
          <w:b/>
          <w:color w:val="000000" w:themeColor="text1"/>
          <w:sz w:val="22"/>
          <w:szCs w:val="22"/>
          <w:lang w:eastAsia="es-CO" w:bidi="es-CO"/>
        </w:rPr>
        <w:t xml:space="preserve">Décimo </w:t>
      </w:r>
      <w:r w:rsidRPr="00EB7D17">
        <w:rPr>
          <w:rFonts w:ascii="Arial" w:hAnsi="Arial" w:cs="Arial"/>
          <w:b/>
          <w:color w:val="000000" w:themeColor="text1"/>
          <w:sz w:val="22"/>
          <w:szCs w:val="22"/>
          <w:lang w:bidi="es-CO"/>
        </w:rPr>
        <w:t>Primero</w:t>
      </w:r>
      <w:r w:rsidR="00955DD3" w:rsidRPr="00EB7D17">
        <w:rPr>
          <w:rFonts w:ascii="Arial" w:eastAsia="Arial" w:hAnsi="Arial" w:cs="Arial"/>
          <w:color w:val="000000" w:themeColor="text1"/>
          <w:sz w:val="22"/>
          <w:szCs w:val="22"/>
          <w:lang w:eastAsia="es-CO" w:bidi="es-CO"/>
        </w:rPr>
        <w:t xml:space="preserve">. Que </w:t>
      </w:r>
      <w:bookmarkStart w:id="1" w:name="_Hlk1756249"/>
      <w:r w:rsidR="00955DD3" w:rsidRPr="00EB7D17">
        <w:rPr>
          <w:rFonts w:ascii="Arial" w:eastAsia="Arial" w:hAnsi="Arial" w:cs="Arial"/>
          <w:color w:val="000000" w:themeColor="text1"/>
          <w:sz w:val="22"/>
          <w:szCs w:val="22"/>
          <w:lang w:eastAsia="es-CO" w:bidi="es-CO"/>
        </w:rPr>
        <w:t>la Línea Especial de Crédito</w:t>
      </w:r>
      <w:r w:rsidR="00BC66D2" w:rsidRPr="00EB7D17">
        <w:rPr>
          <w:rFonts w:ascii="Arial" w:eastAsia="Arial" w:hAnsi="Arial" w:cs="Arial"/>
          <w:color w:val="000000" w:themeColor="text1"/>
          <w:sz w:val="22"/>
          <w:szCs w:val="22"/>
          <w:lang w:eastAsia="es-CO" w:bidi="es-CO"/>
        </w:rPr>
        <w:t>,</w:t>
      </w:r>
      <w:r w:rsidR="00955DD3" w:rsidRPr="00EB7D17">
        <w:rPr>
          <w:rFonts w:ascii="Arial" w:eastAsia="Arial" w:hAnsi="Arial" w:cs="Arial"/>
          <w:color w:val="000000" w:themeColor="text1"/>
          <w:sz w:val="22"/>
          <w:szCs w:val="22"/>
          <w:lang w:eastAsia="es-CO" w:bidi="es-CO"/>
        </w:rPr>
        <w:t xml:space="preserve"> se </w:t>
      </w:r>
      <w:r w:rsidR="00230255" w:rsidRPr="00EB7D17">
        <w:rPr>
          <w:rFonts w:ascii="Arial" w:eastAsia="Arial" w:hAnsi="Arial" w:cs="Arial"/>
          <w:color w:val="000000" w:themeColor="text1"/>
          <w:sz w:val="22"/>
          <w:szCs w:val="22"/>
          <w:lang w:eastAsia="es-CO" w:bidi="es-CO"/>
        </w:rPr>
        <w:t xml:space="preserve">destinará a </w:t>
      </w:r>
      <w:r w:rsidR="00D432F7" w:rsidRPr="00EB7D17">
        <w:rPr>
          <w:rFonts w:ascii="Arial" w:eastAsia="Arial" w:hAnsi="Arial" w:cs="Arial"/>
          <w:color w:val="000000" w:themeColor="text1"/>
          <w:sz w:val="22"/>
          <w:szCs w:val="22"/>
          <w:lang w:eastAsia="es-CO" w:bidi="es-CO"/>
        </w:rPr>
        <w:t>la financiación d</w:t>
      </w:r>
      <w:r w:rsidR="00955DD3" w:rsidRPr="00EB7D17">
        <w:rPr>
          <w:rFonts w:ascii="Arial" w:eastAsia="Arial" w:hAnsi="Arial" w:cs="Arial"/>
          <w:color w:val="000000" w:themeColor="text1"/>
          <w:sz w:val="22"/>
          <w:szCs w:val="22"/>
          <w:lang w:eastAsia="es-CO" w:bidi="es-CO"/>
        </w:rPr>
        <w:t xml:space="preserve">el anticipo de las operaciones forward en las </w:t>
      </w:r>
      <w:r w:rsidR="00E00CA3" w:rsidRPr="00EB7D17">
        <w:rPr>
          <w:rFonts w:ascii="Arial" w:eastAsia="Arial" w:hAnsi="Arial" w:cs="Arial"/>
          <w:color w:val="000000" w:themeColor="text1"/>
          <w:sz w:val="22"/>
          <w:szCs w:val="22"/>
          <w:lang w:eastAsia="es-CO" w:bidi="es-CO"/>
        </w:rPr>
        <w:t xml:space="preserve">negociaciones celebradas en las </w:t>
      </w:r>
      <w:r w:rsidR="00955DD3" w:rsidRPr="00EB7D17">
        <w:rPr>
          <w:rFonts w:ascii="Arial" w:eastAsia="Arial" w:hAnsi="Arial" w:cs="Arial"/>
          <w:color w:val="000000" w:themeColor="text1"/>
          <w:sz w:val="22"/>
          <w:szCs w:val="22"/>
          <w:lang w:eastAsia="es-CO" w:bidi="es-CO"/>
        </w:rPr>
        <w:t xml:space="preserve">Bolsas de Bienes y Productos Agropecuarios, Agroindustriales </w:t>
      </w:r>
      <w:r w:rsidR="00D936DE" w:rsidRPr="00EB7D17">
        <w:rPr>
          <w:rFonts w:ascii="Arial" w:eastAsia="Arial" w:hAnsi="Arial" w:cs="Arial"/>
          <w:color w:val="000000" w:themeColor="text1"/>
          <w:sz w:val="22"/>
          <w:szCs w:val="22"/>
          <w:lang w:eastAsia="es-CO" w:bidi="es-CO"/>
        </w:rPr>
        <w:t>o</w:t>
      </w:r>
      <w:r w:rsidR="00955DD3" w:rsidRPr="00EB7D17">
        <w:rPr>
          <w:rFonts w:ascii="Arial" w:eastAsia="Arial" w:hAnsi="Arial" w:cs="Arial"/>
          <w:color w:val="000000" w:themeColor="text1"/>
          <w:sz w:val="22"/>
          <w:szCs w:val="22"/>
          <w:lang w:eastAsia="es-CO" w:bidi="es-CO"/>
        </w:rPr>
        <w:t xml:space="preserve"> de otros Commodities,</w:t>
      </w:r>
      <w:r w:rsidR="006B2E2F" w:rsidRPr="00EB7D17">
        <w:rPr>
          <w:rFonts w:ascii="Arial" w:eastAsia="Arial" w:hAnsi="Arial" w:cs="Arial"/>
          <w:color w:val="000000" w:themeColor="text1"/>
          <w:sz w:val="22"/>
          <w:szCs w:val="22"/>
          <w:lang w:eastAsia="es-CO" w:bidi="es-CO"/>
        </w:rPr>
        <w:t xml:space="preserve"> </w:t>
      </w:r>
      <w:r w:rsidR="00BC66D2" w:rsidRPr="00EB7D17">
        <w:rPr>
          <w:rFonts w:ascii="Arial" w:eastAsia="Arial" w:hAnsi="Arial" w:cs="Arial"/>
          <w:color w:val="000000" w:themeColor="text1"/>
          <w:sz w:val="22"/>
          <w:szCs w:val="22"/>
          <w:lang w:eastAsia="es-CO" w:bidi="es-CO"/>
        </w:rPr>
        <w:t>y tiene</w:t>
      </w:r>
      <w:r w:rsidR="00D432F7" w:rsidRPr="00EB7D17">
        <w:rPr>
          <w:rFonts w:ascii="Arial" w:eastAsia="Arial" w:hAnsi="Arial" w:cs="Arial"/>
          <w:color w:val="000000" w:themeColor="text1"/>
          <w:sz w:val="22"/>
          <w:szCs w:val="22"/>
          <w:lang w:eastAsia="es-CO" w:bidi="es-CO"/>
        </w:rPr>
        <w:t xml:space="preserve"> como propósito </w:t>
      </w:r>
      <w:r w:rsidR="00955DD3" w:rsidRPr="00EB7D17">
        <w:rPr>
          <w:rFonts w:ascii="Arial" w:eastAsia="Arial" w:hAnsi="Arial" w:cs="Arial"/>
          <w:color w:val="000000" w:themeColor="text1"/>
          <w:sz w:val="22"/>
          <w:szCs w:val="22"/>
          <w:lang w:eastAsia="es-CO" w:bidi="es-CO"/>
        </w:rPr>
        <w:t>permiti</w:t>
      </w:r>
      <w:r w:rsidR="006607C9" w:rsidRPr="00EB7D17">
        <w:rPr>
          <w:rFonts w:ascii="Arial" w:eastAsia="Arial" w:hAnsi="Arial" w:cs="Arial"/>
          <w:color w:val="000000" w:themeColor="text1"/>
          <w:sz w:val="22"/>
          <w:szCs w:val="22"/>
          <w:lang w:eastAsia="es-CO" w:bidi="es-CO"/>
        </w:rPr>
        <w:t xml:space="preserve">r </w:t>
      </w:r>
      <w:r w:rsidR="00955DD3" w:rsidRPr="00EB7D17">
        <w:rPr>
          <w:rFonts w:ascii="Arial" w:eastAsia="Arial" w:hAnsi="Arial" w:cs="Arial"/>
          <w:color w:val="000000" w:themeColor="text1"/>
          <w:sz w:val="22"/>
          <w:szCs w:val="22"/>
          <w:lang w:eastAsia="es-CO" w:bidi="es-CO"/>
        </w:rPr>
        <w:t>que el comprador disponga de recursos</w:t>
      </w:r>
      <w:r w:rsidR="00BC66D2" w:rsidRPr="00EB7D17">
        <w:rPr>
          <w:rFonts w:ascii="Arial" w:eastAsia="Arial" w:hAnsi="Arial" w:cs="Arial"/>
          <w:color w:val="000000" w:themeColor="text1"/>
          <w:sz w:val="22"/>
          <w:szCs w:val="22"/>
          <w:lang w:eastAsia="es-CO" w:bidi="es-CO"/>
        </w:rPr>
        <w:t xml:space="preserve"> de capital de trabajo</w:t>
      </w:r>
      <w:r w:rsidR="00955DD3" w:rsidRPr="00EB7D17">
        <w:rPr>
          <w:rFonts w:ascii="Arial" w:eastAsia="Arial" w:hAnsi="Arial" w:cs="Arial"/>
          <w:color w:val="000000" w:themeColor="text1"/>
          <w:sz w:val="22"/>
          <w:szCs w:val="22"/>
          <w:lang w:eastAsia="es-CO" w:bidi="es-CO"/>
        </w:rPr>
        <w:t xml:space="preserve"> suficientes</w:t>
      </w:r>
      <w:r w:rsidR="00BC66D2" w:rsidRPr="00EB7D17">
        <w:rPr>
          <w:rFonts w:ascii="Arial" w:eastAsia="Arial" w:hAnsi="Arial" w:cs="Arial"/>
          <w:color w:val="000000" w:themeColor="text1"/>
          <w:sz w:val="22"/>
          <w:szCs w:val="22"/>
          <w:lang w:eastAsia="es-CO" w:bidi="es-CO"/>
        </w:rPr>
        <w:t xml:space="preserve"> para atender los anticipos de las operaciones forward, </w:t>
      </w:r>
      <w:r w:rsidR="00BC66D2" w:rsidRPr="00EB7D17">
        <w:rPr>
          <w:rFonts w:ascii="Arial" w:hAnsi="Arial" w:cs="Arial"/>
          <w:sz w:val="22"/>
          <w:szCs w:val="22"/>
        </w:rPr>
        <w:t>y que los</w:t>
      </w:r>
      <w:r w:rsidR="00BC66D2" w:rsidRPr="00EB7D17">
        <w:rPr>
          <w:rFonts w:ascii="Arial" w:eastAsia="Arial" w:hAnsi="Arial" w:cs="Arial"/>
          <w:color w:val="000000" w:themeColor="text1"/>
          <w:sz w:val="22"/>
          <w:szCs w:val="22"/>
          <w:lang w:eastAsia="es-CO" w:bidi="es-CO"/>
        </w:rPr>
        <w:t xml:space="preserve"> productores agropecuarios vendedores tengan acceso a financiamiento en condiciones favorables</w:t>
      </w:r>
      <w:bookmarkEnd w:id="1"/>
      <w:r w:rsidR="000105B7" w:rsidRPr="00EB7D17">
        <w:rPr>
          <w:rFonts w:ascii="Arial" w:eastAsia="Arial" w:hAnsi="Arial" w:cs="Arial"/>
          <w:color w:val="000000" w:themeColor="text1"/>
          <w:sz w:val="22"/>
          <w:szCs w:val="22"/>
          <w:lang w:eastAsia="es-CO" w:bidi="es-CO"/>
        </w:rPr>
        <w:t xml:space="preserve">, </w:t>
      </w:r>
      <w:r w:rsidR="00BC66D2" w:rsidRPr="00EB7D17">
        <w:rPr>
          <w:rFonts w:ascii="Arial" w:eastAsia="Arial" w:hAnsi="Arial" w:cs="Arial"/>
          <w:color w:val="000000" w:themeColor="text1"/>
          <w:sz w:val="22"/>
          <w:szCs w:val="22"/>
          <w:lang w:eastAsia="es-CO" w:bidi="es-CO"/>
        </w:rPr>
        <w:t>contribuyendo a su</w:t>
      </w:r>
      <w:r w:rsidR="000105B7" w:rsidRPr="00EB7D17">
        <w:rPr>
          <w:rFonts w:ascii="Arial" w:eastAsia="Arial" w:hAnsi="Arial" w:cs="Arial"/>
          <w:color w:val="000000" w:themeColor="text1"/>
          <w:sz w:val="22"/>
          <w:szCs w:val="22"/>
          <w:lang w:eastAsia="es-CO" w:bidi="es-CO"/>
        </w:rPr>
        <w:t xml:space="preserve"> reactivación agropecuaria</w:t>
      </w:r>
      <w:r w:rsidR="00B33764" w:rsidRPr="00EB7D17">
        <w:rPr>
          <w:rFonts w:ascii="Arial" w:eastAsia="Arial" w:hAnsi="Arial" w:cs="Arial"/>
          <w:color w:val="000000" w:themeColor="text1"/>
          <w:sz w:val="22"/>
          <w:szCs w:val="22"/>
          <w:lang w:eastAsia="es-CO" w:bidi="es-CO"/>
        </w:rPr>
        <w:t>.</w:t>
      </w:r>
    </w:p>
    <w:p w:rsidR="00B33764" w:rsidRPr="00EB7D17" w:rsidRDefault="00B33764" w:rsidP="00CD1842">
      <w:pPr>
        <w:jc w:val="both"/>
        <w:rPr>
          <w:rFonts w:ascii="Arial" w:eastAsia="Arial" w:hAnsi="Arial" w:cs="Arial"/>
          <w:color w:val="000000" w:themeColor="text1"/>
          <w:sz w:val="22"/>
          <w:szCs w:val="22"/>
          <w:lang w:eastAsia="es-CO" w:bidi="es-CO"/>
        </w:rPr>
      </w:pPr>
    </w:p>
    <w:p w:rsidR="00B33764" w:rsidRPr="00EB7D17" w:rsidRDefault="00EB7D17" w:rsidP="00CD1842">
      <w:pPr>
        <w:jc w:val="both"/>
        <w:rPr>
          <w:rFonts w:ascii="Arial" w:eastAsia="Arial" w:hAnsi="Arial" w:cs="Arial"/>
          <w:color w:val="000000" w:themeColor="text1"/>
          <w:sz w:val="22"/>
          <w:szCs w:val="22"/>
          <w:lang w:eastAsia="es-CO" w:bidi="es-CO"/>
        </w:rPr>
      </w:pPr>
      <w:bookmarkStart w:id="2" w:name="_Hlk1931636"/>
      <w:r>
        <w:rPr>
          <w:rFonts w:ascii="Arial" w:eastAsia="Arial" w:hAnsi="Arial" w:cs="Arial"/>
          <w:b/>
          <w:color w:val="000000" w:themeColor="text1"/>
          <w:sz w:val="22"/>
          <w:szCs w:val="22"/>
          <w:lang w:eastAsia="es-CO" w:bidi="es-CO"/>
        </w:rPr>
        <w:t xml:space="preserve">Décimo </w:t>
      </w:r>
      <w:r w:rsidR="005E19BB" w:rsidRPr="00EB7D17">
        <w:rPr>
          <w:rFonts w:ascii="Arial" w:hAnsi="Arial" w:cs="Arial"/>
          <w:b/>
          <w:color w:val="000000" w:themeColor="text1"/>
          <w:sz w:val="22"/>
          <w:szCs w:val="22"/>
          <w:lang w:bidi="es-CO"/>
        </w:rPr>
        <w:t>Segundo</w:t>
      </w:r>
      <w:r w:rsidR="004D6495" w:rsidRPr="00EB7D17">
        <w:rPr>
          <w:rFonts w:ascii="Arial" w:eastAsia="Arial" w:hAnsi="Arial" w:cs="Arial"/>
          <w:b/>
          <w:color w:val="000000" w:themeColor="text1"/>
          <w:sz w:val="22"/>
          <w:szCs w:val="22"/>
          <w:lang w:eastAsia="es-CO" w:bidi="es-CO"/>
        </w:rPr>
        <w:t>.</w:t>
      </w:r>
      <w:r w:rsidR="00B33764" w:rsidRPr="00EB7D17">
        <w:rPr>
          <w:rFonts w:ascii="Arial" w:eastAsia="Arial" w:hAnsi="Arial" w:cs="Arial"/>
          <w:color w:val="000000" w:themeColor="text1"/>
          <w:sz w:val="22"/>
          <w:szCs w:val="22"/>
          <w:lang w:eastAsia="es-CO" w:bidi="es-CO"/>
        </w:rPr>
        <w:t xml:space="preserve"> </w:t>
      </w:r>
      <w:bookmarkStart w:id="3" w:name="_Hlk1915479"/>
      <w:r w:rsidR="00B33764" w:rsidRPr="00EB7D17">
        <w:rPr>
          <w:rFonts w:ascii="Arial" w:eastAsia="Arial" w:hAnsi="Arial" w:cs="Arial"/>
          <w:color w:val="000000" w:themeColor="text1"/>
          <w:sz w:val="22"/>
          <w:szCs w:val="22"/>
          <w:lang w:eastAsia="es-CO" w:bidi="es-CO"/>
        </w:rPr>
        <w:t>Que mediante la Resolución 12 de 2018 se estableció el Plan Anual de ICR y LEC para el Año 20</w:t>
      </w:r>
      <w:r w:rsidR="00230255" w:rsidRPr="00EB7D17">
        <w:rPr>
          <w:rFonts w:ascii="Arial" w:eastAsia="Arial" w:hAnsi="Arial" w:cs="Arial"/>
          <w:color w:val="000000" w:themeColor="text1"/>
          <w:sz w:val="22"/>
          <w:szCs w:val="22"/>
          <w:lang w:eastAsia="es-CO" w:bidi="es-CO"/>
        </w:rPr>
        <w:t>1</w:t>
      </w:r>
      <w:r w:rsidR="00B33764" w:rsidRPr="00EB7D17">
        <w:rPr>
          <w:rFonts w:ascii="Arial" w:eastAsia="Arial" w:hAnsi="Arial" w:cs="Arial"/>
          <w:color w:val="000000" w:themeColor="text1"/>
          <w:sz w:val="22"/>
          <w:szCs w:val="22"/>
          <w:lang w:eastAsia="es-CO" w:bidi="es-CO"/>
        </w:rPr>
        <w:t xml:space="preserve">9, el cual se </w:t>
      </w:r>
      <w:r w:rsidR="00BC66D2" w:rsidRPr="00EB7D17">
        <w:rPr>
          <w:rFonts w:ascii="Arial" w:eastAsia="Arial" w:hAnsi="Arial" w:cs="Arial"/>
          <w:color w:val="000000" w:themeColor="text1"/>
          <w:sz w:val="22"/>
          <w:szCs w:val="22"/>
          <w:lang w:eastAsia="es-CO" w:bidi="es-CO"/>
        </w:rPr>
        <w:t xml:space="preserve">complementa </w:t>
      </w:r>
      <w:r w:rsidR="00B33764" w:rsidRPr="00EB7D17">
        <w:rPr>
          <w:rFonts w:ascii="Arial" w:eastAsia="Arial" w:hAnsi="Arial" w:cs="Arial"/>
          <w:color w:val="000000" w:themeColor="text1"/>
          <w:sz w:val="22"/>
          <w:szCs w:val="22"/>
          <w:lang w:eastAsia="es-CO" w:bidi="es-CO"/>
        </w:rPr>
        <w:t>con la Línea Especial de Crédito que se establece mediante esta resolución</w:t>
      </w:r>
      <w:bookmarkEnd w:id="2"/>
      <w:bookmarkEnd w:id="3"/>
      <w:r w:rsidR="00B33764" w:rsidRPr="00EB7D17">
        <w:rPr>
          <w:rFonts w:ascii="Arial" w:eastAsia="Arial" w:hAnsi="Arial" w:cs="Arial"/>
          <w:color w:val="000000" w:themeColor="text1"/>
          <w:sz w:val="22"/>
          <w:szCs w:val="22"/>
          <w:lang w:eastAsia="es-CO" w:bidi="es-CO"/>
        </w:rPr>
        <w:t>.</w:t>
      </w:r>
    </w:p>
    <w:p w:rsidR="00236218" w:rsidRPr="00EB7D17" w:rsidRDefault="00236218" w:rsidP="00CD1842">
      <w:pPr>
        <w:jc w:val="both"/>
        <w:rPr>
          <w:rFonts w:ascii="Arial" w:hAnsi="Arial" w:cs="Arial"/>
          <w:sz w:val="22"/>
          <w:szCs w:val="22"/>
        </w:rPr>
      </w:pPr>
    </w:p>
    <w:p w:rsidR="008A4E27" w:rsidRPr="00EB7D17" w:rsidRDefault="006D5940" w:rsidP="00D85F98">
      <w:pPr>
        <w:pStyle w:val="c5"/>
        <w:tabs>
          <w:tab w:val="left" w:pos="204"/>
        </w:tabs>
        <w:spacing w:line="240" w:lineRule="auto"/>
        <w:jc w:val="both"/>
        <w:rPr>
          <w:rFonts w:ascii="Arial" w:hAnsi="Arial" w:cs="Arial"/>
          <w:sz w:val="22"/>
          <w:szCs w:val="22"/>
          <w:lang w:val="es-CO"/>
        </w:rPr>
      </w:pPr>
      <w:r w:rsidRPr="00EB7D17">
        <w:rPr>
          <w:rFonts w:ascii="Arial" w:hAnsi="Arial" w:cs="Arial"/>
          <w:b/>
          <w:color w:val="000000" w:themeColor="text1"/>
          <w:sz w:val="22"/>
          <w:szCs w:val="22"/>
          <w:lang w:bidi="es-CO"/>
        </w:rPr>
        <w:t>Décimo</w:t>
      </w:r>
      <w:r w:rsidR="00FF261F" w:rsidRPr="00EB7D17">
        <w:rPr>
          <w:rFonts w:ascii="Arial" w:hAnsi="Arial" w:cs="Arial"/>
          <w:b/>
          <w:color w:val="000000" w:themeColor="text1"/>
          <w:sz w:val="22"/>
          <w:szCs w:val="22"/>
          <w:lang w:bidi="es-CO"/>
        </w:rPr>
        <w:t xml:space="preserve"> </w:t>
      </w:r>
      <w:r w:rsidR="005E19BB">
        <w:rPr>
          <w:rFonts w:ascii="Arial" w:hAnsi="Arial" w:cs="Arial"/>
          <w:b/>
          <w:color w:val="000000" w:themeColor="text1"/>
          <w:sz w:val="22"/>
          <w:szCs w:val="22"/>
          <w:lang w:bidi="es-CO"/>
        </w:rPr>
        <w:t>Tercero</w:t>
      </w:r>
      <w:r w:rsidR="003940FE" w:rsidRPr="00EB7D17">
        <w:rPr>
          <w:rFonts w:ascii="Arial" w:hAnsi="Arial" w:cs="Arial"/>
          <w:b/>
          <w:color w:val="000000" w:themeColor="text1"/>
          <w:sz w:val="22"/>
          <w:szCs w:val="22"/>
          <w:lang w:bidi="es-CO"/>
        </w:rPr>
        <w:t>.</w:t>
      </w:r>
      <w:r w:rsidR="003940FE" w:rsidRPr="00EB7D17">
        <w:rPr>
          <w:rFonts w:ascii="Arial" w:hAnsi="Arial" w:cs="Arial"/>
          <w:color w:val="000000" w:themeColor="text1"/>
          <w:sz w:val="22"/>
          <w:szCs w:val="22"/>
          <w:lang w:bidi="es-CO"/>
        </w:rPr>
        <w:t xml:space="preserve"> </w:t>
      </w:r>
      <w:r w:rsidR="008A4E27" w:rsidRPr="00EB7D17">
        <w:rPr>
          <w:rFonts w:ascii="Arial" w:hAnsi="Arial" w:cs="Arial"/>
          <w:color w:val="000000" w:themeColor="text1"/>
          <w:sz w:val="22"/>
          <w:szCs w:val="22"/>
          <w:lang w:bidi="es-CO"/>
        </w:rPr>
        <w:t xml:space="preserve">Que el proyecto de resolución </w:t>
      </w:r>
      <w:r w:rsidR="00BC66D2" w:rsidRPr="00EB7D17">
        <w:rPr>
          <w:rFonts w:ascii="Arial" w:hAnsi="Arial" w:cs="Arial"/>
          <w:i/>
          <w:sz w:val="22"/>
          <w:szCs w:val="22"/>
          <w:lang w:val="es-CO"/>
        </w:rPr>
        <w:t>“Por la</w:t>
      </w:r>
      <w:r w:rsidR="00BC66D2" w:rsidRPr="00EB7D17">
        <w:rPr>
          <w:rFonts w:ascii="Arial" w:hAnsi="Arial" w:cs="Arial"/>
          <w:i/>
          <w:color w:val="000000" w:themeColor="text1"/>
          <w:sz w:val="22"/>
          <w:szCs w:val="22"/>
          <w:lang w:bidi="es-CO"/>
        </w:rPr>
        <w:t xml:space="preserve"> cual se establece una Línea Especial de Crédito para la Reactivación Agropecuaria destinada a la financiación de anticipos de las operaciones Forward celebradas a través de las Bolsas de Bienes y Productos Agropecuarios, Agroindustriales o de otros Commodities y </w:t>
      </w:r>
      <w:r w:rsidR="00BC66D2" w:rsidRPr="00EB7D17">
        <w:rPr>
          <w:rFonts w:ascii="Arial" w:hAnsi="Arial" w:cs="Arial"/>
          <w:bCs/>
          <w:i/>
          <w:sz w:val="22"/>
          <w:szCs w:val="22"/>
          <w:lang w:val="es-CO"/>
        </w:rPr>
        <w:t>se adoptan otras disposiciones</w:t>
      </w:r>
      <w:r w:rsidR="00BC66D2" w:rsidRPr="00EB7D17">
        <w:rPr>
          <w:rFonts w:ascii="Arial" w:hAnsi="Arial" w:cs="Arial"/>
          <w:i/>
          <w:sz w:val="22"/>
          <w:szCs w:val="22"/>
          <w:lang w:val="es-CO"/>
        </w:rPr>
        <w:t>”</w:t>
      </w:r>
      <w:r w:rsidR="00BC66D2" w:rsidRPr="00EB7D17">
        <w:rPr>
          <w:rFonts w:ascii="Arial" w:hAnsi="Arial" w:cs="Arial"/>
          <w:sz w:val="22"/>
          <w:szCs w:val="22"/>
          <w:lang w:val="es-CO"/>
        </w:rPr>
        <w:t xml:space="preserve"> </w:t>
      </w:r>
      <w:r w:rsidR="008A4E27" w:rsidRPr="00EB7D17">
        <w:rPr>
          <w:rFonts w:ascii="Arial" w:hAnsi="Arial" w:cs="Arial"/>
          <w:color w:val="000000" w:themeColor="text1"/>
          <w:sz w:val="22"/>
          <w:szCs w:val="22"/>
          <w:lang w:bidi="es-CO"/>
        </w:rPr>
        <w:t>estuvo publicado en la página web de FINAGRO para comentarios.</w:t>
      </w:r>
    </w:p>
    <w:p w:rsidR="008A4E27" w:rsidRPr="00EB7D17" w:rsidRDefault="008A4E27" w:rsidP="008A4E27">
      <w:pPr>
        <w:tabs>
          <w:tab w:val="left" w:pos="8503"/>
        </w:tabs>
        <w:ind w:right="-2"/>
        <w:jc w:val="both"/>
        <w:rPr>
          <w:rFonts w:ascii="Arial" w:hAnsi="Arial" w:cs="Arial"/>
          <w:color w:val="000000" w:themeColor="text1"/>
          <w:sz w:val="22"/>
          <w:szCs w:val="22"/>
          <w:lang w:bidi="es-CO"/>
        </w:rPr>
      </w:pPr>
    </w:p>
    <w:p w:rsidR="008A4E27" w:rsidRPr="00EB7D17" w:rsidRDefault="006D5940" w:rsidP="008A4E27">
      <w:pPr>
        <w:tabs>
          <w:tab w:val="left" w:pos="8503"/>
        </w:tabs>
        <w:ind w:right="-2"/>
        <w:jc w:val="both"/>
        <w:rPr>
          <w:rFonts w:ascii="Arial" w:hAnsi="Arial" w:cs="Arial"/>
          <w:color w:val="000000" w:themeColor="text1"/>
          <w:sz w:val="22"/>
          <w:szCs w:val="22"/>
          <w:lang w:bidi="es-CO"/>
        </w:rPr>
      </w:pPr>
      <w:r w:rsidRPr="00EB7D17">
        <w:rPr>
          <w:rFonts w:ascii="Arial" w:hAnsi="Arial" w:cs="Arial"/>
          <w:b/>
          <w:color w:val="000000" w:themeColor="text1"/>
          <w:sz w:val="22"/>
          <w:szCs w:val="22"/>
          <w:lang w:bidi="es-CO"/>
        </w:rPr>
        <w:t xml:space="preserve">Décimo </w:t>
      </w:r>
      <w:r w:rsidR="005E19BB">
        <w:rPr>
          <w:rFonts w:ascii="Arial" w:hAnsi="Arial" w:cs="Arial"/>
          <w:b/>
          <w:color w:val="000000" w:themeColor="text1"/>
          <w:sz w:val="22"/>
          <w:szCs w:val="22"/>
          <w:lang w:bidi="es-CO"/>
        </w:rPr>
        <w:t>Cuarto</w:t>
      </w:r>
      <w:r w:rsidR="003940FE" w:rsidRPr="00EB7D17">
        <w:rPr>
          <w:rFonts w:ascii="Arial" w:hAnsi="Arial" w:cs="Arial"/>
          <w:b/>
          <w:color w:val="000000" w:themeColor="text1"/>
          <w:sz w:val="22"/>
          <w:szCs w:val="22"/>
          <w:lang w:bidi="es-CO"/>
        </w:rPr>
        <w:t xml:space="preserve">. </w:t>
      </w:r>
      <w:r w:rsidR="008A4E27" w:rsidRPr="00EB7D17">
        <w:rPr>
          <w:rFonts w:ascii="Arial" w:hAnsi="Arial" w:cs="Arial"/>
          <w:color w:val="000000" w:themeColor="text1"/>
          <w:sz w:val="22"/>
          <w:szCs w:val="22"/>
          <w:lang w:bidi="es-CO"/>
        </w:rPr>
        <w:t xml:space="preserve">Que el documento con la justificación jurídica y técnica de la presente resolución fue presentado para consideración de la CNCA y discutido en la reunión llevada a cabo el día </w:t>
      </w:r>
      <w:r w:rsidR="00EB7D17" w:rsidRPr="00EB7D17">
        <w:rPr>
          <w:rFonts w:ascii="Arial" w:hAnsi="Arial" w:cs="Arial"/>
          <w:color w:val="000000" w:themeColor="text1"/>
          <w:sz w:val="22"/>
          <w:szCs w:val="22"/>
          <w:lang w:bidi="es-CO"/>
        </w:rPr>
        <w:t>veinti</w:t>
      </w:r>
      <w:r w:rsidR="00EB7D17">
        <w:rPr>
          <w:rFonts w:ascii="Arial" w:hAnsi="Arial" w:cs="Arial"/>
          <w:color w:val="000000" w:themeColor="text1"/>
          <w:sz w:val="22"/>
          <w:szCs w:val="22"/>
          <w:lang w:bidi="es-CO"/>
        </w:rPr>
        <w:t>dós</w:t>
      </w:r>
      <w:r w:rsidR="008A4E27" w:rsidRPr="00EB7D17">
        <w:rPr>
          <w:rFonts w:ascii="Arial" w:hAnsi="Arial" w:cs="Arial"/>
          <w:color w:val="000000" w:themeColor="text1"/>
          <w:sz w:val="22"/>
          <w:szCs w:val="22"/>
          <w:lang w:bidi="es-CO"/>
        </w:rPr>
        <w:t xml:space="preserve"> (2</w:t>
      </w:r>
      <w:r w:rsidR="00EB7D17">
        <w:rPr>
          <w:rFonts w:ascii="Arial" w:hAnsi="Arial" w:cs="Arial"/>
          <w:color w:val="000000" w:themeColor="text1"/>
          <w:sz w:val="22"/>
          <w:szCs w:val="22"/>
          <w:lang w:bidi="es-CO"/>
        </w:rPr>
        <w:t>2</w:t>
      </w:r>
      <w:r w:rsidR="008A4E27" w:rsidRPr="00EB7D17">
        <w:rPr>
          <w:rFonts w:ascii="Arial" w:hAnsi="Arial" w:cs="Arial"/>
          <w:color w:val="000000" w:themeColor="text1"/>
          <w:sz w:val="22"/>
          <w:szCs w:val="22"/>
          <w:lang w:bidi="es-CO"/>
        </w:rPr>
        <w:t xml:space="preserve">) de </w:t>
      </w:r>
      <w:r w:rsidR="00EB7D17">
        <w:rPr>
          <w:rFonts w:ascii="Arial" w:hAnsi="Arial" w:cs="Arial"/>
          <w:color w:val="000000" w:themeColor="text1"/>
          <w:sz w:val="22"/>
          <w:szCs w:val="22"/>
          <w:lang w:bidi="es-CO"/>
        </w:rPr>
        <w:t>marzo</w:t>
      </w:r>
      <w:r w:rsidR="008A4E27" w:rsidRPr="00EB7D17">
        <w:rPr>
          <w:rFonts w:ascii="Arial" w:hAnsi="Arial" w:cs="Arial"/>
          <w:color w:val="000000" w:themeColor="text1"/>
          <w:sz w:val="22"/>
          <w:szCs w:val="22"/>
          <w:lang w:bidi="es-CO"/>
        </w:rPr>
        <w:t xml:space="preserve"> de dos mil diecinueve (2019).</w:t>
      </w:r>
    </w:p>
    <w:p w:rsidR="00714DC2" w:rsidRPr="00EB7D17" w:rsidRDefault="00714DC2">
      <w:pPr>
        <w:rPr>
          <w:color w:val="000000" w:themeColor="text1"/>
        </w:rPr>
      </w:pPr>
    </w:p>
    <w:p w:rsidR="00714DC2" w:rsidRPr="008825EF" w:rsidRDefault="00714DC2" w:rsidP="00714DC2">
      <w:pPr>
        <w:tabs>
          <w:tab w:val="left" w:pos="8503"/>
        </w:tabs>
        <w:ind w:right="-2"/>
        <w:jc w:val="both"/>
        <w:rPr>
          <w:rFonts w:ascii="Arial" w:hAnsi="Arial" w:cs="Arial"/>
          <w:color w:val="000000" w:themeColor="text1"/>
          <w:sz w:val="22"/>
          <w:szCs w:val="22"/>
          <w:lang w:bidi="es-CO"/>
        </w:rPr>
      </w:pPr>
      <w:bookmarkStart w:id="4" w:name="_GoBack"/>
      <w:bookmarkEnd w:id="4"/>
      <w:r w:rsidRPr="008825EF">
        <w:rPr>
          <w:rFonts w:ascii="Arial" w:hAnsi="Arial" w:cs="Arial"/>
          <w:color w:val="000000" w:themeColor="text1"/>
          <w:sz w:val="22"/>
          <w:szCs w:val="22"/>
          <w:lang w:bidi="es-CO"/>
        </w:rPr>
        <w:t>En mérito de lo anterior,</w:t>
      </w:r>
    </w:p>
    <w:p w:rsidR="00714DC2" w:rsidRPr="008825EF" w:rsidRDefault="00714DC2" w:rsidP="00714DC2">
      <w:pPr>
        <w:pStyle w:val="c5"/>
        <w:tabs>
          <w:tab w:val="left" w:pos="1479"/>
        </w:tabs>
        <w:spacing w:line="240" w:lineRule="auto"/>
        <w:rPr>
          <w:rFonts w:ascii="Arial" w:hAnsi="Arial" w:cs="Arial"/>
          <w:b/>
          <w:color w:val="000000" w:themeColor="text1"/>
          <w:sz w:val="22"/>
          <w:szCs w:val="22"/>
          <w:lang w:val="es-CO"/>
        </w:rPr>
      </w:pPr>
      <w:r w:rsidRPr="008825EF">
        <w:rPr>
          <w:rFonts w:ascii="Arial" w:hAnsi="Arial" w:cs="Arial"/>
          <w:b/>
          <w:color w:val="000000" w:themeColor="text1"/>
          <w:sz w:val="22"/>
          <w:szCs w:val="22"/>
          <w:lang w:val="es-CO"/>
        </w:rPr>
        <w:t>RESUELVE</w:t>
      </w:r>
    </w:p>
    <w:p w:rsidR="00714DC2" w:rsidRPr="008825EF" w:rsidRDefault="00714DC2" w:rsidP="002E79D8">
      <w:pPr>
        <w:pStyle w:val="p2"/>
        <w:spacing w:line="0" w:lineRule="atLeast"/>
        <w:ind w:left="0"/>
        <w:rPr>
          <w:rFonts w:ascii="Arial" w:hAnsi="Arial" w:cs="Arial"/>
          <w:color w:val="000000" w:themeColor="text1"/>
          <w:sz w:val="22"/>
          <w:szCs w:val="22"/>
          <w:lang w:val="es-CO"/>
        </w:rPr>
      </w:pPr>
    </w:p>
    <w:p w:rsidR="002E79D8" w:rsidRPr="008825EF" w:rsidRDefault="002E79D8" w:rsidP="002E79D8">
      <w:pPr>
        <w:rPr>
          <w:rFonts w:ascii="Arial" w:eastAsiaTheme="minorHAnsi" w:hAnsi="Arial" w:cs="Arial"/>
          <w:sz w:val="22"/>
          <w:szCs w:val="22"/>
          <w:lang w:eastAsia="en-US"/>
        </w:rPr>
      </w:pPr>
      <w:r w:rsidRPr="008825EF">
        <w:rPr>
          <w:rFonts w:ascii="Arial" w:eastAsia="Arial" w:hAnsi="Arial" w:cs="Arial"/>
          <w:b/>
          <w:sz w:val="22"/>
          <w:szCs w:val="22"/>
          <w:lang w:eastAsia="es-CO" w:bidi="es-CO"/>
        </w:rPr>
        <w:t xml:space="preserve">Artículo 1o. </w:t>
      </w:r>
      <w:r w:rsidRPr="008825EF">
        <w:rPr>
          <w:rFonts w:ascii="Arial" w:eastAsiaTheme="minorHAnsi" w:hAnsi="Arial" w:cs="Arial"/>
          <w:sz w:val="22"/>
          <w:szCs w:val="22"/>
          <w:lang w:eastAsia="en-US"/>
        </w:rPr>
        <w:t>Adici</w:t>
      </w:r>
      <w:r w:rsidR="006A57BD" w:rsidRPr="008825EF">
        <w:rPr>
          <w:rFonts w:ascii="Arial" w:eastAsiaTheme="minorHAnsi" w:hAnsi="Arial" w:cs="Arial"/>
          <w:sz w:val="22"/>
          <w:szCs w:val="22"/>
          <w:lang w:eastAsia="en-US"/>
        </w:rPr>
        <w:t>onar</w:t>
      </w:r>
      <w:r w:rsidRPr="008825EF">
        <w:rPr>
          <w:rFonts w:ascii="Arial" w:eastAsiaTheme="minorHAnsi" w:hAnsi="Arial" w:cs="Arial"/>
          <w:sz w:val="22"/>
          <w:szCs w:val="22"/>
          <w:lang w:eastAsia="en-US"/>
        </w:rPr>
        <w:t xml:space="preserve"> el siguiente literal al artículo 4o. de la Resolución 1 de 2016: </w:t>
      </w:r>
    </w:p>
    <w:p w:rsidR="002E79D8" w:rsidRPr="008825EF" w:rsidRDefault="002E79D8" w:rsidP="002E79D8">
      <w:pPr>
        <w:widowControl w:val="0"/>
        <w:tabs>
          <w:tab w:val="left" w:pos="284"/>
          <w:tab w:val="left" w:pos="426"/>
        </w:tabs>
        <w:autoSpaceDE w:val="0"/>
        <w:autoSpaceDN w:val="0"/>
        <w:spacing w:before="77" w:line="0" w:lineRule="atLeast"/>
        <w:ind w:right="81"/>
        <w:jc w:val="both"/>
        <w:rPr>
          <w:rFonts w:ascii="Arial" w:eastAsia="Arial" w:hAnsi="Arial" w:cs="Arial"/>
          <w:color w:val="000000" w:themeColor="text1"/>
          <w:sz w:val="22"/>
          <w:szCs w:val="22"/>
          <w:lang w:eastAsia="es-CO" w:bidi="es-CO"/>
        </w:rPr>
      </w:pPr>
      <w:r w:rsidRPr="008825EF">
        <w:rPr>
          <w:rFonts w:ascii="Arial" w:eastAsiaTheme="minorHAnsi" w:hAnsi="Arial" w:cs="Arial"/>
          <w:sz w:val="22"/>
          <w:szCs w:val="22"/>
          <w:lang w:eastAsia="en-US"/>
        </w:rPr>
        <w:t xml:space="preserve">“l) </w:t>
      </w:r>
      <w:r w:rsidRPr="008825EF">
        <w:rPr>
          <w:rFonts w:ascii="Arial" w:eastAsiaTheme="minorHAnsi" w:hAnsi="Arial" w:cs="Arial"/>
          <w:b/>
          <w:sz w:val="22"/>
          <w:szCs w:val="22"/>
          <w:lang w:eastAsia="en-US"/>
        </w:rPr>
        <w:t>Integrador Bursátil</w:t>
      </w:r>
      <w:r w:rsidR="003839FE" w:rsidRPr="008825EF">
        <w:rPr>
          <w:rFonts w:ascii="Arial" w:eastAsiaTheme="minorHAnsi" w:hAnsi="Arial" w:cs="Arial"/>
          <w:b/>
          <w:sz w:val="22"/>
          <w:szCs w:val="22"/>
          <w:lang w:eastAsia="en-US"/>
        </w:rPr>
        <w:t xml:space="preserve"> Comprador</w:t>
      </w:r>
      <w:r w:rsidRPr="008825EF">
        <w:rPr>
          <w:rFonts w:ascii="Arial" w:eastAsiaTheme="minorHAnsi" w:hAnsi="Arial" w:cs="Arial"/>
          <w:b/>
          <w:sz w:val="22"/>
          <w:szCs w:val="22"/>
          <w:lang w:eastAsia="en-US"/>
        </w:rPr>
        <w:t xml:space="preserve">. </w:t>
      </w:r>
      <w:bookmarkStart w:id="5" w:name="_Hlk1756629"/>
      <w:r w:rsidRPr="008825EF">
        <w:rPr>
          <w:rFonts w:ascii="Arial" w:eastAsiaTheme="minorHAnsi" w:hAnsi="Arial" w:cs="Arial"/>
          <w:sz w:val="22"/>
          <w:szCs w:val="22"/>
          <w:lang w:eastAsia="en-US"/>
        </w:rPr>
        <w:t>P</w:t>
      </w:r>
      <w:r w:rsidR="008A6B7A" w:rsidRPr="008825EF">
        <w:rPr>
          <w:rFonts w:ascii="Arial" w:eastAsia="Arial" w:hAnsi="Arial" w:cs="Arial"/>
          <w:sz w:val="22"/>
          <w:szCs w:val="22"/>
          <w:lang w:eastAsia="es-CO" w:bidi="es-CO"/>
        </w:rPr>
        <w:t xml:space="preserve">ersona natural o jurídica </w:t>
      </w:r>
      <w:r w:rsidRPr="008825EF">
        <w:rPr>
          <w:rFonts w:ascii="Arial" w:eastAsia="Arial" w:hAnsi="Arial" w:cs="Arial"/>
          <w:color w:val="000000" w:themeColor="text1"/>
          <w:sz w:val="22"/>
          <w:szCs w:val="22"/>
          <w:lang w:eastAsia="es-CO" w:bidi="es-CO"/>
        </w:rPr>
        <w:t xml:space="preserve">que participe en operaciones Forward con anticipo, en calidad </w:t>
      </w:r>
      <w:r w:rsidR="0082454F" w:rsidRPr="008825EF">
        <w:rPr>
          <w:rFonts w:ascii="Arial" w:eastAsia="Arial" w:hAnsi="Arial" w:cs="Arial"/>
          <w:color w:val="000000" w:themeColor="text1"/>
          <w:sz w:val="22"/>
          <w:szCs w:val="22"/>
          <w:lang w:eastAsia="es-CO" w:bidi="es-CO"/>
        </w:rPr>
        <w:t xml:space="preserve">de </w:t>
      </w:r>
      <w:r w:rsidRPr="008825EF">
        <w:rPr>
          <w:rFonts w:ascii="Arial" w:eastAsia="Arial" w:hAnsi="Arial" w:cs="Arial"/>
          <w:color w:val="000000" w:themeColor="text1"/>
          <w:sz w:val="22"/>
          <w:szCs w:val="22"/>
          <w:lang w:eastAsia="es-CO" w:bidi="es-CO"/>
        </w:rPr>
        <w:t>comprador de productos agropecuarios, agroindustriales, pesqueros</w:t>
      </w:r>
      <w:r w:rsidR="000E4CC6" w:rsidRPr="008825EF">
        <w:rPr>
          <w:rFonts w:ascii="Arial" w:eastAsia="Arial" w:hAnsi="Arial" w:cs="Arial"/>
          <w:color w:val="000000" w:themeColor="text1"/>
          <w:sz w:val="22"/>
          <w:szCs w:val="22"/>
          <w:lang w:eastAsia="es-CO" w:bidi="es-CO"/>
        </w:rPr>
        <w:t>, piscícolas</w:t>
      </w:r>
      <w:r w:rsidRPr="008825EF">
        <w:rPr>
          <w:rFonts w:ascii="Arial" w:eastAsia="Arial" w:hAnsi="Arial" w:cs="Arial"/>
          <w:color w:val="000000" w:themeColor="text1"/>
          <w:sz w:val="22"/>
          <w:szCs w:val="22"/>
          <w:lang w:eastAsia="es-CO" w:bidi="es-CO"/>
        </w:rPr>
        <w:t xml:space="preserve"> y</w:t>
      </w:r>
      <w:r w:rsidR="009764F5" w:rsidRPr="008825EF">
        <w:rPr>
          <w:rFonts w:ascii="Arial" w:eastAsia="Arial" w:hAnsi="Arial" w:cs="Arial"/>
          <w:color w:val="000000" w:themeColor="text1"/>
          <w:sz w:val="22"/>
          <w:szCs w:val="22"/>
          <w:lang w:eastAsia="es-CO" w:bidi="es-CO"/>
        </w:rPr>
        <w:t>/o</w:t>
      </w:r>
      <w:r w:rsidRPr="008825EF">
        <w:rPr>
          <w:rFonts w:ascii="Arial" w:eastAsia="Arial" w:hAnsi="Arial" w:cs="Arial"/>
          <w:color w:val="000000" w:themeColor="text1"/>
          <w:sz w:val="22"/>
          <w:szCs w:val="22"/>
          <w:lang w:eastAsia="es-CO" w:bidi="es-CO"/>
        </w:rPr>
        <w:t xml:space="preserve"> forestales que se realicen en </w:t>
      </w:r>
      <w:r w:rsidRPr="008825EF">
        <w:rPr>
          <w:rFonts w:ascii="Arial" w:hAnsi="Arial" w:cs="Arial"/>
          <w:sz w:val="22"/>
          <w:szCs w:val="22"/>
        </w:rPr>
        <w:t xml:space="preserve">las </w:t>
      </w:r>
      <w:r w:rsidRPr="008825EF">
        <w:rPr>
          <w:rFonts w:ascii="Arial" w:hAnsi="Arial" w:cs="Arial"/>
          <w:bCs/>
          <w:sz w:val="22"/>
          <w:szCs w:val="22"/>
        </w:rPr>
        <w:t xml:space="preserve">Bolsas de Bienes y Productos Agropecuarios, Agroindustriales </w:t>
      </w:r>
      <w:r w:rsidR="00D936DE" w:rsidRPr="008825EF">
        <w:rPr>
          <w:rFonts w:ascii="Arial" w:hAnsi="Arial" w:cs="Arial"/>
          <w:bCs/>
          <w:sz w:val="22"/>
          <w:szCs w:val="22"/>
        </w:rPr>
        <w:t>o</w:t>
      </w:r>
      <w:r w:rsidRPr="008825EF">
        <w:rPr>
          <w:rFonts w:ascii="Arial" w:hAnsi="Arial" w:cs="Arial"/>
          <w:bCs/>
          <w:sz w:val="22"/>
          <w:szCs w:val="22"/>
        </w:rPr>
        <w:t xml:space="preserve"> de otros Commodities</w:t>
      </w:r>
      <w:bookmarkEnd w:id="5"/>
      <w:r w:rsidRPr="008825EF">
        <w:rPr>
          <w:rFonts w:ascii="Arial" w:eastAsia="Arial" w:hAnsi="Arial" w:cs="Arial"/>
          <w:color w:val="000000" w:themeColor="text1"/>
          <w:sz w:val="22"/>
          <w:szCs w:val="22"/>
          <w:lang w:eastAsia="es-CO" w:bidi="es-CO"/>
        </w:rPr>
        <w:t>.</w:t>
      </w:r>
    </w:p>
    <w:p w:rsidR="00D221AC" w:rsidRPr="008825EF" w:rsidRDefault="00D221AC" w:rsidP="00D221AC">
      <w:pPr>
        <w:spacing w:line="259" w:lineRule="auto"/>
        <w:jc w:val="both"/>
        <w:rPr>
          <w:rFonts w:ascii="Arial" w:eastAsiaTheme="minorHAnsi" w:hAnsi="Arial" w:cs="Arial"/>
          <w:b/>
          <w:sz w:val="22"/>
          <w:szCs w:val="22"/>
          <w:lang w:eastAsia="en-US"/>
        </w:rPr>
      </w:pPr>
    </w:p>
    <w:p w:rsidR="00CC25B0" w:rsidRPr="008825EF" w:rsidRDefault="002E79D8" w:rsidP="00D221AC">
      <w:pPr>
        <w:spacing w:line="259" w:lineRule="auto"/>
        <w:jc w:val="both"/>
        <w:rPr>
          <w:rFonts w:ascii="Arial" w:eastAsiaTheme="minorHAnsi" w:hAnsi="Arial" w:cs="Arial"/>
          <w:sz w:val="22"/>
          <w:szCs w:val="22"/>
          <w:lang w:eastAsia="en-US"/>
        </w:rPr>
      </w:pPr>
      <w:r w:rsidRPr="008825EF">
        <w:rPr>
          <w:rFonts w:ascii="Arial" w:eastAsiaTheme="minorHAnsi" w:hAnsi="Arial" w:cs="Arial"/>
          <w:b/>
          <w:sz w:val="22"/>
          <w:szCs w:val="22"/>
          <w:lang w:eastAsia="en-US"/>
        </w:rPr>
        <w:t xml:space="preserve">Artículo </w:t>
      </w:r>
      <w:r w:rsidR="00CD601B" w:rsidRPr="008825EF">
        <w:rPr>
          <w:rFonts w:ascii="Arial" w:eastAsiaTheme="minorHAnsi" w:hAnsi="Arial" w:cs="Arial"/>
          <w:b/>
          <w:sz w:val="22"/>
          <w:szCs w:val="22"/>
          <w:lang w:eastAsia="en-US"/>
        </w:rPr>
        <w:t>2</w:t>
      </w:r>
      <w:r w:rsidRPr="008825EF">
        <w:rPr>
          <w:rFonts w:ascii="Arial" w:eastAsiaTheme="minorHAnsi" w:hAnsi="Arial" w:cs="Arial"/>
          <w:b/>
          <w:sz w:val="22"/>
          <w:szCs w:val="22"/>
          <w:lang w:eastAsia="en-US"/>
        </w:rPr>
        <w:t xml:space="preserve">o. </w:t>
      </w:r>
      <w:r w:rsidR="00CC25B0" w:rsidRPr="008825EF">
        <w:rPr>
          <w:rFonts w:ascii="Arial" w:eastAsiaTheme="minorHAnsi" w:hAnsi="Arial" w:cs="Arial"/>
          <w:sz w:val="22"/>
          <w:szCs w:val="22"/>
          <w:lang w:eastAsia="en-US"/>
        </w:rPr>
        <w:t>Adicionar</w:t>
      </w:r>
      <w:r w:rsidRPr="008825EF">
        <w:rPr>
          <w:rFonts w:ascii="Arial" w:eastAsiaTheme="minorHAnsi" w:hAnsi="Arial" w:cs="Arial"/>
          <w:sz w:val="22"/>
          <w:szCs w:val="22"/>
          <w:lang w:eastAsia="en-US"/>
        </w:rPr>
        <w:t xml:space="preserve"> </w:t>
      </w:r>
      <w:r w:rsidR="005D3724" w:rsidRPr="008825EF">
        <w:rPr>
          <w:rFonts w:ascii="Arial" w:eastAsiaTheme="minorHAnsi" w:hAnsi="Arial" w:cs="Arial"/>
          <w:sz w:val="22"/>
          <w:szCs w:val="22"/>
          <w:lang w:eastAsia="en-US"/>
        </w:rPr>
        <w:t xml:space="preserve">a </w:t>
      </w:r>
      <w:r w:rsidRPr="008825EF">
        <w:rPr>
          <w:rFonts w:ascii="Arial" w:eastAsiaTheme="minorHAnsi" w:hAnsi="Arial" w:cs="Arial"/>
          <w:sz w:val="22"/>
          <w:szCs w:val="22"/>
          <w:lang w:eastAsia="en-US"/>
        </w:rPr>
        <w:t>la</w:t>
      </w:r>
      <w:r w:rsidR="005D3724" w:rsidRPr="008825EF">
        <w:rPr>
          <w:rFonts w:ascii="Arial" w:eastAsiaTheme="minorHAnsi" w:hAnsi="Arial" w:cs="Arial"/>
          <w:sz w:val="22"/>
          <w:szCs w:val="22"/>
          <w:lang w:eastAsia="en-US"/>
        </w:rPr>
        <w:t>s</w:t>
      </w:r>
      <w:r w:rsidRPr="008825EF">
        <w:rPr>
          <w:rFonts w:ascii="Arial" w:eastAsiaTheme="minorHAnsi" w:hAnsi="Arial" w:cs="Arial"/>
          <w:sz w:val="22"/>
          <w:szCs w:val="22"/>
          <w:lang w:eastAsia="en-US"/>
        </w:rPr>
        <w:t xml:space="preserve"> tabla</w:t>
      </w:r>
      <w:r w:rsidR="005D3724" w:rsidRPr="008825EF">
        <w:rPr>
          <w:rFonts w:ascii="Arial" w:eastAsiaTheme="minorHAnsi" w:hAnsi="Arial" w:cs="Arial"/>
          <w:sz w:val="22"/>
          <w:szCs w:val="22"/>
          <w:lang w:eastAsia="en-US"/>
        </w:rPr>
        <w:t>s</w:t>
      </w:r>
      <w:r w:rsidRPr="008825EF">
        <w:rPr>
          <w:rFonts w:ascii="Arial" w:eastAsiaTheme="minorHAnsi" w:hAnsi="Arial" w:cs="Arial"/>
          <w:sz w:val="22"/>
          <w:szCs w:val="22"/>
          <w:lang w:eastAsia="en-US"/>
        </w:rPr>
        <w:t xml:space="preserve"> que contiene</w:t>
      </w:r>
      <w:r w:rsidR="00A06190" w:rsidRPr="008825EF">
        <w:rPr>
          <w:rFonts w:ascii="Arial" w:eastAsiaTheme="minorHAnsi" w:hAnsi="Arial" w:cs="Arial"/>
          <w:sz w:val="22"/>
          <w:szCs w:val="22"/>
          <w:lang w:eastAsia="en-US"/>
        </w:rPr>
        <w:t>n</w:t>
      </w:r>
      <w:r w:rsidRPr="008825EF">
        <w:rPr>
          <w:rFonts w:ascii="Arial" w:eastAsiaTheme="minorHAnsi" w:hAnsi="Arial" w:cs="Arial"/>
          <w:sz w:val="22"/>
          <w:szCs w:val="22"/>
          <w:lang w:eastAsia="en-US"/>
        </w:rPr>
        <w:t xml:space="preserve"> las condiciones financieras de los créditos</w:t>
      </w:r>
      <w:r w:rsidR="005D3724" w:rsidRPr="008825EF">
        <w:rPr>
          <w:rFonts w:ascii="Arial" w:eastAsiaTheme="minorHAnsi" w:hAnsi="Arial" w:cs="Arial"/>
          <w:sz w:val="22"/>
          <w:szCs w:val="22"/>
          <w:lang w:eastAsia="en-US"/>
        </w:rPr>
        <w:t xml:space="preserve"> en DTF e IBR,</w:t>
      </w:r>
      <w:r w:rsidRPr="008825EF">
        <w:rPr>
          <w:rFonts w:ascii="Arial" w:eastAsiaTheme="minorHAnsi" w:hAnsi="Arial" w:cs="Arial"/>
          <w:sz w:val="22"/>
          <w:szCs w:val="22"/>
          <w:lang w:eastAsia="en-US"/>
        </w:rPr>
        <w:t xml:space="preserve"> contemplada</w:t>
      </w:r>
      <w:r w:rsidR="005D3724" w:rsidRPr="008825EF">
        <w:rPr>
          <w:rFonts w:ascii="Arial" w:eastAsiaTheme="minorHAnsi" w:hAnsi="Arial" w:cs="Arial"/>
          <w:sz w:val="22"/>
          <w:szCs w:val="22"/>
          <w:lang w:eastAsia="en-US"/>
        </w:rPr>
        <w:t>s</w:t>
      </w:r>
      <w:r w:rsidRPr="008825EF">
        <w:rPr>
          <w:rFonts w:ascii="Arial" w:eastAsiaTheme="minorHAnsi" w:hAnsi="Arial" w:cs="Arial"/>
          <w:sz w:val="22"/>
          <w:szCs w:val="22"/>
          <w:lang w:eastAsia="en-US"/>
        </w:rPr>
        <w:t xml:space="preserve"> en el artículo 5 de la Resolución 1 de 2016, </w:t>
      </w:r>
      <w:r w:rsidR="00CC25B0" w:rsidRPr="008825EF">
        <w:rPr>
          <w:rFonts w:ascii="Arial" w:eastAsiaTheme="minorHAnsi" w:hAnsi="Arial" w:cs="Arial"/>
          <w:sz w:val="22"/>
          <w:szCs w:val="22"/>
          <w:lang w:eastAsia="en-US"/>
        </w:rPr>
        <w:t>con la</w:t>
      </w:r>
      <w:r w:rsidR="005D3724" w:rsidRPr="008825EF">
        <w:rPr>
          <w:rFonts w:ascii="Arial" w:eastAsiaTheme="minorHAnsi" w:hAnsi="Arial" w:cs="Arial"/>
          <w:sz w:val="22"/>
          <w:szCs w:val="22"/>
          <w:lang w:eastAsia="en-US"/>
        </w:rPr>
        <w:t>s</w:t>
      </w:r>
      <w:r w:rsidR="00CC25B0" w:rsidRPr="008825EF">
        <w:rPr>
          <w:rFonts w:ascii="Arial" w:eastAsiaTheme="minorHAnsi" w:hAnsi="Arial" w:cs="Arial"/>
          <w:sz w:val="22"/>
          <w:szCs w:val="22"/>
          <w:lang w:eastAsia="en-US"/>
        </w:rPr>
        <w:t xml:space="preserve"> siguiente</w:t>
      </w:r>
      <w:r w:rsidR="005D3724" w:rsidRPr="008825EF">
        <w:rPr>
          <w:rFonts w:ascii="Arial" w:eastAsiaTheme="minorHAnsi" w:hAnsi="Arial" w:cs="Arial"/>
          <w:sz w:val="22"/>
          <w:szCs w:val="22"/>
          <w:lang w:eastAsia="en-US"/>
        </w:rPr>
        <w:t>s</w:t>
      </w:r>
      <w:r w:rsidR="00CC25B0" w:rsidRPr="008825EF">
        <w:rPr>
          <w:rFonts w:ascii="Arial" w:eastAsiaTheme="minorHAnsi" w:hAnsi="Arial" w:cs="Arial"/>
          <w:sz w:val="22"/>
          <w:szCs w:val="22"/>
          <w:lang w:eastAsia="en-US"/>
        </w:rPr>
        <w:t xml:space="preserve"> fila</w:t>
      </w:r>
      <w:r w:rsidR="005D3724" w:rsidRPr="008825EF">
        <w:rPr>
          <w:rFonts w:ascii="Arial" w:eastAsiaTheme="minorHAnsi" w:hAnsi="Arial" w:cs="Arial"/>
          <w:sz w:val="22"/>
          <w:szCs w:val="22"/>
          <w:lang w:eastAsia="en-US"/>
        </w:rPr>
        <w:t>s</w:t>
      </w:r>
      <w:r w:rsidR="00CC25B0" w:rsidRPr="008825EF">
        <w:rPr>
          <w:rFonts w:ascii="Arial" w:eastAsiaTheme="minorHAnsi" w:hAnsi="Arial" w:cs="Arial"/>
          <w:sz w:val="22"/>
          <w:szCs w:val="22"/>
          <w:lang w:eastAsia="en-US"/>
        </w:rPr>
        <w:t>:</w:t>
      </w:r>
    </w:p>
    <w:p w:rsidR="00D221AC" w:rsidRPr="008825EF" w:rsidRDefault="00D221AC" w:rsidP="00D221AC">
      <w:pPr>
        <w:spacing w:line="259" w:lineRule="auto"/>
        <w:jc w:val="both"/>
        <w:rPr>
          <w:rFonts w:ascii="Arial" w:eastAsiaTheme="minorHAnsi" w:hAnsi="Arial" w:cs="Arial"/>
          <w:sz w:val="22"/>
          <w:szCs w:val="22"/>
          <w:lang w:eastAsia="en-US"/>
        </w:rPr>
      </w:pPr>
    </w:p>
    <w:p w:rsidR="00D221AC" w:rsidRPr="008825EF" w:rsidRDefault="00D221AC" w:rsidP="00D221AC">
      <w:pPr>
        <w:spacing w:line="259" w:lineRule="auto"/>
        <w:jc w:val="both"/>
        <w:rPr>
          <w:rFonts w:ascii="Arial" w:eastAsiaTheme="minorHAnsi" w:hAnsi="Arial" w:cs="Arial"/>
          <w:sz w:val="22"/>
          <w:szCs w:val="22"/>
          <w:lang w:eastAsia="en-US"/>
        </w:rPr>
      </w:pPr>
    </w:p>
    <w:p w:rsidR="005D3724" w:rsidRPr="008825EF" w:rsidRDefault="005D3724" w:rsidP="002E79D8">
      <w:pPr>
        <w:spacing w:after="160" w:line="259" w:lineRule="auto"/>
        <w:jc w:val="both"/>
        <w:rPr>
          <w:rFonts w:ascii="Arial" w:eastAsiaTheme="minorHAnsi" w:hAnsi="Arial" w:cs="Arial"/>
          <w:sz w:val="22"/>
          <w:szCs w:val="22"/>
          <w:lang w:eastAsia="en-US"/>
        </w:rPr>
      </w:pPr>
      <w:r w:rsidRPr="008825EF">
        <w:rPr>
          <w:rFonts w:ascii="Arial" w:eastAsiaTheme="minorHAnsi" w:hAnsi="Arial" w:cs="Arial"/>
          <w:sz w:val="22"/>
          <w:szCs w:val="22"/>
          <w:lang w:eastAsia="en-US"/>
        </w:rPr>
        <w:lastRenderedPageBreak/>
        <w:t>a). Condiciones financieras en DTF</w:t>
      </w:r>
    </w:p>
    <w:tbl>
      <w:tblPr>
        <w:tblW w:w="7427" w:type="dxa"/>
        <w:jc w:val="center"/>
        <w:tblCellMar>
          <w:left w:w="0" w:type="dxa"/>
          <w:right w:w="0" w:type="dxa"/>
        </w:tblCellMar>
        <w:tblLook w:val="04A0" w:firstRow="1" w:lastRow="0" w:firstColumn="1" w:lastColumn="0" w:noHBand="0" w:noVBand="1"/>
      </w:tblPr>
      <w:tblGrid>
        <w:gridCol w:w="2603"/>
        <w:gridCol w:w="2680"/>
        <w:gridCol w:w="2144"/>
      </w:tblGrid>
      <w:tr w:rsidR="002E79D8" w:rsidRPr="008825EF" w:rsidTr="00E5340C">
        <w:trPr>
          <w:tblHeader/>
          <w:jc w:val="center"/>
        </w:trPr>
        <w:tc>
          <w:tcPr>
            <w:tcW w:w="26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79D8" w:rsidRPr="008825EF" w:rsidRDefault="002E79D8" w:rsidP="009937F9">
            <w:pPr>
              <w:jc w:val="center"/>
              <w:rPr>
                <w:rFonts w:ascii="Arial" w:eastAsiaTheme="minorHAnsi" w:hAnsi="Arial" w:cs="Arial"/>
                <w:b/>
                <w:sz w:val="18"/>
                <w:szCs w:val="18"/>
                <w:lang w:eastAsia="en-US"/>
              </w:rPr>
            </w:pPr>
            <w:r w:rsidRPr="008825EF">
              <w:rPr>
                <w:rFonts w:ascii="Arial" w:eastAsiaTheme="minorHAnsi" w:hAnsi="Arial" w:cs="Arial"/>
                <w:b/>
                <w:sz w:val="18"/>
                <w:szCs w:val="18"/>
                <w:lang w:eastAsia="en-US"/>
              </w:rPr>
              <w:t xml:space="preserve">TIPO DE PRODUCTOR </w:t>
            </w:r>
          </w:p>
        </w:tc>
        <w:tc>
          <w:tcPr>
            <w:tcW w:w="2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79D8" w:rsidRPr="008825EF" w:rsidRDefault="002E79D8" w:rsidP="009937F9">
            <w:pPr>
              <w:jc w:val="center"/>
              <w:rPr>
                <w:rFonts w:ascii="Arial" w:eastAsiaTheme="minorHAnsi" w:hAnsi="Arial" w:cs="Arial"/>
                <w:b/>
                <w:sz w:val="18"/>
                <w:szCs w:val="18"/>
                <w:lang w:eastAsia="en-US"/>
              </w:rPr>
            </w:pPr>
            <w:r w:rsidRPr="008825EF">
              <w:rPr>
                <w:rFonts w:ascii="Arial" w:eastAsiaTheme="minorHAnsi" w:hAnsi="Arial" w:cs="Arial"/>
                <w:b/>
                <w:sz w:val="18"/>
                <w:szCs w:val="18"/>
                <w:lang w:eastAsia="en-US"/>
              </w:rPr>
              <w:t>TASA DE REDESCUENTO</w:t>
            </w:r>
          </w:p>
        </w:tc>
        <w:tc>
          <w:tcPr>
            <w:tcW w:w="2144" w:type="dxa"/>
            <w:tcBorders>
              <w:top w:val="single" w:sz="8" w:space="0" w:color="auto"/>
              <w:left w:val="nil"/>
              <w:bottom w:val="single" w:sz="8" w:space="0" w:color="auto"/>
              <w:right w:val="single" w:sz="8" w:space="0" w:color="auto"/>
            </w:tcBorders>
            <w:vAlign w:val="center"/>
          </w:tcPr>
          <w:p w:rsidR="002E79D8" w:rsidRPr="008825EF" w:rsidRDefault="002E79D8" w:rsidP="009937F9">
            <w:pPr>
              <w:jc w:val="center"/>
              <w:rPr>
                <w:rFonts w:ascii="Arial" w:eastAsiaTheme="minorHAnsi" w:hAnsi="Arial" w:cs="Arial"/>
                <w:b/>
                <w:sz w:val="18"/>
                <w:szCs w:val="18"/>
                <w:lang w:eastAsia="en-US"/>
              </w:rPr>
            </w:pPr>
            <w:r w:rsidRPr="008825EF">
              <w:rPr>
                <w:rFonts w:ascii="Arial" w:eastAsiaTheme="minorHAnsi" w:hAnsi="Arial" w:cs="Arial"/>
                <w:b/>
                <w:sz w:val="18"/>
                <w:szCs w:val="18"/>
                <w:lang w:eastAsia="en-US"/>
              </w:rPr>
              <w:t>TASA DE INTERÉS</w:t>
            </w:r>
          </w:p>
        </w:tc>
      </w:tr>
      <w:tr w:rsidR="00CC25B0" w:rsidRPr="008825EF" w:rsidTr="005D3724">
        <w:trPr>
          <w:trHeight w:val="336"/>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5B0" w:rsidRPr="008825EF" w:rsidRDefault="00CC25B0" w:rsidP="009937F9">
            <w:pPr>
              <w:rPr>
                <w:rFonts w:ascii="Arial" w:eastAsiaTheme="minorHAnsi" w:hAnsi="Arial" w:cs="Arial"/>
                <w:sz w:val="18"/>
                <w:szCs w:val="18"/>
                <w:lang w:eastAsia="en-US"/>
              </w:rPr>
            </w:pPr>
            <w:r w:rsidRPr="008825EF">
              <w:rPr>
                <w:rFonts w:ascii="Arial" w:eastAsiaTheme="minorHAnsi" w:hAnsi="Arial" w:cs="Arial"/>
                <w:sz w:val="18"/>
                <w:szCs w:val="18"/>
                <w:lang w:eastAsia="en-US"/>
              </w:rPr>
              <w:t>Integrador Bursátil Comprador</w:t>
            </w:r>
          </w:p>
        </w:tc>
        <w:tc>
          <w:tcPr>
            <w:tcW w:w="2680" w:type="dxa"/>
            <w:tcBorders>
              <w:top w:val="nil"/>
              <w:left w:val="nil"/>
              <w:bottom w:val="single" w:sz="8" w:space="0" w:color="auto"/>
              <w:right w:val="single" w:sz="8" w:space="0" w:color="auto"/>
            </w:tcBorders>
            <w:tcMar>
              <w:top w:w="0" w:type="dxa"/>
              <w:left w:w="108" w:type="dxa"/>
              <w:bottom w:w="0" w:type="dxa"/>
              <w:right w:w="108" w:type="dxa"/>
            </w:tcMar>
            <w:vAlign w:val="center"/>
          </w:tcPr>
          <w:p w:rsidR="00CC25B0" w:rsidRPr="008825EF" w:rsidRDefault="00CC25B0" w:rsidP="009937F9">
            <w:pPr>
              <w:rPr>
                <w:rFonts w:ascii="Arial" w:eastAsiaTheme="minorHAnsi" w:hAnsi="Arial" w:cs="Arial"/>
                <w:sz w:val="18"/>
                <w:szCs w:val="18"/>
                <w:lang w:eastAsia="en-US"/>
              </w:rPr>
            </w:pPr>
            <w:r w:rsidRPr="008825EF">
              <w:rPr>
                <w:rFonts w:ascii="Arial" w:eastAsiaTheme="minorHAnsi" w:hAnsi="Arial" w:cs="Arial"/>
                <w:sz w:val="18"/>
                <w:szCs w:val="18"/>
                <w:lang w:eastAsia="en-US"/>
              </w:rPr>
              <w:t>DTF</w:t>
            </w:r>
            <w:r w:rsidR="005D3724" w:rsidRPr="008825EF">
              <w:rPr>
                <w:rFonts w:ascii="Arial" w:eastAsiaTheme="minorHAnsi" w:hAnsi="Arial" w:cs="Arial"/>
                <w:sz w:val="18"/>
                <w:szCs w:val="18"/>
                <w:lang w:eastAsia="en-US"/>
              </w:rPr>
              <w:t xml:space="preserve"> </w:t>
            </w:r>
            <w:r w:rsidRPr="008825EF">
              <w:rPr>
                <w:rFonts w:ascii="Arial" w:eastAsiaTheme="minorHAnsi" w:hAnsi="Arial" w:cs="Arial"/>
                <w:sz w:val="18"/>
                <w:szCs w:val="18"/>
                <w:lang w:eastAsia="en-US"/>
              </w:rPr>
              <w:t>-</w:t>
            </w:r>
            <w:r w:rsidR="005D3724" w:rsidRPr="008825EF">
              <w:rPr>
                <w:rFonts w:ascii="Arial" w:eastAsiaTheme="minorHAnsi" w:hAnsi="Arial" w:cs="Arial"/>
                <w:sz w:val="18"/>
                <w:szCs w:val="18"/>
                <w:lang w:eastAsia="en-US"/>
              </w:rPr>
              <w:t xml:space="preserve"> </w:t>
            </w:r>
            <w:r w:rsidRPr="008825EF">
              <w:rPr>
                <w:rFonts w:ascii="Arial" w:eastAsiaTheme="minorHAnsi" w:hAnsi="Arial" w:cs="Arial"/>
                <w:sz w:val="18"/>
                <w:szCs w:val="18"/>
                <w:lang w:eastAsia="en-US"/>
              </w:rPr>
              <w:t xml:space="preserve">1% </w:t>
            </w:r>
            <w:proofErr w:type="spellStart"/>
            <w:r w:rsidRPr="008825EF">
              <w:rPr>
                <w:rFonts w:ascii="Arial" w:eastAsiaTheme="minorHAnsi" w:hAnsi="Arial" w:cs="Arial"/>
                <w:sz w:val="18"/>
                <w:szCs w:val="18"/>
                <w:lang w:eastAsia="en-US"/>
              </w:rPr>
              <w:t>e.a</w:t>
            </w:r>
            <w:proofErr w:type="spellEnd"/>
            <w:r w:rsidRPr="008825EF">
              <w:rPr>
                <w:rFonts w:ascii="Arial" w:eastAsiaTheme="minorHAnsi" w:hAnsi="Arial" w:cs="Arial"/>
                <w:sz w:val="18"/>
                <w:szCs w:val="18"/>
                <w:lang w:eastAsia="en-US"/>
              </w:rPr>
              <w:t>.</w:t>
            </w:r>
          </w:p>
        </w:tc>
        <w:tc>
          <w:tcPr>
            <w:tcW w:w="2144" w:type="dxa"/>
            <w:tcBorders>
              <w:top w:val="nil"/>
              <w:left w:val="nil"/>
              <w:bottom w:val="single" w:sz="8" w:space="0" w:color="auto"/>
              <w:right w:val="single" w:sz="8" w:space="0" w:color="auto"/>
            </w:tcBorders>
            <w:vAlign w:val="center"/>
          </w:tcPr>
          <w:p w:rsidR="00CC25B0" w:rsidRPr="008825EF" w:rsidRDefault="00CC25B0" w:rsidP="009937F9">
            <w:pPr>
              <w:rPr>
                <w:rFonts w:ascii="Arial" w:eastAsiaTheme="minorHAnsi" w:hAnsi="Arial" w:cs="Arial"/>
                <w:sz w:val="18"/>
                <w:szCs w:val="18"/>
                <w:lang w:eastAsia="en-US"/>
              </w:rPr>
            </w:pPr>
            <w:r w:rsidRPr="008825EF">
              <w:rPr>
                <w:rFonts w:ascii="Arial" w:eastAsiaTheme="minorHAnsi" w:hAnsi="Arial" w:cs="Arial"/>
                <w:sz w:val="18"/>
                <w:szCs w:val="18"/>
                <w:lang w:eastAsia="en-US"/>
              </w:rPr>
              <w:t>Hasta DTF</w:t>
            </w:r>
            <w:r w:rsidR="005D3724" w:rsidRPr="008825EF">
              <w:rPr>
                <w:rFonts w:ascii="Arial" w:eastAsiaTheme="minorHAnsi" w:hAnsi="Arial" w:cs="Arial"/>
                <w:sz w:val="18"/>
                <w:szCs w:val="18"/>
                <w:lang w:eastAsia="en-US"/>
              </w:rPr>
              <w:t xml:space="preserve"> </w:t>
            </w:r>
            <w:r w:rsidRPr="008825EF">
              <w:rPr>
                <w:rFonts w:ascii="Arial" w:eastAsiaTheme="minorHAnsi" w:hAnsi="Arial" w:cs="Arial"/>
                <w:sz w:val="18"/>
                <w:szCs w:val="18"/>
                <w:lang w:eastAsia="en-US"/>
              </w:rPr>
              <w:t>+</w:t>
            </w:r>
            <w:r w:rsidR="005D3724" w:rsidRPr="008825EF">
              <w:rPr>
                <w:rFonts w:ascii="Arial" w:eastAsiaTheme="minorHAnsi" w:hAnsi="Arial" w:cs="Arial"/>
                <w:sz w:val="18"/>
                <w:szCs w:val="18"/>
                <w:lang w:eastAsia="en-US"/>
              </w:rPr>
              <w:t xml:space="preserve"> </w:t>
            </w:r>
            <w:r w:rsidRPr="008825EF">
              <w:rPr>
                <w:rFonts w:ascii="Arial" w:eastAsiaTheme="minorHAnsi" w:hAnsi="Arial" w:cs="Arial"/>
                <w:sz w:val="18"/>
                <w:szCs w:val="18"/>
                <w:lang w:eastAsia="en-US"/>
              </w:rPr>
              <w:t xml:space="preserve">7% </w:t>
            </w:r>
            <w:proofErr w:type="spellStart"/>
            <w:proofErr w:type="gramStart"/>
            <w:r w:rsidRPr="008825EF">
              <w:rPr>
                <w:rFonts w:ascii="Arial" w:eastAsiaTheme="minorHAnsi" w:hAnsi="Arial" w:cs="Arial"/>
                <w:sz w:val="18"/>
                <w:szCs w:val="18"/>
                <w:lang w:eastAsia="en-US"/>
              </w:rPr>
              <w:t>e.a</w:t>
            </w:r>
            <w:proofErr w:type="spellEnd"/>
            <w:proofErr w:type="gramEnd"/>
          </w:p>
        </w:tc>
      </w:tr>
    </w:tbl>
    <w:p w:rsidR="005D3724" w:rsidRPr="008825EF" w:rsidRDefault="005D3724" w:rsidP="002E79D8">
      <w:pPr>
        <w:spacing w:after="160" w:line="0" w:lineRule="atLeast"/>
        <w:jc w:val="both"/>
        <w:outlineLvl w:val="0"/>
        <w:rPr>
          <w:rFonts w:ascii="Arial" w:eastAsiaTheme="minorHAnsi" w:hAnsi="Arial" w:cs="Arial"/>
          <w:sz w:val="22"/>
          <w:szCs w:val="22"/>
          <w:lang w:eastAsia="es-ES"/>
        </w:rPr>
      </w:pPr>
    </w:p>
    <w:p w:rsidR="005D3724" w:rsidRPr="008825EF" w:rsidRDefault="005D3724" w:rsidP="005D3724">
      <w:pPr>
        <w:spacing w:after="160" w:line="259" w:lineRule="auto"/>
        <w:jc w:val="both"/>
        <w:rPr>
          <w:rFonts w:ascii="Arial" w:eastAsiaTheme="minorHAnsi" w:hAnsi="Arial" w:cs="Arial"/>
          <w:sz w:val="22"/>
          <w:szCs w:val="22"/>
          <w:lang w:eastAsia="en-US"/>
        </w:rPr>
      </w:pPr>
      <w:r w:rsidRPr="008825EF">
        <w:rPr>
          <w:rFonts w:ascii="Arial" w:eastAsiaTheme="minorHAnsi" w:hAnsi="Arial" w:cs="Arial"/>
          <w:sz w:val="22"/>
          <w:szCs w:val="22"/>
          <w:lang w:eastAsia="en-US"/>
        </w:rPr>
        <w:t>a). Condiciones financieras en IBR</w:t>
      </w:r>
    </w:p>
    <w:tbl>
      <w:tblPr>
        <w:tblW w:w="7427" w:type="dxa"/>
        <w:jc w:val="center"/>
        <w:tblCellMar>
          <w:left w:w="0" w:type="dxa"/>
          <w:right w:w="0" w:type="dxa"/>
        </w:tblCellMar>
        <w:tblLook w:val="04A0" w:firstRow="1" w:lastRow="0" w:firstColumn="1" w:lastColumn="0" w:noHBand="0" w:noVBand="1"/>
      </w:tblPr>
      <w:tblGrid>
        <w:gridCol w:w="2603"/>
        <w:gridCol w:w="2680"/>
        <w:gridCol w:w="2144"/>
      </w:tblGrid>
      <w:tr w:rsidR="005D3724" w:rsidRPr="008825EF" w:rsidTr="00BE625D">
        <w:trPr>
          <w:tblHeader/>
          <w:jc w:val="center"/>
        </w:trPr>
        <w:tc>
          <w:tcPr>
            <w:tcW w:w="26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724" w:rsidRPr="008825EF" w:rsidRDefault="005D3724" w:rsidP="009937F9">
            <w:pPr>
              <w:jc w:val="center"/>
              <w:rPr>
                <w:rFonts w:ascii="Arial" w:eastAsiaTheme="minorHAnsi" w:hAnsi="Arial" w:cs="Arial"/>
                <w:b/>
                <w:sz w:val="18"/>
                <w:szCs w:val="18"/>
                <w:lang w:eastAsia="en-US"/>
              </w:rPr>
            </w:pPr>
            <w:r w:rsidRPr="008825EF">
              <w:rPr>
                <w:rFonts w:ascii="Arial" w:eastAsiaTheme="minorHAnsi" w:hAnsi="Arial" w:cs="Arial"/>
                <w:b/>
                <w:sz w:val="18"/>
                <w:szCs w:val="18"/>
                <w:lang w:eastAsia="en-US"/>
              </w:rPr>
              <w:t xml:space="preserve">TIPO DE PRODUCTOR </w:t>
            </w:r>
          </w:p>
        </w:tc>
        <w:tc>
          <w:tcPr>
            <w:tcW w:w="2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724" w:rsidRPr="008825EF" w:rsidRDefault="005D3724" w:rsidP="009937F9">
            <w:pPr>
              <w:jc w:val="center"/>
              <w:rPr>
                <w:rFonts w:ascii="Arial" w:eastAsiaTheme="minorHAnsi" w:hAnsi="Arial" w:cs="Arial"/>
                <w:b/>
                <w:sz w:val="18"/>
                <w:szCs w:val="18"/>
                <w:lang w:eastAsia="en-US"/>
              </w:rPr>
            </w:pPr>
            <w:r w:rsidRPr="008825EF">
              <w:rPr>
                <w:rFonts w:ascii="Arial" w:eastAsiaTheme="minorHAnsi" w:hAnsi="Arial" w:cs="Arial"/>
                <w:b/>
                <w:sz w:val="18"/>
                <w:szCs w:val="18"/>
                <w:lang w:eastAsia="en-US"/>
              </w:rPr>
              <w:t>TASA DE REDESCUENTO</w:t>
            </w:r>
          </w:p>
        </w:tc>
        <w:tc>
          <w:tcPr>
            <w:tcW w:w="2144" w:type="dxa"/>
            <w:tcBorders>
              <w:top w:val="single" w:sz="8" w:space="0" w:color="auto"/>
              <w:left w:val="nil"/>
              <w:bottom w:val="single" w:sz="8" w:space="0" w:color="auto"/>
              <w:right w:val="single" w:sz="8" w:space="0" w:color="auto"/>
            </w:tcBorders>
            <w:vAlign w:val="center"/>
          </w:tcPr>
          <w:p w:rsidR="005D3724" w:rsidRPr="008825EF" w:rsidRDefault="005D3724" w:rsidP="009937F9">
            <w:pPr>
              <w:jc w:val="center"/>
              <w:rPr>
                <w:rFonts w:ascii="Arial" w:eastAsiaTheme="minorHAnsi" w:hAnsi="Arial" w:cs="Arial"/>
                <w:b/>
                <w:sz w:val="18"/>
                <w:szCs w:val="18"/>
                <w:lang w:eastAsia="en-US"/>
              </w:rPr>
            </w:pPr>
            <w:r w:rsidRPr="008825EF">
              <w:rPr>
                <w:rFonts w:ascii="Arial" w:eastAsiaTheme="minorHAnsi" w:hAnsi="Arial" w:cs="Arial"/>
                <w:b/>
                <w:sz w:val="18"/>
                <w:szCs w:val="18"/>
                <w:lang w:eastAsia="en-US"/>
              </w:rPr>
              <w:t>TASA DE INTERÉS</w:t>
            </w:r>
          </w:p>
        </w:tc>
      </w:tr>
      <w:tr w:rsidR="005D3724" w:rsidRPr="008825EF" w:rsidTr="00BE625D">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724" w:rsidRPr="008825EF" w:rsidRDefault="005D3724" w:rsidP="009937F9">
            <w:pPr>
              <w:rPr>
                <w:rFonts w:ascii="Arial" w:eastAsiaTheme="minorHAnsi" w:hAnsi="Arial" w:cs="Arial"/>
                <w:sz w:val="18"/>
                <w:szCs w:val="18"/>
                <w:lang w:eastAsia="en-US"/>
              </w:rPr>
            </w:pPr>
            <w:r w:rsidRPr="008825EF">
              <w:rPr>
                <w:rFonts w:ascii="Arial" w:eastAsiaTheme="minorHAnsi" w:hAnsi="Arial" w:cs="Arial"/>
                <w:sz w:val="18"/>
                <w:szCs w:val="18"/>
                <w:lang w:eastAsia="en-US"/>
              </w:rPr>
              <w:t>Integrador Bursátil Comprador</w:t>
            </w:r>
          </w:p>
        </w:tc>
        <w:tc>
          <w:tcPr>
            <w:tcW w:w="2680" w:type="dxa"/>
            <w:tcBorders>
              <w:top w:val="nil"/>
              <w:left w:val="nil"/>
              <w:bottom w:val="single" w:sz="8" w:space="0" w:color="auto"/>
              <w:right w:val="single" w:sz="8" w:space="0" w:color="auto"/>
            </w:tcBorders>
            <w:tcMar>
              <w:top w:w="0" w:type="dxa"/>
              <w:left w:w="108" w:type="dxa"/>
              <w:bottom w:w="0" w:type="dxa"/>
              <w:right w:w="108" w:type="dxa"/>
            </w:tcMar>
            <w:vAlign w:val="center"/>
          </w:tcPr>
          <w:p w:rsidR="005D3724" w:rsidRPr="008825EF" w:rsidRDefault="005D3724" w:rsidP="009937F9">
            <w:pPr>
              <w:rPr>
                <w:rFonts w:ascii="Arial" w:eastAsiaTheme="minorHAnsi" w:hAnsi="Arial" w:cs="Arial"/>
                <w:sz w:val="18"/>
                <w:szCs w:val="18"/>
                <w:lang w:eastAsia="en-US"/>
              </w:rPr>
            </w:pPr>
            <w:r w:rsidRPr="008825EF">
              <w:rPr>
                <w:rFonts w:ascii="Arial" w:eastAsiaTheme="minorHAnsi" w:hAnsi="Arial" w:cs="Arial"/>
                <w:sz w:val="18"/>
                <w:szCs w:val="18"/>
                <w:lang w:eastAsia="en-US"/>
              </w:rPr>
              <w:t>IBR - 1,1%</w:t>
            </w:r>
          </w:p>
        </w:tc>
        <w:tc>
          <w:tcPr>
            <w:tcW w:w="2144" w:type="dxa"/>
            <w:tcBorders>
              <w:top w:val="nil"/>
              <w:left w:val="nil"/>
              <w:bottom w:val="single" w:sz="8" w:space="0" w:color="auto"/>
              <w:right w:val="single" w:sz="8" w:space="0" w:color="auto"/>
            </w:tcBorders>
            <w:vAlign w:val="center"/>
          </w:tcPr>
          <w:p w:rsidR="005D3724" w:rsidRPr="008825EF" w:rsidRDefault="005D3724" w:rsidP="009937F9">
            <w:pPr>
              <w:rPr>
                <w:rFonts w:ascii="Arial" w:eastAsiaTheme="minorHAnsi" w:hAnsi="Arial" w:cs="Arial"/>
                <w:sz w:val="18"/>
                <w:szCs w:val="18"/>
                <w:lang w:eastAsia="en-US"/>
              </w:rPr>
            </w:pPr>
            <w:r w:rsidRPr="008825EF">
              <w:rPr>
                <w:rFonts w:ascii="Arial" w:eastAsiaTheme="minorHAnsi" w:hAnsi="Arial" w:cs="Arial"/>
                <w:sz w:val="18"/>
                <w:szCs w:val="18"/>
                <w:lang w:eastAsia="en-US"/>
              </w:rPr>
              <w:t>Hasta DTF + 6,7%</w:t>
            </w:r>
          </w:p>
        </w:tc>
      </w:tr>
    </w:tbl>
    <w:p w:rsidR="005D3724" w:rsidRPr="008825EF" w:rsidRDefault="005D3724" w:rsidP="005D3724">
      <w:pPr>
        <w:spacing w:after="160" w:line="259" w:lineRule="auto"/>
        <w:jc w:val="both"/>
        <w:rPr>
          <w:rFonts w:ascii="Arial" w:eastAsiaTheme="minorHAnsi" w:hAnsi="Arial" w:cs="Arial"/>
          <w:sz w:val="22"/>
          <w:szCs w:val="22"/>
          <w:lang w:eastAsia="en-US"/>
        </w:rPr>
      </w:pPr>
    </w:p>
    <w:p w:rsidR="002E79D8" w:rsidRPr="00B509B5" w:rsidRDefault="002E79D8" w:rsidP="00067EC9">
      <w:pPr>
        <w:pStyle w:val="p2"/>
        <w:spacing w:line="0" w:lineRule="atLeast"/>
        <w:ind w:left="0"/>
        <w:rPr>
          <w:rFonts w:ascii="Arial" w:eastAsiaTheme="minorHAnsi" w:hAnsi="Arial" w:cs="Arial"/>
          <w:sz w:val="22"/>
          <w:szCs w:val="22"/>
          <w:lang w:val="es-ES"/>
        </w:rPr>
      </w:pPr>
      <w:r w:rsidRPr="008825EF">
        <w:rPr>
          <w:rFonts w:ascii="Arial" w:eastAsiaTheme="minorHAnsi" w:hAnsi="Arial" w:cs="Arial"/>
          <w:b/>
          <w:sz w:val="22"/>
          <w:szCs w:val="22"/>
          <w:lang w:val="es-ES"/>
        </w:rPr>
        <w:t>Parágrafo.</w:t>
      </w:r>
      <w:r w:rsidRPr="008825EF">
        <w:rPr>
          <w:rFonts w:ascii="Arial" w:eastAsiaTheme="minorHAnsi" w:hAnsi="Arial" w:cs="Arial"/>
          <w:sz w:val="22"/>
          <w:szCs w:val="22"/>
          <w:lang w:val="es-ES"/>
        </w:rPr>
        <w:t xml:space="preserve"> </w:t>
      </w:r>
      <w:r w:rsidRPr="008825EF">
        <w:rPr>
          <w:rFonts w:ascii="Arial" w:eastAsiaTheme="minorHAnsi" w:hAnsi="Arial" w:cs="Arial"/>
          <w:sz w:val="22"/>
          <w:szCs w:val="22"/>
          <w:lang w:val="es-CO"/>
        </w:rPr>
        <w:t>Los demás términos y condiciones establecidos en</w:t>
      </w:r>
      <w:r w:rsidRPr="008825EF">
        <w:rPr>
          <w:rFonts w:ascii="Arial" w:eastAsiaTheme="minorHAnsi" w:hAnsi="Arial" w:cs="Arial"/>
          <w:sz w:val="22"/>
          <w:szCs w:val="22"/>
          <w:lang w:val="es-CO" w:eastAsia="en-US"/>
        </w:rPr>
        <w:t xml:space="preserve"> el artículo 5o. de la Resolución 1 de 2016 </w:t>
      </w:r>
      <w:r w:rsidRPr="008825EF">
        <w:rPr>
          <w:rFonts w:ascii="Arial" w:eastAsiaTheme="minorHAnsi" w:hAnsi="Arial" w:cs="Arial"/>
          <w:sz w:val="22"/>
          <w:szCs w:val="22"/>
          <w:lang w:val="es-CO"/>
        </w:rPr>
        <w:t>permanecerán</w:t>
      </w:r>
      <w:r w:rsidR="009B501D" w:rsidRPr="008825EF">
        <w:rPr>
          <w:rFonts w:ascii="Arial" w:eastAsiaTheme="minorHAnsi" w:hAnsi="Arial" w:cs="Arial"/>
          <w:sz w:val="22"/>
          <w:szCs w:val="22"/>
          <w:lang w:val="es-CO"/>
        </w:rPr>
        <w:t xml:space="preserve"> inalterados y conservará</w:t>
      </w:r>
      <w:r w:rsidRPr="008825EF">
        <w:rPr>
          <w:rFonts w:ascii="Arial" w:eastAsiaTheme="minorHAnsi" w:hAnsi="Arial" w:cs="Arial"/>
          <w:sz w:val="22"/>
          <w:szCs w:val="22"/>
          <w:lang w:val="es-CO"/>
        </w:rPr>
        <w:t>n toda su vigencia y efecto, en cuanto no se opongan a lo establecido en la presente resolución.</w:t>
      </w:r>
    </w:p>
    <w:p w:rsidR="00067EC9" w:rsidRPr="00777993" w:rsidRDefault="00067EC9" w:rsidP="00714DC2">
      <w:pPr>
        <w:pStyle w:val="p2"/>
        <w:spacing w:line="0" w:lineRule="atLeast"/>
        <w:ind w:left="0"/>
        <w:jc w:val="center"/>
        <w:rPr>
          <w:rFonts w:ascii="Arial" w:hAnsi="Arial" w:cs="Arial"/>
          <w:color w:val="000000" w:themeColor="text1"/>
          <w:sz w:val="22"/>
          <w:szCs w:val="22"/>
          <w:lang w:val="es-CO"/>
        </w:rPr>
      </w:pPr>
    </w:p>
    <w:p w:rsidR="003C4C95" w:rsidRPr="008825EF" w:rsidRDefault="002A5F3D" w:rsidP="00053BCF">
      <w:pPr>
        <w:jc w:val="both"/>
        <w:rPr>
          <w:rFonts w:ascii="Arial" w:hAnsi="Arial" w:cs="Arial"/>
          <w:sz w:val="22"/>
          <w:szCs w:val="22"/>
        </w:rPr>
      </w:pPr>
      <w:bookmarkStart w:id="6" w:name="_Hlk531946705"/>
      <w:r w:rsidRPr="00777993">
        <w:rPr>
          <w:rFonts w:ascii="Arial" w:eastAsia="Arial" w:hAnsi="Arial" w:cs="Arial"/>
          <w:b/>
          <w:color w:val="000000" w:themeColor="text1"/>
          <w:sz w:val="22"/>
          <w:szCs w:val="22"/>
          <w:lang w:eastAsia="es-CO" w:bidi="es-CO"/>
        </w:rPr>
        <w:t xml:space="preserve">Artículo </w:t>
      </w:r>
      <w:r w:rsidR="00CD601B" w:rsidRPr="00777993">
        <w:rPr>
          <w:rFonts w:ascii="Arial" w:eastAsia="Arial" w:hAnsi="Arial" w:cs="Arial"/>
          <w:b/>
          <w:color w:val="000000" w:themeColor="text1"/>
          <w:sz w:val="22"/>
          <w:szCs w:val="22"/>
          <w:lang w:eastAsia="es-CO" w:bidi="es-CO"/>
        </w:rPr>
        <w:t>3</w:t>
      </w:r>
      <w:r w:rsidRPr="00777993">
        <w:rPr>
          <w:rFonts w:ascii="Arial" w:eastAsia="Arial" w:hAnsi="Arial" w:cs="Arial"/>
          <w:b/>
          <w:color w:val="000000" w:themeColor="text1"/>
          <w:sz w:val="22"/>
          <w:szCs w:val="22"/>
          <w:lang w:eastAsia="es-CO" w:bidi="es-CO"/>
        </w:rPr>
        <w:t xml:space="preserve">o. Línea Especial de Crédito </w:t>
      </w:r>
      <w:bookmarkEnd w:id="6"/>
      <w:r w:rsidR="00D85F98" w:rsidRPr="00EB7D17">
        <w:rPr>
          <w:rFonts w:ascii="Arial" w:hAnsi="Arial" w:cs="Arial"/>
          <w:b/>
          <w:sz w:val="22"/>
          <w:szCs w:val="22"/>
        </w:rPr>
        <w:t xml:space="preserve">para la Reactivación Agropecuaria destinada a la financiación de anticipos de las operaciones Forward </w:t>
      </w:r>
      <w:r w:rsidR="00283F67" w:rsidRPr="00EB7D17">
        <w:rPr>
          <w:rFonts w:ascii="Arial" w:hAnsi="Arial" w:cs="Arial"/>
          <w:b/>
          <w:sz w:val="22"/>
          <w:szCs w:val="22"/>
        </w:rPr>
        <w:t xml:space="preserve">celebradas a través </w:t>
      </w:r>
      <w:bookmarkStart w:id="7" w:name="_Hlk1754536"/>
      <w:r w:rsidR="00283F67" w:rsidRPr="00EB7D17">
        <w:rPr>
          <w:rFonts w:ascii="Arial" w:hAnsi="Arial" w:cs="Arial"/>
          <w:b/>
          <w:sz w:val="22"/>
          <w:szCs w:val="22"/>
        </w:rPr>
        <w:t>de Bolsas</w:t>
      </w:r>
      <w:r w:rsidR="00D85F98" w:rsidRPr="00EB7D17">
        <w:rPr>
          <w:rFonts w:ascii="Arial" w:hAnsi="Arial" w:cs="Arial"/>
          <w:b/>
          <w:bCs/>
          <w:sz w:val="22"/>
          <w:szCs w:val="22"/>
        </w:rPr>
        <w:t xml:space="preserve"> de Bienes y Productos Agropecuarios, Agroindustriales </w:t>
      </w:r>
      <w:r w:rsidR="00D936DE" w:rsidRPr="00EB7D17">
        <w:rPr>
          <w:rFonts w:ascii="Arial" w:hAnsi="Arial" w:cs="Arial"/>
          <w:b/>
          <w:bCs/>
          <w:sz w:val="22"/>
          <w:szCs w:val="22"/>
        </w:rPr>
        <w:t>o</w:t>
      </w:r>
      <w:r w:rsidR="00D85F98" w:rsidRPr="00EB7D17">
        <w:rPr>
          <w:rFonts w:ascii="Arial" w:hAnsi="Arial" w:cs="Arial"/>
          <w:b/>
          <w:bCs/>
          <w:sz w:val="22"/>
          <w:szCs w:val="22"/>
        </w:rPr>
        <w:t xml:space="preserve"> de otros Commodities</w:t>
      </w:r>
      <w:bookmarkEnd w:id="7"/>
      <w:r w:rsidR="00D85F98" w:rsidRPr="00EB7D17">
        <w:rPr>
          <w:rFonts w:ascii="Arial" w:hAnsi="Arial" w:cs="Arial"/>
          <w:b/>
          <w:bCs/>
          <w:sz w:val="22"/>
          <w:szCs w:val="22"/>
        </w:rPr>
        <w:t>.</w:t>
      </w:r>
      <w:r w:rsidR="00D85F98" w:rsidRPr="00EB7D17">
        <w:rPr>
          <w:rFonts w:ascii="Arial" w:hAnsi="Arial" w:cs="Arial"/>
          <w:bCs/>
          <w:sz w:val="22"/>
          <w:szCs w:val="22"/>
        </w:rPr>
        <w:t xml:space="preserve"> Cré</w:t>
      </w:r>
      <w:r w:rsidR="003C4C95" w:rsidRPr="00EB7D17">
        <w:rPr>
          <w:rFonts w:ascii="Arial" w:hAnsi="Arial" w:cs="Arial"/>
          <w:bCs/>
          <w:sz w:val="22"/>
          <w:szCs w:val="22"/>
        </w:rPr>
        <w:t xml:space="preserve">ase </w:t>
      </w:r>
      <w:r w:rsidR="00D85F98" w:rsidRPr="00EB7D17">
        <w:rPr>
          <w:rFonts w:ascii="Arial" w:hAnsi="Arial" w:cs="Arial"/>
          <w:bCs/>
          <w:sz w:val="22"/>
          <w:szCs w:val="22"/>
        </w:rPr>
        <w:t>una</w:t>
      </w:r>
      <w:r w:rsidR="003C4C95" w:rsidRPr="00EB7D17">
        <w:rPr>
          <w:rFonts w:ascii="Arial" w:hAnsi="Arial" w:cs="Arial"/>
          <w:bCs/>
          <w:sz w:val="22"/>
          <w:szCs w:val="22"/>
        </w:rPr>
        <w:t xml:space="preserve"> </w:t>
      </w:r>
      <w:r w:rsidR="004A1C44" w:rsidRPr="00EB7D17">
        <w:rPr>
          <w:rFonts w:ascii="Arial" w:hAnsi="Arial" w:cs="Arial"/>
          <w:sz w:val="22"/>
          <w:szCs w:val="22"/>
        </w:rPr>
        <w:t>Línea Especial de Crédito para</w:t>
      </w:r>
      <w:r w:rsidR="003C4C95" w:rsidRPr="00EB7D17">
        <w:rPr>
          <w:rFonts w:ascii="Arial" w:hAnsi="Arial" w:cs="Arial"/>
          <w:sz w:val="22"/>
          <w:szCs w:val="22"/>
        </w:rPr>
        <w:t xml:space="preserve"> atender necesidades de</w:t>
      </w:r>
      <w:r w:rsidR="004A1C44" w:rsidRPr="00EB7D17">
        <w:rPr>
          <w:rFonts w:ascii="Arial" w:hAnsi="Arial" w:cs="Arial"/>
          <w:sz w:val="22"/>
          <w:szCs w:val="22"/>
        </w:rPr>
        <w:t xml:space="preserve"> capital </w:t>
      </w:r>
      <w:r w:rsidR="004A1C44" w:rsidRPr="008825EF">
        <w:rPr>
          <w:rFonts w:ascii="Arial" w:hAnsi="Arial" w:cs="Arial"/>
          <w:sz w:val="22"/>
          <w:szCs w:val="22"/>
        </w:rPr>
        <w:t>de trabajo</w:t>
      </w:r>
      <w:r w:rsidR="003C4C95" w:rsidRPr="008825EF">
        <w:rPr>
          <w:rFonts w:ascii="Arial" w:hAnsi="Arial" w:cs="Arial"/>
          <w:sz w:val="22"/>
          <w:szCs w:val="22"/>
        </w:rPr>
        <w:t>, con las siguientes condiciones:</w:t>
      </w:r>
    </w:p>
    <w:p w:rsidR="003C4C95" w:rsidRPr="008825EF" w:rsidRDefault="003C4C95" w:rsidP="00053BCF">
      <w:pPr>
        <w:jc w:val="both"/>
        <w:rPr>
          <w:rFonts w:ascii="Arial" w:hAnsi="Arial" w:cs="Arial"/>
          <w:sz w:val="22"/>
          <w:szCs w:val="22"/>
        </w:rPr>
      </w:pPr>
    </w:p>
    <w:p w:rsidR="00EB7D17" w:rsidRPr="008825EF" w:rsidRDefault="002A7EFB" w:rsidP="00EB7D17">
      <w:pPr>
        <w:widowControl w:val="0"/>
        <w:numPr>
          <w:ilvl w:val="0"/>
          <w:numId w:val="1"/>
        </w:numPr>
        <w:tabs>
          <w:tab w:val="left" w:pos="284"/>
        </w:tabs>
        <w:autoSpaceDE w:val="0"/>
        <w:autoSpaceDN w:val="0"/>
        <w:spacing w:before="77" w:line="0" w:lineRule="atLeast"/>
        <w:ind w:right="81" w:hanging="284"/>
        <w:jc w:val="both"/>
        <w:rPr>
          <w:rFonts w:ascii="Arial" w:eastAsia="Arial" w:hAnsi="Arial" w:cs="Arial"/>
          <w:color w:val="000000" w:themeColor="text1"/>
          <w:sz w:val="22"/>
          <w:szCs w:val="22"/>
          <w:lang w:eastAsia="es-CO" w:bidi="es-CO"/>
        </w:rPr>
      </w:pPr>
      <w:r w:rsidRPr="008825EF">
        <w:rPr>
          <w:rFonts w:ascii="Arial" w:eastAsia="Arial" w:hAnsi="Arial" w:cs="Arial"/>
          <w:color w:val="000000" w:themeColor="text1"/>
          <w:sz w:val="22"/>
          <w:szCs w:val="22"/>
          <w:lang w:eastAsia="es-CO" w:bidi="es-CO"/>
        </w:rPr>
        <w:t>Objeto:</w:t>
      </w:r>
      <w:r w:rsidR="005C7FF4" w:rsidRPr="008825EF">
        <w:rPr>
          <w:rFonts w:ascii="Arial" w:eastAsia="Arial" w:hAnsi="Arial" w:cs="Arial"/>
          <w:color w:val="000000" w:themeColor="text1"/>
          <w:sz w:val="22"/>
          <w:szCs w:val="22"/>
          <w:lang w:eastAsia="es-CO" w:bidi="es-CO"/>
        </w:rPr>
        <w:t xml:space="preserve"> La </w:t>
      </w:r>
      <w:bookmarkStart w:id="8" w:name="_Hlk1753960"/>
      <w:r w:rsidR="005C7FF4" w:rsidRPr="008825EF">
        <w:rPr>
          <w:rFonts w:ascii="Arial" w:eastAsia="Arial" w:hAnsi="Arial" w:cs="Arial"/>
          <w:color w:val="000000" w:themeColor="text1"/>
          <w:sz w:val="22"/>
          <w:szCs w:val="22"/>
          <w:lang w:eastAsia="es-CO" w:bidi="es-CO"/>
        </w:rPr>
        <w:t xml:space="preserve">Línea Especial de Crédito </w:t>
      </w:r>
      <w:bookmarkEnd w:id="8"/>
      <w:r w:rsidR="005C7FF4" w:rsidRPr="008825EF">
        <w:rPr>
          <w:rFonts w:ascii="Arial" w:eastAsia="Arial" w:hAnsi="Arial" w:cs="Arial"/>
          <w:color w:val="000000" w:themeColor="text1"/>
          <w:sz w:val="22"/>
          <w:szCs w:val="22"/>
          <w:lang w:eastAsia="es-CO" w:bidi="es-CO"/>
        </w:rPr>
        <w:t xml:space="preserve">tendrá como objeto financiar al </w:t>
      </w:r>
      <w:r w:rsidR="00761466" w:rsidRPr="008825EF">
        <w:rPr>
          <w:rFonts w:ascii="Arial" w:eastAsia="Arial" w:hAnsi="Arial" w:cs="Arial"/>
          <w:color w:val="000000" w:themeColor="text1"/>
          <w:sz w:val="22"/>
          <w:szCs w:val="22"/>
          <w:lang w:eastAsia="es-CO" w:bidi="es-CO"/>
        </w:rPr>
        <w:t>I</w:t>
      </w:r>
      <w:r w:rsidR="005C7FF4" w:rsidRPr="008825EF">
        <w:rPr>
          <w:rFonts w:ascii="Arial" w:eastAsia="Arial" w:hAnsi="Arial" w:cs="Arial"/>
          <w:color w:val="000000" w:themeColor="text1"/>
          <w:sz w:val="22"/>
          <w:szCs w:val="22"/>
          <w:lang w:eastAsia="es-CO" w:bidi="es-CO"/>
        </w:rPr>
        <w:t xml:space="preserve">ntegrador </w:t>
      </w:r>
      <w:r w:rsidR="00761466" w:rsidRPr="008825EF">
        <w:rPr>
          <w:rFonts w:ascii="Arial" w:eastAsia="Arial" w:hAnsi="Arial" w:cs="Arial"/>
          <w:color w:val="000000" w:themeColor="text1"/>
          <w:sz w:val="22"/>
          <w:szCs w:val="22"/>
          <w:lang w:eastAsia="es-CO" w:bidi="es-CO"/>
        </w:rPr>
        <w:t>B</w:t>
      </w:r>
      <w:r w:rsidR="005C7FF4" w:rsidRPr="008825EF">
        <w:rPr>
          <w:rFonts w:ascii="Arial" w:eastAsia="Arial" w:hAnsi="Arial" w:cs="Arial"/>
          <w:color w:val="000000" w:themeColor="text1"/>
          <w:sz w:val="22"/>
          <w:szCs w:val="22"/>
          <w:lang w:eastAsia="es-CO" w:bidi="es-CO"/>
        </w:rPr>
        <w:t xml:space="preserve">ursátil </w:t>
      </w:r>
      <w:r w:rsidR="003839FE" w:rsidRPr="008825EF">
        <w:rPr>
          <w:rFonts w:ascii="Arial" w:eastAsia="Arial" w:hAnsi="Arial" w:cs="Arial"/>
          <w:color w:val="000000" w:themeColor="text1"/>
          <w:sz w:val="22"/>
          <w:szCs w:val="22"/>
          <w:lang w:eastAsia="es-CO" w:bidi="es-CO"/>
        </w:rPr>
        <w:t xml:space="preserve">Comprador </w:t>
      </w:r>
      <w:r w:rsidR="005C7FF4" w:rsidRPr="008825EF">
        <w:rPr>
          <w:rFonts w:ascii="Arial" w:eastAsia="Arial" w:hAnsi="Arial" w:cs="Arial"/>
          <w:color w:val="000000" w:themeColor="text1"/>
          <w:sz w:val="22"/>
          <w:szCs w:val="22"/>
          <w:lang w:eastAsia="es-CO" w:bidi="es-CO"/>
        </w:rPr>
        <w:t xml:space="preserve">el pago de los anticipos pactados en desarrollo de </w:t>
      </w:r>
      <w:r w:rsidR="003073FE" w:rsidRPr="008825EF">
        <w:rPr>
          <w:rFonts w:ascii="Arial" w:eastAsia="Arial" w:hAnsi="Arial" w:cs="Arial"/>
          <w:color w:val="000000" w:themeColor="text1"/>
          <w:sz w:val="22"/>
          <w:szCs w:val="22"/>
          <w:lang w:eastAsia="es-CO" w:bidi="es-CO"/>
        </w:rPr>
        <w:t>las</w:t>
      </w:r>
      <w:r w:rsidR="005C7FF4" w:rsidRPr="008825EF">
        <w:rPr>
          <w:rFonts w:ascii="Arial" w:eastAsia="Arial" w:hAnsi="Arial" w:cs="Arial"/>
          <w:color w:val="000000" w:themeColor="text1"/>
          <w:sz w:val="22"/>
          <w:szCs w:val="22"/>
          <w:lang w:eastAsia="es-CO" w:bidi="es-CO"/>
        </w:rPr>
        <w:t xml:space="preserve"> operaci</w:t>
      </w:r>
      <w:r w:rsidR="003073FE" w:rsidRPr="008825EF">
        <w:rPr>
          <w:rFonts w:ascii="Arial" w:eastAsia="Arial" w:hAnsi="Arial" w:cs="Arial"/>
          <w:color w:val="000000" w:themeColor="text1"/>
          <w:sz w:val="22"/>
          <w:szCs w:val="22"/>
          <w:lang w:eastAsia="es-CO" w:bidi="es-CO"/>
        </w:rPr>
        <w:t>ones</w:t>
      </w:r>
      <w:r w:rsidR="005C7FF4" w:rsidRPr="008825EF">
        <w:rPr>
          <w:rFonts w:ascii="Arial" w:eastAsia="Arial" w:hAnsi="Arial" w:cs="Arial"/>
          <w:color w:val="000000" w:themeColor="text1"/>
          <w:sz w:val="22"/>
          <w:szCs w:val="22"/>
          <w:lang w:eastAsia="es-CO" w:bidi="es-CO"/>
        </w:rPr>
        <w:t xml:space="preserve"> Forward de productos agropecuarios</w:t>
      </w:r>
      <w:r w:rsidR="00AD1421" w:rsidRPr="008825EF">
        <w:rPr>
          <w:rFonts w:ascii="Arial" w:eastAsia="Arial" w:hAnsi="Arial" w:cs="Arial"/>
          <w:color w:val="000000" w:themeColor="text1"/>
          <w:sz w:val="22"/>
          <w:szCs w:val="22"/>
          <w:lang w:eastAsia="es-CO" w:bidi="es-CO"/>
        </w:rPr>
        <w:t>,</w:t>
      </w:r>
      <w:r w:rsidR="003958AB" w:rsidRPr="008825EF">
        <w:rPr>
          <w:rFonts w:ascii="Arial" w:eastAsia="Arial" w:hAnsi="Arial" w:cs="Arial"/>
          <w:color w:val="000000" w:themeColor="text1"/>
          <w:sz w:val="22"/>
          <w:szCs w:val="22"/>
          <w:lang w:eastAsia="es-CO" w:bidi="es-CO"/>
        </w:rPr>
        <w:t xml:space="preserve"> </w:t>
      </w:r>
      <w:r w:rsidR="00951233" w:rsidRPr="008825EF">
        <w:rPr>
          <w:rFonts w:ascii="Arial" w:eastAsia="Arial" w:hAnsi="Arial" w:cs="Arial"/>
          <w:color w:val="000000" w:themeColor="text1"/>
          <w:sz w:val="22"/>
          <w:szCs w:val="22"/>
          <w:lang w:eastAsia="es-CO" w:bidi="es-CO"/>
        </w:rPr>
        <w:t>agroindustriales, pesqueros</w:t>
      </w:r>
      <w:r w:rsidR="000E4CC6" w:rsidRPr="008825EF">
        <w:rPr>
          <w:rFonts w:ascii="Arial" w:eastAsia="Arial" w:hAnsi="Arial" w:cs="Arial"/>
          <w:color w:val="000000" w:themeColor="text1"/>
          <w:sz w:val="22"/>
          <w:szCs w:val="22"/>
          <w:lang w:eastAsia="es-CO" w:bidi="es-CO"/>
        </w:rPr>
        <w:t xml:space="preserve">, </w:t>
      </w:r>
      <w:r w:rsidR="006F4488" w:rsidRPr="008825EF">
        <w:rPr>
          <w:rFonts w:ascii="Arial" w:eastAsia="Arial" w:hAnsi="Arial" w:cs="Arial"/>
          <w:color w:val="000000" w:themeColor="text1"/>
          <w:sz w:val="22"/>
          <w:szCs w:val="22"/>
          <w:lang w:eastAsia="es-CO" w:bidi="es-CO"/>
        </w:rPr>
        <w:t>piscícola</w:t>
      </w:r>
      <w:r w:rsidR="00A06190" w:rsidRPr="008825EF">
        <w:rPr>
          <w:rFonts w:ascii="Arial" w:eastAsia="Arial" w:hAnsi="Arial" w:cs="Arial"/>
          <w:color w:val="000000" w:themeColor="text1"/>
          <w:sz w:val="22"/>
          <w:szCs w:val="22"/>
          <w:lang w:eastAsia="es-CO" w:bidi="es-CO"/>
        </w:rPr>
        <w:t>s</w:t>
      </w:r>
      <w:r w:rsidR="00951233" w:rsidRPr="008825EF">
        <w:rPr>
          <w:rFonts w:ascii="Arial" w:eastAsia="Arial" w:hAnsi="Arial" w:cs="Arial"/>
          <w:color w:val="000000" w:themeColor="text1"/>
          <w:sz w:val="22"/>
          <w:szCs w:val="22"/>
          <w:lang w:eastAsia="es-CO" w:bidi="es-CO"/>
        </w:rPr>
        <w:t xml:space="preserve"> y forestales</w:t>
      </w:r>
      <w:r w:rsidR="005C7FF4" w:rsidRPr="008825EF">
        <w:rPr>
          <w:rFonts w:ascii="Arial" w:eastAsia="Arial" w:hAnsi="Arial" w:cs="Arial"/>
          <w:color w:val="000000" w:themeColor="text1"/>
          <w:sz w:val="22"/>
          <w:szCs w:val="22"/>
          <w:lang w:eastAsia="es-CO" w:bidi="es-CO"/>
        </w:rPr>
        <w:t xml:space="preserve"> que </w:t>
      </w:r>
      <w:r w:rsidR="006F4488" w:rsidRPr="008825EF">
        <w:rPr>
          <w:rFonts w:ascii="Arial" w:eastAsia="Arial" w:hAnsi="Arial" w:cs="Arial"/>
          <w:color w:val="000000" w:themeColor="text1"/>
          <w:sz w:val="22"/>
          <w:szCs w:val="22"/>
          <w:lang w:eastAsia="es-CO" w:bidi="es-CO"/>
        </w:rPr>
        <w:t>se realicen a través de</w:t>
      </w:r>
      <w:r w:rsidR="005C7FF4" w:rsidRPr="008825EF">
        <w:rPr>
          <w:rFonts w:ascii="Arial" w:hAnsi="Arial" w:cs="Arial"/>
          <w:sz w:val="22"/>
          <w:szCs w:val="22"/>
        </w:rPr>
        <w:t xml:space="preserve"> las </w:t>
      </w:r>
      <w:r w:rsidR="005C7FF4" w:rsidRPr="008825EF">
        <w:rPr>
          <w:rFonts w:ascii="Arial" w:hAnsi="Arial" w:cs="Arial"/>
          <w:bCs/>
          <w:sz w:val="22"/>
          <w:szCs w:val="22"/>
        </w:rPr>
        <w:t xml:space="preserve">Bolsas de Bienes y Productos Agropecuarios, Agroindustriales </w:t>
      </w:r>
      <w:r w:rsidR="00CA1460" w:rsidRPr="008825EF">
        <w:rPr>
          <w:rFonts w:ascii="Arial" w:hAnsi="Arial" w:cs="Arial"/>
          <w:bCs/>
          <w:sz w:val="22"/>
          <w:szCs w:val="22"/>
        </w:rPr>
        <w:t>o</w:t>
      </w:r>
      <w:r w:rsidR="005C7FF4" w:rsidRPr="008825EF">
        <w:rPr>
          <w:rFonts w:ascii="Arial" w:hAnsi="Arial" w:cs="Arial"/>
          <w:bCs/>
          <w:sz w:val="22"/>
          <w:szCs w:val="22"/>
        </w:rPr>
        <w:t xml:space="preserve"> de otros </w:t>
      </w:r>
      <w:r w:rsidR="00EE027E" w:rsidRPr="008825EF">
        <w:rPr>
          <w:rFonts w:ascii="Arial" w:hAnsi="Arial" w:cs="Arial"/>
          <w:bCs/>
          <w:sz w:val="22"/>
          <w:szCs w:val="22"/>
        </w:rPr>
        <w:t>Commodities</w:t>
      </w:r>
      <w:r w:rsidR="003073FE" w:rsidRPr="008825EF">
        <w:rPr>
          <w:rFonts w:ascii="Arial" w:hAnsi="Arial" w:cs="Arial"/>
          <w:sz w:val="22"/>
          <w:szCs w:val="22"/>
        </w:rPr>
        <w:t xml:space="preserve">, </w:t>
      </w:r>
      <w:r w:rsidR="00DB60CE" w:rsidRPr="008825EF">
        <w:rPr>
          <w:rFonts w:ascii="Arial" w:hAnsi="Arial" w:cs="Arial"/>
          <w:sz w:val="22"/>
          <w:szCs w:val="22"/>
        </w:rPr>
        <w:t xml:space="preserve">con el fin de que </w:t>
      </w:r>
      <w:r w:rsidR="00631D43" w:rsidRPr="008825EF">
        <w:rPr>
          <w:rFonts w:ascii="Arial" w:hAnsi="Arial" w:cs="Arial"/>
          <w:sz w:val="22"/>
          <w:szCs w:val="22"/>
        </w:rPr>
        <w:t>los</w:t>
      </w:r>
      <w:r w:rsidR="00F165DE" w:rsidRPr="008825EF">
        <w:rPr>
          <w:rFonts w:ascii="Arial" w:eastAsia="Arial" w:hAnsi="Arial" w:cs="Arial"/>
          <w:color w:val="000000" w:themeColor="text1"/>
          <w:sz w:val="22"/>
          <w:szCs w:val="22"/>
          <w:lang w:eastAsia="es-CO" w:bidi="es-CO"/>
        </w:rPr>
        <w:t xml:space="preserve"> </w:t>
      </w:r>
      <w:r w:rsidR="00AA3E87" w:rsidRPr="008825EF">
        <w:rPr>
          <w:rFonts w:ascii="Arial" w:eastAsia="Arial" w:hAnsi="Arial" w:cs="Arial"/>
          <w:color w:val="000000" w:themeColor="text1"/>
          <w:sz w:val="22"/>
          <w:szCs w:val="22"/>
          <w:lang w:eastAsia="es-CO" w:bidi="es-CO"/>
        </w:rPr>
        <w:t>productor</w:t>
      </w:r>
      <w:r w:rsidR="00631D43" w:rsidRPr="008825EF">
        <w:rPr>
          <w:rFonts w:ascii="Arial" w:eastAsia="Arial" w:hAnsi="Arial" w:cs="Arial"/>
          <w:color w:val="000000" w:themeColor="text1"/>
          <w:sz w:val="22"/>
          <w:szCs w:val="22"/>
          <w:lang w:eastAsia="es-CO" w:bidi="es-CO"/>
        </w:rPr>
        <w:t>es</w:t>
      </w:r>
      <w:r w:rsidR="00F165DE" w:rsidRPr="008825EF">
        <w:rPr>
          <w:rFonts w:ascii="Arial" w:eastAsia="Arial" w:hAnsi="Arial" w:cs="Arial"/>
          <w:color w:val="000000" w:themeColor="text1"/>
          <w:sz w:val="22"/>
          <w:szCs w:val="22"/>
          <w:lang w:eastAsia="es-CO" w:bidi="es-CO"/>
        </w:rPr>
        <w:t xml:space="preserve"> </w:t>
      </w:r>
      <w:r w:rsidR="00282EFC" w:rsidRPr="008825EF">
        <w:rPr>
          <w:rFonts w:ascii="Arial" w:eastAsia="Arial" w:hAnsi="Arial" w:cs="Arial"/>
          <w:color w:val="000000" w:themeColor="text1"/>
          <w:sz w:val="22"/>
          <w:szCs w:val="22"/>
          <w:lang w:eastAsia="es-CO" w:bidi="es-CO"/>
        </w:rPr>
        <w:t>agropecuario</w:t>
      </w:r>
      <w:r w:rsidR="00631D43" w:rsidRPr="008825EF">
        <w:rPr>
          <w:rFonts w:ascii="Arial" w:eastAsia="Arial" w:hAnsi="Arial" w:cs="Arial"/>
          <w:color w:val="000000" w:themeColor="text1"/>
          <w:sz w:val="22"/>
          <w:szCs w:val="22"/>
          <w:lang w:eastAsia="es-CO" w:bidi="es-CO"/>
        </w:rPr>
        <w:t>s</w:t>
      </w:r>
      <w:r w:rsidR="00282EFC" w:rsidRPr="008825EF">
        <w:rPr>
          <w:rFonts w:ascii="Arial" w:eastAsia="Arial" w:hAnsi="Arial" w:cs="Arial"/>
          <w:color w:val="000000" w:themeColor="text1"/>
          <w:sz w:val="22"/>
          <w:szCs w:val="22"/>
          <w:lang w:eastAsia="es-CO" w:bidi="es-CO"/>
        </w:rPr>
        <w:t xml:space="preserve"> </w:t>
      </w:r>
      <w:r w:rsidR="00D74777" w:rsidRPr="008825EF">
        <w:rPr>
          <w:rFonts w:ascii="Arial" w:eastAsia="Arial" w:hAnsi="Arial" w:cs="Arial"/>
          <w:color w:val="000000" w:themeColor="text1"/>
          <w:sz w:val="22"/>
          <w:szCs w:val="22"/>
          <w:lang w:eastAsia="es-CO" w:bidi="es-CO"/>
        </w:rPr>
        <w:t>vendedor</w:t>
      </w:r>
      <w:r w:rsidR="00631D43" w:rsidRPr="008825EF">
        <w:rPr>
          <w:rFonts w:ascii="Arial" w:eastAsia="Arial" w:hAnsi="Arial" w:cs="Arial"/>
          <w:color w:val="000000" w:themeColor="text1"/>
          <w:sz w:val="22"/>
          <w:szCs w:val="22"/>
          <w:lang w:eastAsia="es-CO" w:bidi="es-CO"/>
        </w:rPr>
        <w:t>es</w:t>
      </w:r>
      <w:r w:rsidR="00D74777" w:rsidRPr="008825EF">
        <w:rPr>
          <w:rFonts w:ascii="Arial" w:eastAsia="Arial" w:hAnsi="Arial" w:cs="Arial"/>
          <w:color w:val="000000" w:themeColor="text1"/>
          <w:sz w:val="22"/>
          <w:szCs w:val="22"/>
          <w:lang w:eastAsia="es-CO" w:bidi="es-CO"/>
        </w:rPr>
        <w:t xml:space="preserve"> </w:t>
      </w:r>
      <w:r w:rsidR="003C5C47" w:rsidRPr="008825EF">
        <w:rPr>
          <w:rFonts w:ascii="Arial" w:eastAsia="Arial" w:hAnsi="Arial" w:cs="Arial"/>
          <w:color w:val="000000" w:themeColor="text1"/>
          <w:sz w:val="22"/>
          <w:szCs w:val="22"/>
          <w:lang w:eastAsia="es-CO" w:bidi="es-CO"/>
        </w:rPr>
        <w:t>tengan acceso a financiamiento en condiciones favorables</w:t>
      </w:r>
      <w:r w:rsidR="00F165DE" w:rsidRPr="008825EF">
        <w:rPr>
          <w:rFonts w:ascii="Arial" w:eastAsia="Arial" w:hAnsi="Arial" w:cs="Arial"/>
          <w:color w:val="000000" w:themeColor="text1"/>
          <w:sz w:val="22"/>
          <w:szCs w:val="22"/>
          <w:lang w:eastAsia="es-CO" w:bidi="es-CO"/>
        </w:rPr>
        <w:t>.</w:t>
      </w:r>
      <w:r w:rsidR="00CE1AF3" w:rsidRPr="008825EF">
        <w:rPr>
          <w:rFonts w:ascii="Arial" w:eastAsia="Arial" w:hAnsi="Arial" w:cs="Arial"/>
          <w:color w:val="000000" w:themeColor="text1"/>
          <w:sz w:val="22"/>
          <w:szCs w:val="22"/>
          <w:lang w:eastAsia="es-CO" w:bidi="es-CO"/>
        </w:rPr>
        <w:t xml:space="preserve"> </w:t>
      </w:r>
    </w:p>
    <w:p w:rsidR="00EF04CB" w:rsidRPr="008825EF" w:rsidRDefault="00D63CBA" w:rsidP="00EB7D17">
      <w:pPr>
        <w:widowControl w:val="0"/>
        <w:numPr>
          <w:ilvl w:val="0"/>
          <w:numId w:val="1"/>
        </w:numPr>
        <w:tabs>
          <w:tab w:val="left" w:pos="284"/>
        </w:tabs>
        <w:autoSpaceDE w:val="0"/>
        <w:autoSpaceDN w:val="0"/>
        <w:spacing w:before="77" w:line="0" w:lineRule="atLeast"/>
        <w:ind w:right="81" w:hanging="284"/>
        <w:jc w:val="both"/>
        <w:rPr>
          <w:rFonts w:ascii="Arial" w:eastAsia="Arial" w:hAnsi="Arial" w:cs="Arial"/>
          <w:color w:val="000000" w:themeColor="text1"/>
          <w:sz w:val="22"/>
          <w:szCs w:val="22"/>
          <w:lang w:eastAsia="es-CO" w:bidi="es-CO"/>
        </w:rPr>
      </w:pPr>
      <w:r w:rsidRPr="008825EF">
        <w:rPr>
          <w:rFonts w:ascii="Arial" w:eastAsia="Arial" w:hAnsi="Arial" w:cs="Arial"/>
          <w:color w:val="000000" w:themeColor="text1"/>
          <w:sz w:val="22"/>
          <w:szCs w:val="22"/>
          <w:lang w:eastAsia="es-CO" w:bidi="es-CO"/>
        </w:rPr>
        <w:t xml:space="preserve">Sujeto de crédito: </w:t>
      </w:r>
      <w:r w:rsidR="009768F1" w:rsidRPr="008825EF">
        <w:rPr>
          <w:rFonts w:ascii="Arial" w:eastAsia="Arial" w:hAnsi="Arial" w:cs="Arial"/>
          <w:color w:val="000000" w:themeColor="text1"/>
          <w:sz w:val="22"/>
          <w:szCs w:val="22"/>
          <w:lang w:eastAsia="es-CO" w:bidi="es-CO"/>
        </w:rPr>
        <w:t xml:space="preserve"> Será sujeto de</w:t>
      </w:r>
      <w:r w:rsidR="004B139F" w:rsidRPr="008825EF">
        <w:rPr>
          <w:rFonts w:ascii="Arial" w:eastAsia="Arial" w:hAnsi="Arial" w:cs="Arial"/>
          <w:color w:val="000000" w:themeColor="text1"/>
          <w:sz w:val="22"/>
          <w:szCs w:val="22"/>
          <w:lang w:eastAsia="es-CO" w:bidi="es-CO"/>
        </w:rPr>
        <w:t>l</w:t>
      </w:r>
      <w:r w:rsidR="009768F1" w:rsidRPr="008825EF">
        <w:rPr>
          <w:rFonts w:ascii="Arial" w:eastAsia="Arial" w:hAnsi="Arial" w:cs="Arial"/>
          <w:color w:val="000000" w:themeColor="text1"/>
          <w:sz w:val="22"/>
          <w:szCs w:val="22"/>
          <w:lang w:eastAsia="es-CO" w:bidi="es-CO"/>
        </w:rPr>
        <w:t xml:space="preserve"> crédito</w:t>
      </w:r>
      <w:r w:rsidR="003F1C6D" w:rsidRPr="008825EF">
        <w:rPr>
          <w:rFonts w:ascii="Arial" w:eastAsia="Arial" w:hAnsi="Arial" w:cs="Arial"/>
          <w:color w:val="000000" w:themeColor="text1"/>
          <w:sz w:val="22"/>
          <w:szCs w:val="22"/>
          <w:lang w:eastAsia="es-CO" w:bidi="es-CO"/>
        </w:rPr>
        <w:t xml:space="preserve"> otorgado por el Intermediario Financiero</w:t>
      </w:r>
      <w:r w:rsidR="009768F1" w:rsidRPr="008825EF">
        <w:rPr>
          <w:rFonts w:ascii="Arial" w:eastAsia="Arial" w:hAnsi="Arial" w:cs="Arial"/>
          <w:color w:val="000000" w:themeColor="text1"/>
          <w:sz w:val="22"/>
          <w:szCs w:val="22"/>
          <w:lang w:eastAsia="es-CO" w:bidi="es-CO"/>
        </w:rPr>
        <w:t xml:space="preserve"> </w:t>
      </w:r>
      <w:r w:rsidR="003F1C6D" w:rsidRPr="008825EF">
        <w:rPr>
          <w:rFonts w:ascii="Arial" w:eastAsia="Arial" w:hAnsi="Arial" w:cs="Arial"/>
          <w:color w:val="000000" w:themeColor="text1"/>
          <w:sz w:val="22"/>
          <w:szCs w:val="22"/>
          <w:lang w:eastAsia="es-CO" w:bidi="es-CO"/>
        </w:rPr>
        <w:t xml:space="preserve">bajo las condiciones de esta línea, </w:t>
      </w:r>
      <w:r w:rsidR="009768F1" w:rsidRPr="008825EF">
        <w:rPr>
          <w:rFonts w:ascii="Arial" w:eastAsia="Arial" w:hAnsi="Arial" w:cs="Arial"/>
          <w:color w:val="000000" w:themeColor="text1"/>
          <w:sz w:val="22"/>
          <w:szCs w:val="22"/>
          <w:lang w:eastAsia="es-CO" w:bidi="es-CO"/>
        </w:rPr>
        <w:t xml:space="preserve">el Integrador </w:t>
      </w:r>
      <w:r w:rsidR="00061AD8" w:rsidRPr="008825EF">
        <w:rPr>
          <w:rFonts w:ascii="Arial" w:eastAsia="Arial" w:hAnsi="Arial" w:cs="Arial"/>
          <w:color w:val="000000" w:themeColor="text1"/>
          <w:sz w:val="22"/>
          <w:szCs w:val="22"/>
          <w:lang w:eastAsia="es-CO" w:bidi="es-CO"/>
        </w:rPr>
        <w:t>Bursátil</w:t>
      </w:r>
      <w:r w:rsidR="002D053A" w:rsidRPr="008825EF">
        <w:rPr>
          <w:rFonts w:ascii="Arial" w:eastAsia="Arial" w:hAnsi="Arial" w:cs="Arial"/>
          <w:color w:val="000000" w:themeColor="text1"/>
          <w:sz w:val="22"/>
          <w:szCs w:val="22"/>
          <w:lang w:eastAsia="es-CO" w:bidi="es-CO"/>
        </w:rPr>
        <w:t xml:space="preserve"> Comprador</w:t>
      </w:r>
      <w:r w:rsidR="00D55146" w:rsidRPr="008825EF">
        <w:rPr>
          <w:rFonts w:ascii="Arial" w:eastAsia="Arial" w:hAnsi="Arial" w:cs="Arial"/>
          <w:color w:val="000000" w:themeColor="text1"/>
          <w:sz w:val="22"/>
          <w:szCs w:val="22"/>
          <w:lang w:eastAsia="es-CO" w:bidi="es-CO"/>
        </w:rPr>
        <w:t xml:space="preserve">, </w:t>
      </w:r>
      <w:r w:rsidR="00DC5BB3" w:rsidRPr="008825EF">
        <w:rPr>
          <w:rFonts w:ascii="Arial" w:eastAsia="Arial" w:hAnsi="Arial" w:cs="Arial"/>
          <w:color w:val="000000" w:themeColor="text1"/>
          <w:sz w:val="22"/>
          <w:szCs w:val="22"/>
          <w:lang w:eastAsia="es-CO" w:bidi="es-CO"/>
        </w:rPr>
        <w:t xml:space="preserve">que es la </w:t>
      </w:r>
      <w:r w:rsidR="009768F1" w:rsidRPr="008825EF">
        <w:rPr>
          <w:rFonts w:ascii="Arial" w:eastAsia="Arial" w:hAnsi="Arial" w:cs="Arial"/>
          <w:color w:val="000000" w:themeColor="text1"/>
          <w:sz w:val="22"/>
          <w:szCs w:val="22"/>
          <w:lang w:eastAsia="es-CO" w:bidi="es-CO"/>
        </w:rPr>
        <w:t>p</w:t>
      </w:r>
      <w:r w:rsidR="00C45D6E" w:rsidRPr="008825EF">
        <w:rPr>
          <w:rFonts w:ascii="Arial" w:eastAsia="Arial" w:hAnsi="Arial" w:cs="Arial"/>
          <w:sz w:val="22"/>
          <w:szCs w:val="22"/>
          <w:lang w:eastAsia="es-CO" w:bidi="es-CO"/>
        </w:rPr>
        <w:t xml:space="preserve">ersona natural o jurídica </w:t>
      </w:r>
      <w:r w:rsidR="00C45D6E" w:rsidRPr="008825EF">
        <w:rPr>
          <w:rFonts w:ascii="Arial" w:eastAsia="Arial" w:hAnsi="Arial" w:cs="Arial"/>
          <w:color w:val="000000" w:themeColor="text1"/>
          <w:sz w:val="22"/>
          <w:szCs w:val="22"/>
          <w:lang w:eastAsia="es-CO" w:bidi="es-CO"/>
        </w:rPr>
        <w:t>que particip</w:t>
      </w:r>
      <w:r w:rsidR="00B92E14" w:rsidRPr="008825EF">
        <w:rPr>
          <w:rFonts w:ascii="Arial" w:eastAsia="Arial" w:hAnsi="Arial" w:cs="Arial"/>
          <w:color w:val="000000" w:themeColor="text1"/>
          <w:sz w:val="22"/>
          <w:szCs w:val="22"/>
          <w:lang w:eastAsia="es-CO" w:bidi="es-CO"/>
        </w:rPr>
        <w:t>a</w:t>
      </w:r>
      <w:r w:rsidR="00C45D6E" w:rsidRPr="008825EF">
        <w:rPr>
          <w:rFonts w:ascii="Arial" w:eastAsia="Arial" w:hAnsi="Arial" w:cs="Arial"/>
          <w:color w:val="000000" w:themeColor="text1"/>
          <w:sz w:val="22"/>
          <w:szCs w:val="22"/>
          <w:lang w:eastAsia="es-CO" w:bidi="es-CO"/>
        </w:rPr>
        <w:t xml:space="preserve"> en operaciones Forward con anticipo, en calidad de comprador de productos agropecuarios, agroindustriales, pesqueros</w:t>
      </w:r>
      <w:r w:rsidR="000E4CC6" w:rsidRPr="008825EF">
        <w:rPr>
          <w:rFonts w:ascii="Arial" w:eastAsia="Arial" w:hAnsi="Arial" w:cs="Arial"/>
          <w:color w:val="000000" w:themeColor="text1"/>
          <w:sz w:val="22"/>
          <w:szCs w:val="22"/>
          <w:lang w:eastAsia="es-CO" w:bidi="es-CO"/>
        </w:rPr>
        <w:t xml:space="preserve">, </w:t>
      </w:r>
      <w:r w:rsidR="006F4488" w:rsidRPr="008825EF">
        <w:rPr>
          <w:rFonts w:ascii="Arial" w:eastAsia="Arial" w:hAnsi="Arial" w:cs="Arial"/>
          <w:color w:val="000000" w:themeColor="text1"/>
          <w:sz w:val="22"/>
          <w:szCs w:val="22"/>
          <w:lang w:eastAsia="es-CO" w:bidi="es-CO"/>
        </w:rPr>
        <w:t>piscícola</w:t>
      </w:r>
      <w:r w:rsidR="00A06190" w:rsidRPr="008825EF">
        <w:rPr>
          <w:rFonts w:ascii="Arial" w:eastAsia="Arial" w:hAnsi="Arial" w:cs="Arial"/>
          <w:color w:val="000000" w:themeColor="text1"/>
          <w:sz w:val="22"/>
          <w:szCs w:val="22"/>
          <w:lang w:eastAsia="es-CO" w:bidi="es-CO"/>
        </w:rPr>
        <w:t>s</w:t>
      </w:r>
      <w:r w:rsidR="00C45D6E" w:rsidRPr="008825EF">
        <w:rPr>
          <w:rFonts w:ascii="Arial" w:eastAsia="Arial" w:hAnsi="Arial" w:cs="Arial"/>
          <w:color w:val="000000" w:themeColor="text1"/>
          <w:sz w:val="22"/>
          <w:szCs w:val="22"/>
          <w:lang w:eastAsia="es-CO" w:bidi="es-CO"/>
        </w:rPr>
        <w:t xml:space="preserve"> y forestales que se realicen en </w:t>
      </w:r>
      <w:r w:rsidR="00C45D6E" w:rsidRPr="008825EF">
        <w:rPr>
          <w:rFonts w:ascii="Arial" w:hAnsi="Arial" w:cs="Arial"/>
          <w:sz w:val="22"/>
          <w:szCs w:val="22"/>
        </w:rPr>
        <w:t xml:space="preserve">las </w:t>
      </w:r>
      <w:r w:rsidR="00C45D6E" w:rsidRPr="008825EF">
        <w:rPr>
          <w:rFonts w:ascii="Arial" w:hAnsi="Arial" w:cs="Arial"/>
          <w:bCs/>
          <w:sz w:val="22"/>
          <w:szCs w:val="22"/>
        </w:rPr>
        <w:t xml:space="preserve">Bolsas de Bienes y Productos Agropecuarios, Agroindustriales </w:t>
      </w:r>
      <w:r w:rsidR="00D936DE" w:rsidRPr="008825EF">
        <w:rPr>
          <w:rFonts w:ascii="Arial" w:hAnsi="Arial" w:cs="Arial"/>
          <w:bCs/>
          <w:sz w:val="22"/>
          <w:szCs w:val="22"/>
        </w:rPr>
        <w:t>o</w:t>
      </w:r>
      <w:r w:rsidR="00C45D6E" w:rsidRPr="008825EF">
        <w:rPr>
          <w:rFonts w:ascii="Arial" w:hAnsi="Arial" w:cs="Arial"/>
          <w:bCs/>
          <w:sz w:val="22"/>
          <w:szCs w:val="22"/>
        </w:rPr>
        <w:t xml:space="preserve"> de otros Commodities</w:t>
      </w:r>
      <w:r w:rsidR="00EF04CB" w:rsidRPr="008825EF">
        <w:rPr>
          <w:rFonts w:ascii="Arial" w:hAnsi="Arial" w:cs="Arial"/>
          <w:bCs/>
          <w:sz w:val="22"/>
          <w:szCs w:val="22"/>
        </w:rPr>
        <w:t>.</w:t>
      </w:r>
      <w:r w:rsidR="00332EA3" w:rsidRPr="008825EF">
        <w:rPr>
          <w:rFonts w:ascii="Arial" w:eastAsia="Arial" w:hAnsi="Arial" w:cs="Arial"/>
          <w:strike/>
          <w:color w:val="000000" w:themeColor="text1"/>
          <w:sz w:val="22"/>
          <w:szCs w:val="22"/>
          <w:lang w:val="es-ES" w:eastAsia="es-CO" w:bidi="es-CO"/>
        </w:rPr>
        <w:t xml:space="preserve"> </w:t>
      </w:r>
    </w:p>
    <w:p w:rsidR="00EF04CB" w:rsidRPr="008825EF" w:rsidRDefault="002A5F3D" w:rsidP="00EF04CB">
      <w:pPr>
        <w:widowControl w:val="0"/>
        <w:numPr>
          <w:ilvl w:val="0"/>
          <w:numId w:val="1"/>
        </w:numPr>
        <w:tabs>
          <w:tab w:val="left" w:pos="284"/>
          <w:tab w:val="left" w:pos="426"/>
        </w:tabs>
        <w:autoSpaceDE w:val="0"/>
        <w:autoSpaceDN w:val="0"/>
        <w:spacing w:before="77" w:line="0" w:lineRule="atLeast"/>
        <w:ind w:right="81"/>
        <w:jc w:val="both"/>
        <w:rPr>
          <w:rFonts w:ascii="Arial" w:hAnsi="Arial" w:cs="Arial"/>
          <w:bCs/>
          <w:sz w:val="22"/>
          <w:szCs w:val="22"/>
        </w:rPr>
      </w:pPr>
      <w:r w:rsidRPr="008825EF">
        <w:rPr>
          <w:rFonts w:ascii="Arial" w:eastAsia="Arial" w:hAnsi="Arial" w:cs="Arial"/>
          <w:sz w:val="22"/>
          <w:szCs w:val="22"/>
          <w:lang w:eastAsia="es-CO" w:bidi="es-CO"/>
        </w:rPr>
        <w:t>Beneficiarios</w:t>
      </w:r>
      <w:r w:rsidR="00FC5F61" w:rsidRPr="008825EF">
        <w:rPr>
          <w:rFonts w:ascii="Arial" w:eastAsia="Arial" w:hAnsi="Arial" w:cs="Arial"/>
          <w:sz w:val="22"/>
          <w:szCs w:val="22"/>
          <w:lang w:eastAsia="es-CO" w:bidi="es-CO"/>
        </w:rPr>
        <w:t xml:space="preserve"> finales</w:t>
      </w:r>
      <w:r w:rsidRPr="008825EF">
        <w:rPr>
          <w:rFonts w:ascii="Arial" w:eastAsia="Arial" w:hAnsi="Arial" w:cs="Arial"/>
          <w:sz w:val="22"/>
          <w:szCs w:val="22"/>
          <w:lang w:eastAsia="es-CO" w:bidi="es-CO"/>
        </w:rPr>
        <w:t xml:space="preserve">: </w:t>
      </w:r>
      <w:r w:rsidR="006A5025" w:rsidRPr="008825EF">
        <w:rPr>
          <w:rFonts w:ascii="Arial" w:eastAsia="Arial" w:hAnsi="Arial" w:cs="Arial"/>
          <w:sz w:val="22"/>
          <w:szCs w:val="22"/>
          <w:lang w:eastAsia="es-CO" w:bidi="es-CO"/>
        </w:rPr>
        <w:t xml:space="preserve">Los beneficiarios finales de esta Línea Especial de Crédito son los </w:t>
      </w:r>
      <w:r w:rsidR="00D5133F" w:rsidRPr="008825EF">
        <w:rPr>
          <w:rFonts w:ascii="Arial" w:eastAsia="Arial" w:hAnsi="Arial" w:cs="Arial"/>
          <w:sz w:val="22"/>
          <w:szCs w:val="22"/>
          <w:lang w:eastAsia="es-CO" w:bidi="es-CO"/>
        </w:rPr>
        <w:t xml:space="preserve">pequeños y </w:t>
      </w:r>
      <w:r w:rsidR="00D63828" w:rsidRPr="008825EF">
        <w:rPr>
          <w:rFonts w:ascii="Arial" w:eastAsia="Arial" w:hAnsi="Arial" w:cs="Arial"/>
          <w:sz w:val="22"/>
          <w:szCs w:val="22"/>
          <w:lang w:eastAsia="es-CO" w:bidi="es-CO"/>
        </w:rPr>
        <w:t xml:space="preserve">medianos </w:t>
      </w:r>
      <w:r w:rsidR="006A5025" w:rsidRPr="008825EF">
        <w:rPr>
          <w:rFonts w:ascii="Arial" w:eastAsia="Arial" w:hAnsi="Arial" w:cs="Arial"/>
          <w:sz w:val="22"/>
          <w:szCs w:val="22"/>
          <w:lang w:eastAsia="es-CO" w:bidi="es-CO"/>
        </w:rPr>
        <w:t xml:space="preserve">productores que </w:t>
      </w:r>
      <w:r w:rsidR="009D00C7" w:rsidRPr="008825EF">
        <w:rPr>
          <w:rFonts w:ascii="Arial" w:eastAsia="Arial" w:hAnsi="Arial" w:cs="Arial"/>
          <w:sz w:val="22"/>
          <w:szCs w:val="22"/>
          <w:lang w:eastAsia="es-CO" w:bidi="es-CO"/>
        </w:rPr>
        <w:t xml:space="preserve">actúen </w:t>
      </w:r>
      <w:r w:rsidR="006A5025" w:rsidRPr="008825EF">
        <w:rPr>
          <w:rFonts w:ascii="Arial" w:eastAsia="Arial" w:hAnsi="Arial" w:cs="Arial"/>
          <w:sz w:val="22"/>
          <w:szCs w:val="22"/>
          <w:lang w:eastAsia="es-CO" w:bidi="es-CO"/>
        </w:rPr>
        <w:t>como vendedor</w:t>
      </w:r>
      <w:r w:rsidR="009D00C7" w:rsidRPr="008825EF">
        <w:rPr>
          <w:rFonts w:ascii="Arial" w:eastAsia="Arial" w:hAnsi="Arial" w:cs="Arial"/>
          <w:sz w:val="22"/>
          <w:szCs w:val="22"/>
          <w:lang w:eastAsia="es-CO" w:bidi="es-CO"/>
        </w:rPr>
        <w:t>es</w:t>
      </w:r>
      <w:r w:rsidR="006A5025" w:rsidRPr="008825EF">
        <w:rPr>
          <w:rFonts w:ascii="Arial" w:eastAsia="Arial" w:hAnsi="Arial" w:cs="Arial"/>
          <w:sz w:val="22"/>
          <w:szCs w:val="22"/>
          <w:lang w:eastAsia="es-CO" w:bidi="es-CO"/>
        </w:rPr>
        <w:t xml:space="preserve"> en </w:t>
      </w:r>
      <w:r w:rsidR="009D00C7" w:rsidRPr="008825EF">
        <w:rPr>
          <w:rFonts w:ascii="Arial" w:eastAsia="Arial" w:hAnsi="Arial" w:cs="Arial"/>
          <w:sz w:val="22"/>
          <w:szCs w:val="22"/>
          <w:lang w:eastAsia="es-CO" w:bidi="es-CO"/>
        </w:rPr>
        <w:t>la</w:t>
      </w:r>
      <w:r w:rsidR="00D5133F" w:rsidRPr="008825EF">
        <w:rPr>
          <w:rFonts w:ascii="Arial" w:eastAsia="Arial" w:hAnsi="Arial" w:cs="Arial"/>
          <w:sz w:val="22"/>
          <w:szCs w:val="22"/>
          <w:lang w:eastAsia="es-CO" w:bidi="es-CO"/>
        </w:rPr>
        <w:t>s</w:t>
      </w:r>
      <w:r w:rsidR="009D00C7" w:rsidRPr="008825EF">
        <w:rPr>
          <w:rFonts w:ascii="Arial" w:eastAsia="Arial" w:hAnsi="Arial" w:cs="Arial"/>
          <w:sz w:val="22"/>
          <w:szCs w:val="22"/>
          <w:lang w:eastAsia="es-CO" w:bidi="es-CO"/>
        </w:rPr>
        <w:t xml:space="preserve"> operaci</w:t>
      </w:r>
      <w:r w:rsidR="00D5133F" w:rsidRPr="008825EF">
        <w:rPr>
          <w:rFonts w:ascii="Arial" w:eastAsia="Arial" w:hAnsi="Arial" w:cs="Arial"/>
          <w:sz w:val="22"/>
          <w:szCs w:val="22"/>
          <w:lang w:eastAsia="es-CO" w:bidi="es-CO"/>
        </w:rPr>
        <w:t>ones</w:t>
      </w:r>
      <w:r w:rsidR="009D00C7" w:rsidRPr="008825EF">
        <w:rPr>
          <w:rFonts w:ascii="Arial" w:eastAsia="Arial" w:hAnsi="Arial" w:cs="Arial"/>
          <w:sz w:val="22"/>
          <w:szCs w:val="22"/>
          <w:lang w:eastAsia="es-CO" w:bidi="es-CO"/>
        </w:rPr>
        <w:t xml:space="preserve"> forward </w:t>
      </w:r>
      <w:r w:rsidR="00D5133F" w:rsidRPr="008825EF">
        <w:rPr>
          <w:rFonts w:ascii="Arial" w:eastAsia="Arial" w:hAnsi="Arial" w:cs="Arial"/>
          <w:sz w:val="22"/>
          <w:szCs w:val="22"/>
          <w:lang w:eastAsia="es-CO" w:bidi="es-CO"/>
        </w:rPr>
        <w:t xml:space="preserve">con anticipo </w:t>
      </w:r>
      <w:r w:rsidR="009D00C7" w:rsidRPr="008825EF">
        <w:rPr>
          <w:rFonts w:ascii="Arial" w:eastAsia="Arial" w:hAnsi="Arial" w:cs="Arial"/>
          <w:sz w:val="22"/>
          <w:szCs w:val="22"/>
          <w:lang w:eastAsia="es-CO" w:bidi="es-CO"/>
        </w:rPr>
        <w:t>celebradas en</w:t>
      </w:r>
      <w:r w:rsidR="006A5025" w:rsidRPr="008825EF">
        <w:rPr>
          <w:rFonts w:ascii="Arial" w:eastAsia="Arial" w:hAnsi="Arial" w:cs="Arial"/>
          <w:sz w:val="22"/>
          <w:szCs w:val="22"/>
          <w:lang w:eastAsia="es-CO" w:bidi="es-CO"/>
        </w:rPr>
        <w:t xml:space="preserve"> las Bolsas</w:t>
      </w:r>
      <w:r w:rsidR="001914E7" w:rsidRPr="008825EF">
        <w:rPr>
          <w:rFonts w:ascii="Arial" w:hAnsi="Arial" w:cs="Arial"/>
          <w:bCs/>
          <w:sz w:val="22"/>
          <w:szCs w:val="22"/>
        </w:rPr>
        <w:t xml:space="preserve"> de Bienes y Productos Agropecuarios, Agroindustriales </w:t>
      </w:r>
      <w:r w:rsidR="00D936DE" w:rsidRPr="008825EF">
        <w:rPr>
          <w:rFonts w:ascii="Arial" w:hAnsi="Arial" w:cs="Arial"/>
          <w:bCs/>
          <w:sz w:val="22"/>
          <w:szCs w:val="22"/>
        </w:rPr>
        <w:t>o</w:t>
      </w:r>
      <w:r w:rsidR="001914E7" w:rsidRPr="008825EF">
        <w:rPr>
          <w:rFonts w:ascii="Arial" w:hAnsi="Arial" w:cs="Arial"/>
          <w:bCs/>
          <w:sz w:val="22"/>
          <w:szCs w:val="22"/>
        </w:rPr>
        <w:t xml:space="preserve"> de otros Commodities, </w:t>
      </w:r>
      <w:r w:rsidR="006A5025" w:rsidRPr="008825EF">
        <w:rPr>
          <w:rFonts w:ascii="Arial" w:eastAsia="Arial" w:hAnsi="Arial" w:cs="Arial"/>
          <w:sz w:val="22"/>
          <w:szCs w:val="22"/>
          <w:lang w:eastAsia="es-CO" w:bidi="es-CO"/>
        </w:rPr>
        <w:t xml:space="preserve">los cuales podrán ser asociaciones de </w:t>
      </w:r>
      <w:r w:rsidR="00D5133F" w:rsidRPr="008825EF">
        <w:rPr>
          <w:rFonts w:ascii="Arial" w:eastAsia="Arial" w:hAnsi="Arial" w:cs="Arial"/>
          <w:sz w:val="22"/>
          <w:szCs w:val="22"/>
          <w:lang w:eastAsia="es-CO" w:bidi="es-CO"/>
        </w:rPr>
        <w:t xml:space="preserve">pequeños y </w:t>
      </w:r>
      <w:r w:rsidR="006A5025" w:rsidRPr="008825EF">
        <w:rPr>
          <w:rFonts w:ascii="Arial" w:eastAsia="Arial" w:hAnsi="Arial" w:cs="Arial"/>
          <w:sz w:val="22"/>
          <w:szCs w:val="22"/>
          <w:lang w:eastAsia="es-CO" w:bidi="es-CO"/>
        </w:rPr>
        <w:t>m</w:t>
      </w:r>
      <w:r w:rsidR="00484337" w:rsidRPr="008825EF">
        <w:rPr>
          <w:rFonts w:ascii="Arial" w:eastAsia="Arial" w:hAnsi="Arial" w:cs="Arial"/>
          <w:sz w:val="22"/>
          <w:szCs w:val="22"/>
          <w:lang w:eastAsia="es-CO" w:bidi="es-CO"/>
        </w:rPr>
        <w:t>edianos productores, a quienes de</w:t>
      </w:r>
      <w:r w:rsidR="00EC5DA0" w:rsidRPr="008825EF">
        <w:rPr>
          <w:rFonts w:ascii="Arial" w:eastAsia="Arial" w:hAnsi="Arial" w:cs="Arial"/>
          <w:sz w:val="22"/>
          <w:szCs w:val="22"/>
          <w:lang w:eastAsia="es-CO" w:bidi="es-CO"/>
        </w:rPr>
        <w:t xml:space="preserve">berán </w:t>
      </w:r>
      <w:r w:rsidR="00484337" w:rsidRPr="008825EF">
        <w:rPr>
          <w:rFonts w:ascii="Arial" w:eastAsia="Arial" w:hAnsi="Arial" w:cs="Arial"/>
          <w:sz w:val="22"/>
          <w:szCs w:val="22"/>
          <w:lang w:eastAsia="es-CO" w:bidi="es-CO"/>
        </w:rPr>
        <w:t xml:space="preserve">transferirse </w:t>
      </w:r>
      <w:r w:rsidR="00EC5DA0" w:rsidRPr="008825EF">
        <w:rPr>
          <w:rFonts w:ascii="Arial" w:eastAsia="Arial" w:hAnsi="Arial" w:cs="Arial"/>
          <w:sz w:val="22"/>
          <w:szCs w:val="22"/>
          <w:lang w:eastAsia="es-CO" w:bidi="es-CO"/>
        </w:rPr>
        <w:t xml:space="preserve">el beneficio de tasa de </w:t>
      </w:r>
      <w:r w:rsidR="008615C1" w:rsidRPr="008825EF">
        <w:rPr>
          <w:rFonts w:ascii="Arial" w:eastAsia="Arial" w:hAnsi="Arial" w:cs="Arial"/>
          <w:sz w:val="22"/>
          <w:szCs w:val="22"/>
          <w:lang w:eastAsia="es-CO" w:bidi="es-CO"/>
        </w:rPr>
        <w:t>int</w:t>
      </w:r>
      <w:r w:rsidR="00EC5DA0" w:rsidRPr="008825EF">
        <w:rPr>
          <w:rFonts w:ascii="Arial" w:eastAsia="Arial" w:hAnsi="Arial" w:cs="Arial"/>
          <w:sz w:val="22"/>
          <w:szCs w:val="22"/>
          <w:lang w:eastAsia="es-CO" w:bidi="es-CO"/>
        </w:rPr>
        <w:t>eré</w:t>
      </w:r>
      <w:r w:rsidR="008615C1" w:rsidRPr="008825EF">
        <w:rPr>
          <w:rFonts w:ascii="Arial" w:eastAsia="Arial" w:hAnsi="Arial" w:cs="Arial"/>
          <w:sz w:val="22"/>
          <w:szCs w:val="22"/>
          <w:lang w:eastAsia="es-CO" w:bidi="es-CO"/>
        </w:rPr>
        <w:t>s</w:t>
      </w:r>
      <w:r w:rsidR="00EC5DA0" w:rsidRPr="008825EF">
        <w:rPr>
          <w:rFonts w:ascii="Arial" w:eastAsia="Arial" w:hAnsi="Arial" w:cs="Arial"/>
          <w:sz w:val="22"/>
          <w:szCs w:val="22"/>
          <w:lang w:eastAsia="es-CO" w:bidi="es-CO"/>
        </w:rPr>
        <w:t xml:space="preserve"> de esta línea.</w:t>
      </w:r>
    </w:p>
    <w:p w:rsidR="002A5F3D" w:rsidRPr="008825EF" w:rsidRDefault="002A5F3D" w:rsidP="002A5F3D">
      <w:pPr>
        <w:widowControl w:val="0"/>
        <w:numPr>
          <w:ilvl w:val="0"/>
          <w:numId w:val="1"/>
        </w:numPr>
        <w:tabs>
          <w:tab w:val="left" w:pos="284"/>
          <w:tab w:val="left" w:pos="426"/>
        </w:tabs>
        <w:autoSpaceDE w:val="0"/>
        <w:autoSpaceDN w:val="0"/>
        <w:spacing w:before="77" w:line="0" w:lineRule="atLeast"/>
        <w:ind w:left="284" w:right="81" w:hanging="284"/>
        <w:jc w:val="both"/>
        <w:rPr>
          <w:rFonts w:ascii="Arial" w:eastAsia="Arial" w:hAnsi="Arial" w:cs="Arial"/>
          <w:color w:val="000000" w:themeColor="text1"/>
          <w:sz w:val="22"/>
          <w:szCs w:val="22"/>
          <w:lang w:eastAsia="es-CO" w:bidi="es-CO"/>
        </w:rPr>
      </w:pPr>
      <w:r w:rsidRPr="008825EF">
        <w:rPr>
          <w:rFonts w:ascii="Arial" w:eastAsia="Arial" w:hAnsi="Arial" w:cs="Arial"/>
          <w:color w:val="000000" w:themeColor="text1"/>
          <w:sz w:val="22"/>
          <w:szCs w:val="22"/>
          <w:lang w:eastAsia="es-CO" w:bidi="es-CO"/>
        </w:rPr>
        <w:t xml:space="preserve">Plazo del crédito: </w:t>
      </w:r>
      <w:r w:rsidR="006A5025" w:rsidRPr="008825EF">
        <w:rPr>
          <w:rFonts w:ascii="Arial" w:eastAsia="Arial" w:hAnsi="Arial" w:cs="Arial"/>
          <w:color w:val="000000" w:themeColor="text1"/>
          <w:sz w:val="22"/>
          <w:szCs w:val="22"/>
          <w:lang w:eastAsia="es-CO" w:bidi="es-CO"/>
        </w:rPr>
        <w:t>En concordancia con el plazo de los anticipos, hasta por un máximo de 180 días.</w:t>
      </w:r>
    </w:p>
    <w:p w:rsidR="002B16CE" w:rsidRPr="008825EF" w:rsidRDefault="002B16CE" w:rsidP="002B16CE">
      <w:pPr>
        <w:widowControl w:val="0"/>
        <w:numPr>
          <w:ilvl w:val="0"/>
          <w:numId w:val="1"/>
        </w:numPr>
        <w:tabs>
          <w:tab w:val="left" w:pos="284"/>
          <w:tab w:val="left" w:pos="426"/>
        </w:tabs>
        <w:autoSpaceDE w:val="0"/>
        <w:autoSpaceDN w:val="0"/>
        <w:spacing w:before="77" w:line="0" w:lineRule="atLeast"/>
        <w:ind w:left="284" w:right="81" w:hanging="284"/>
        <w:jc w:val="both"/>
        <w:rPr>
          <w:rFonts w:ascii="Arial" w:eastAsia="Arial" w:hAnsi="Arial" w:cs="Arial"/>
          <w:color w:val="000000" w:themeColor="text1"/>
          <w:sz w:val="22"/>
          <w:szCs w:val="22"/>
          <w:lang w:eastAsia="es-CO" w:bidi="es-CO"/>
        </w:rPr>
      </w:pPr>
      <w:r w:rsidRPr="008825EF">
        <w:rPr>
          <w:rFonts w:ascii="Arial" w:eastAsia="Arial" w:hAnsi="Arial" w:cs="Arial"/>
          <w:color w:val="000000" w:themeColor="text1"/>
          <w:sz w:val="22"/>
          <w:szCs w:val="22"/>
          <w:lang w:eastAsia="es-CO" w:bidi="es-CO"/>
        </w:rPr>
        <w:t xml:space="preserve">Destino del Crédito: </w:t>
      </w:r>
      <w:r w:rsidR="00053BCF" w:rsidRPr="008825EF">
        <w:rPr>
          <w:rFonts w:ascii="Arial" w:eastAsia="Arial" w:hAnsi="Arial" w:cs="Arial"/>
          <w:color w:val="000000" w:themeColor="text1"/>
          <w:sz w:val="22"/>
          <w:szCs w:val="22"/>
          <w:lang w:eastAsia="es-CO" w:bidi="es-CO"/>
        </w:rPr>
        <w:t>Financiar</w:t>
      </w:r>
      <w:r w:rsidRPr="008825EF">
        <w:rPr>
          <w:rFonts w:ascii="Arial" w:eastAsia="Arial" w:hAnsi="Arial" w:cs="Arial"/>
          <w:color w:val="000000" w:themeColor="text1"/>
          <w:sz w:val="22"/>
          <w:szCs w:val="22"/>
          <w:lang w:eastAsia="es-CO" w:bidi="es-CO"/>
        </w:rPr>
        <w:t xml:space="preserve"> </w:t>
      </w:r>
      <w:r w:rsidR="006A5025" w:rsidRPr="008825EF">
        <w:rPr>
          <w:rFonts w:ascii="Arial" w:eastAsia="Arial" w:hAnsi="Arial" w:cs="Arial"/>
          <w:color w:val="000000" w:themeColor="text1"/>
          <w:sz w:val="22"/>
          <w:szCs w:val="22"/>
          <w:lang w:eastAsia="es-CO" w:bidi="es-CO"/>
        </w:rPr>
        <w:t xml:space="preserve">el valor de los </w:t>
      </w:r>
      <w:r w:rsidRPr="008825EF">
        <w:rPr>
          <w:rFonts w:ascii="Arial" w:eastAsia="Arial" w:hAnsi="Arial" w:cs="Arial"/>
          <w:color w:val="000000" w:themeColor="text1"/>
          <w:sz w:val="22"/>
          <w:szCs w:val="22"/>
          <w:lang w:eastAsia="es-CO" w:bidi="es-CO"/>
        </w:rPr>
        <w:t>anti</w:t>
      </w:r>
      <w:r w:rsidR="003957F7" w:rsidRPr="008825EF">
        <w:rPr>
          <w:rFonts w:ascii="Arial" w:eastAsia="Arial" w:hAnsi="Arial" w:cs="Arial"/>
          <w:color w:val="000000" w:themeColor="text1"/>
          <w:sz w:val="22"/>
          <w:szCs w:val="22"/>
          <w:lang w:eastAsia="es-CO" w:bidi="es-CO"/>
        </w:rPr>
        <w:t xml:space="preserve">cipos que se pacten </w:t>
      </w:r>
      <w:r w:rsidR="00A724E7" w:rsidRPr="008825EF">
        <w:rPr>
          <w:rFonts w:ascii="Arial" w:eastAsia="Arial" w:hAnsi="Arial" w:cs="Arial"/>
          <w:color w:val="000000" w:themeColor="text1"/>
          <w:sz w:val="22"/>
          <w:szCs w:val="22"/>
          <w:lang w:eastAsia="es-CO" w:bidi="es-CO"/>
        </w:rPr>
        <w:t>en</w:t>
      </w:r>
      <w:r w:rsidR="003957F7" w:rsidRPr="008825EF">
        <w:rPr>
          <w:rFonts w:ascii="Arial" w:eastAsia="Arial" w:hAnsi="Arial" w:cs="Arial"/>
          <w:color w:val="000000" w:themeColor="text1"/>
          <w:sz w:val="22"/>
          <w:szCs w:val="22"/>
          <w:lang w:eastAsia="es-CO" w:bidi="es-CO"/>
        </w:rPr>
        <w:t xml:space="preserve"> la</w:t>
      </w:r>
      <w:r w:rsidRPr="008825EF">
        <w:rPr>
          <w:rFonts w:ascii="Arial" w:eastAsia="Arial" w:hAnsi="Arial" w:cs="Arial"/>
          <w:color w:val="000000" w:themeColor="text1"/>
          <w:sz w:val="22"/>
          <w:szCs w:val="22"/>
          <w:lang w:eastAsia="es-CO" w:bidi="es-CO"/>
        </w:rPr>
        <w:t>s</w:t>
      </w:r>
      <w:r w:rsidR="003957F7" w:rsidRPr="008825EF">
        <w:rPr>
          <w:rFonts w:ascii="Arial" w:eastAsia="Arial" w:hAnsi="Arial" w:cs="Arial"/>
          <w:color w:val="000000" w:themeColor="text1"/>
          <w:sz w:val="22"/>
          <w:szCs w:val="22"/>
          <w:lang w:eastAsia="es-CO" w:bidi="es-CO"/>
        </w:rPr>
        <w:t xml:space="preserve"> operaciones</w:t>
      </w:r>
      <w:r w:rsidRPr="008825EF">
        <w:rPr>
          <w:rFonts w:ascii="Arial" w:eastAsia="Arial" w:hAnsi="Arial" w:cs="Arial"/>
          <w:color w:val="000000" w:themeColor="text1"/>
          <w:sz w:val="22"/>
          <w:szCs w:val="22"/>
          <w:lang w:eastAsia="es-CO" w:bidi="es-CO"/>
        </w:rPr>
        <w:t xml:space="preserve"> Forward </w:t>
      </w:r>
      <w:r w:rsidR="000A5D54" w:rsidRPr="008825EF">
        <w:rPr>
          <w:rFonts w:ascii="Arial" w:eastAsia="Arial" w:hAnsi="Arial" w:cs="Arial"/>
          <w:color w:val="000000" w:themeColor="text1"/>
          <w:sz w:val="22"/>
          <w:szCs w:val="22"/>
          <w:lang w:eastAsia="es-CO" w:bidi="es-CO"/>
        </w:rPr>
        <w:t xml:space="preserve">de productos </w:t>
      </w:r>
      <w:r w:rsidR="00353CB0" w:rsidRPr="008825EF">
        <w:rPr>
          <w:rFonts w:ascii="Arial" w:eastAsia="Arial" w:hAnsi="Arial" w:cs="Arial"/>
          <w:color w:val="000000" w:themeColor="text1"/>
          <w:sz w:val="22"/>
          <w:szCs w:val="22"/>
          <w:lang w:eastAsia="es-CO" w:bidi="es-CO"/>
        </w:rPr>
        <w:t>agropecuarios, agroindustriales, pesqueros</w:t>
      </w:r>
      <w:r w:rsidR="000E4CC6" w:rsidRPr="008825EF">
        <w:rPr>
          <w:rFonts w:ascii="Arial" w:eastAsia="Arial" w:hAnsi="Arial" w:cs="Arial"/>
          <w:color w:val="000000" w:themeColor="text1"/>
          <w:sz w:val="22"/>
          <w:szCs w:val="22"/>
          <w:lang w:eastAsia="es-CO" w:bidi="es-CO"/>
        </w:rPr>
        <w:t>, pisc</w:t>
      </w:r>
      <w:r w:rsidR="006F4488" w:rsidRPr="008825EF">
        <w:rPr>
          <w:rFonts w:ascii="Arial" w:eastAsia="Arial" w:hAnsi="Arial" w:cs="Arial"/>
          <w:color w:val="000000" w:themeColor="text1"/>
          <w:sz w:val="22"/>
          <w:szCs w:val="22"/>
          <w:lang w:eastAsia="es-CO" w:bidi="es-CO"/>
        </w:rPr>
        <w:t>ícolas</w:t>
      </w:r>
      <w:r w:rsidR="00353CB0" w:rsidRPr="008825EF">
        <w:rPr>
          <w:rFonts w:ascii="Arial" w:eastAsia="Arial" w:hAnsi="Arial" w:cs="Arial"/>
          <w:color w:val="000000" w:themeColor="text1"/>
          <w:sz w:val="22"/>
          <w:szCs w:val="22"/>
          <w:lang w:eastAsia="es-CO" w:bidi="es-CO"/>
        </w:rPr>
        <w:t xml:space="preserve"> y forestales</w:t>
      </w:r>
      <w:r w:rsidR="00846D29" w:rsidRPr="008825EF">
        <w:rPr>
          <w:rFonts w:ascii="Arial" w:eastAsia="Arial" w:hAnsi="Arial" w:cs="Arial"/>
          <w:color w:val="000000" w:themeColor="text1"/>
          <w:sz w:val="22"/>
          <w:szCs w:val="22"/>
          <w:lang w:eastAsia="es-CO" w:bidi="es-CO"/>
        </w:rPr>
        <w:t xml:space="preserve"> </w:t>
      </w:r>
      <w:r w:rsidRPr="008825EF">
        <w:rPr>
          <w:rFonts w:ascii="Arial" w:eastAsia="Arial" w:hAnsi="Arial" w:cs="Arial"/>
          <w:color w:val="000000" w:themeColor="text1"/>
          <w:sz w:val="22"/>
          <w:szCs w:val="22"/>
          <w:lang w:eastAsia="es-CO" w:bidi="es-CO"/>
        </w:rPr>
        <w:t xml:space="preserve">transados en </w:t>
      </w:r>
      <w:r w:rsidR="000A5D54" w:rsidRPr="008825EF">
        <w:rPr>
          <w:rFonts w:ascii="Arial" w:hAnsi="Arial" w:cs="Arial"/>
          <w:sz w:val="22"/>
          <w:szCs w:val="22"/>
        </w:rPr>
        <w:t xml:space="preserve">las </w:t>
      </w:r>
      <w:r w:rsidR="000A5D54" w:rsidRPr="008825EF">
        <w:rPr>
          <w:rFonts w:ascii="Arial" w:hAnsi="Arial" w:cs="Arial"/>
          <w:bCs/>
          <w:sz w:val="22"/>
          <w:szCs w:val="22"/>
        </w:rPr>
        <w:t xml:space="preserve">Bolsas de Bienes y Productos Agropecuarios, Agroindustriales </w:t>
      </w:r>
      <w:r w:rsidR="00D936DE" w:rsidRPr="008825EF">
        <w:rPr>
          <w:rFonts w:ascii="Arial" w:hAnsi="Arial" w:cs="Arial"/>
          <w:bCs/>
          <w:sz w:val="22"/>
          <w:szCs w:val="22"/>
        </w:rPr>
        <w:t>o</w:t>
      </w:r>
      <w:r w:rsidR="000A5D54" w:rsidRPr="008825EF">
        <w:rPr>
          <w:rFonts w:ascii="Arial" w:hAnsi="Arial" w:cs="Arial"/>
          <w:bCs/>
          <w:sz w:val="22"/>
          <w:szCs w:val="22"/>
        </w:rPr>
        <w:t xml:space="preserve"> de otros </w:t>
      </w:r>
      <w:proofErr w:type="spellStart"/>
      <w:r w:rsidR="000A5D54" w:rsidRPr="008825EF">
        <w:rPr>
          <w:rFonts w:ascii="Arial" w:hAnsi="Arial" w:cs="Arial"/>
          <w:bCs/>
          <w:sz w:val="22"/>
          <w:szCs w:val="22"/>
        </w:rPr>
        <w:t>commodities</w:t>
      </w:r>
      <w:proofErr w:type="spellEnd"/>
      <w:r w:rsidRPr="008825EF">
        <w:rPr>
          <w:rFonts w:ascii="Arial" w:eastAsia="Arial" w:hAnsi="Arial" w:cs="Arial"/>
          <w:color w:val="000000" w:themeColor="text1"/>
          <w:sz w:val="22"/>
          <w:szCs w:val="22"/>
          <w:lang w:eastAsia="es-CO" w:bidi="es-CO"/>
        </w:rPr>
        <w:t>.</w:t>
      </w:r>
    </w:p>
    <w:p w:rsidR="002A5F3D" w:rsidRPr="008825EF" w:rsidRDefault="002A5F3D" w:rsidP="002A5F3D">
      <w:pPr>
        <w:widowControl w:val="0"/>
        <w:numPr>
          <w:ilvl w:val="0"/>
          <w:numId w:val="1"/>
        </w:numPr>
        <w:tabs>
          <w:tab w:val="left" w:pos="284"/>
          <w:tab w:val="left" w:pos="360"/>
          <w:tab w:val="left" w:pos="426"/>
        </w:tabs>
        <w:autoSpaceDE w:val="0"/>
        <w:autoSpaceDN w:val="0"/>
        <w:spacing w:before="77"/>
        <w:ind w:left="284" w:right="81" w:hanging="284"/>
        <w:jc w:val="both"/>
        <w:rPr>
          <w:rFonts w:ascii="Arial" w:eastAsia="Arial" w:hAnsi="Arial" w:cs="Arial"/>
          <w:color w:val="000000" w:themeColor="text1"/>
          <w:sz w:val="22"/>
          <w:szCs w:val="22"/>
          <w:lang w:eastAsia="es-CO" w:bidi="es-CO"/>
        </w:rPr>
      </w:pPr>
      <w:r w:rsidRPr="008825EF">
        <w:rPr>
          <w:rFonts w:ascii="Arial" w:eastAsia="Arial" w:hAnsi="Arial" w:cs="Arial"/>
          <w:color w:val="000000" w:themeColor="text1"/>
          <w:sz w:val="22"/>
          <w:szCs w:val="22"/>
          <w:lang w:eastAsia="es-CO" w:bidi="es-CO"/>
        </w:rPr>
        <w:t xml:space="preserve">Tasa de </w:t>
      </w:r>
      <w:r w:rsidR="006A5025" w:rsidRPr="008825EF">
        <w:rPr>
          <w:rFonts w:ascii="Arial" w:eastAsia="Arial" w:hAnsi="Arial" w:cs="Arial"/>
          <w:color w:val="000000" w:themeColor="text1"/>
          <w:sz w:val="22"/>
          <w:szCs w:val="22"/>
          <w:lang w:eastAsia="es-CO" w:bidi="es-CO"/>
        </w:rPr>
        <w:t>i</w:t>
      </w:r>
      <w:r w:rsidRPr="008825EF">
        <w:rPr>
          <w:rFonts w:ascii="Arial" w:eastAsia="Arial" w:hAnsi="Arial" w:cs="Arial"/>
          <w:color w:val="000000" w:themeColor="text1"/>
          <w:sz w:val="22"/>
          <w:szCs w:val="22"/>
          <w:lang w:eastAsia="es-CO" w:bidi="es-CO"/>
        </w:rPr>
        <w:t>nterés, tasa de redescuento y subsidio a la tasa de interés:</w:t>
      </w:r>
    </w:p>
    <w:p w:rsidR="00B3646D" w:rsidRPr="008825EF" w:rsidRDefault="00B3646D" w:rsidP="00B3646D">
      <w:pPr>
        <w:widowControl w:val="0"/>
        <w:tabs>
          <w:tab w:val="left" w:pos="284"/>
          <w:tab w:val="left" w:pos="360"/>
          <w:tab w:val="left" w:pos="426"/>
        </w:tabs>
        <w:autoSpaceDE w:val="0"/>
        <w:autoSpaceDN w:val="0"/>
        <w:spacing w:before="77"/>
        <w:ind w:left="284" w:right="81"/>
        <w:jc w:val="both"/>
        <w:rPr>
          <w:rFonts w:ascii="Arial" w:eastAsia="Arial" w:hAnsi="Arial" w:cs="Arial"/>
          <w:color w:val="000000" w:themeColor="text1"/>
          <w:sz w:val="22"/>
          <w:szCs w:val="22"/>
          <w:lang w:eastAsia="es-CO" w:bidi="es-CO"/>
        </w:rPr>
      </w:pPr>
    </w:p>
    <w:tbl>
      <w:tblPr>
        <w:tblW w:w="6896" w:type="dxa"/>
        <w:tblInd w:w="970" w:type="dxa"/>
        <w:tblCellMar>
          <w:left w:w="70" w:type="dxa"/>
          <w:right w:w="70" w:type="dxa"/>
        </w:tblCellMar>
        <w:tblLook w:val="04A0" w:firstRow="1" w:lastRow="0" w:firstColumn="1" w:lastColumn="0" w:noHBand="0" w:noVBand="1"/>
      </w:tblPr>
      <w:tblGrid>
        <w:gridCol w:w="1607"/>
        <w:gridCol w:w="1919"/>
        <w:gridCol w:w="1529"/>
        <w:gridCol w:w="1841"/>
      </w:tblGrid>
      <w:tr w:rsidR="003C5C47" w:rsidRPr="008825EF" w:rsidTr="00D5133F">
        <w:trPr>
          <w:trHeight w:val="357"/>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C47" w:rsidRPr="008825EF" w:rsidRDefault="003C5C47" w:rsidP="00B3646D">
            <w:pPr>
              <w:jc w:val="center"/>
              <w:rPr>
                <w:rFonts w:ascii="Arial" w:hAnsi="Arial" w:cs="Arial"/>
                <w:b/>
                <w:bCs/>
                <w:color w:val="000000" w:themeColor="text1"/>
                <w:sz w:val="20"/>
                <w:szCs w:val="22"/>
                <w:lang w:eastAsia="es-CO"/>
              </w:rPr>
            </w:pPr>
            <w:r w:rsidRPr="008825EF">
              <w:rPr>
                <w:rFonts w:ascii="Arial" w:hAnsi="Arial" w:cs="Arial"/>
                <w:b/>
                <w:bCs/>
                <w:color w:val="000000" w:themeColor="text1"/>
                <w:sz w:val="20"/>
                <w:szCs w:val="22"/>
                <w:lang w:eastAsia="es-CO"/>
              </w:rPr>
              <w:lastRenderedPageBreak/>
              <w:t>Tipo de Productor</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3C5C47" w:rsidRPr="008825EF" w:rsidRDefault="003C5C47" w:rsidP="00B3646D">
            <w:pPr>
              <w:jc w:val="center"/>
              <w:rPr>
                <w:rFonts w:ascii="Arial" w:hAnsi="Arial" w:cs="Arial"/>
                <w:b/>
                <w:bCs/>
                <w:color w:val="000000" w:themeColor="text1"/>
                <w:sz w:val="20"/>
                <w:szCs w:val="22"/>
                <w:lang w:eastAsia="es-CO"/>
              </w:rPr>
            </w:pPr>
            <w:r w:rsidRPr="008825EF">
              <w:rPr>
                <w:rFonts w:ascii="Arial" w:hAnsi="Arial" w:cs="Arial"/>
                <w:b/>
                <w:bCs/>
                <w:color w:val="000000" w:themeColor="text1"/>
                <w:sz w:val="20"/>
                <w:szCs w:val="22"/>
                <w:lang w:eastAsia="es-CO"/>
              </w:rPr>
              <w:t>Tasa de Redescuento</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3C5C47" w:rsidRPr="008825EF" w:rsidRDefault="003C5C47" w:rsidP="00B3646D">
            <w:pPr>
              <w:jc w:val="center"/>
              <w:rPr>
                <w:rFonts w:ascii="Arial" w:hAnsi="Arial" w:cs="Arial"/>
                <w:b/>
                <w:bCs/>
                <w:color w:val="000000" w:themeColor="text1"/>
                <w:sz w:val="20"/>
                <w:szCs w:val="22"/>
                <w:lang w:eastAsia="es-CO"/>
              </w:rPr>
            </w:pPr>
            <w:r w:rsidRPr="008825EF">
              <w:rPr>
                <w:rFonts w:ascii="Arial" w:hAnsi="Arial" w:cs="Arial"/>
                <w:b/>
                <w:bCs/>
                <w:color w:val="000000" w:themeColor="text1"/>
                <w:sz w:val="20"/>
                <w:szCs w:val="22"/>
                <w:lang w:eastAsia="es-CO"/>
              </w:rPr>
              <w:t>Subsidio a la tasa</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rsidR="003C5C47" w:rsidRPr="008825EF" w:rsidRDefault="003C5C47" w:rsidP="00B3646D">
            <w:pPr>
              <w:jc w:val="center"/>
              <w:rPr>
                <w:rFonts w:ascii="Arial" w:hAnsi="Arial" w:cs="Arial"/>
                <w:b/>
                <w:bCs/>
                <w:color w:val="000000" w:themeColor="text1"/>
                <w:sz w:val="20"/>
                <w:szCs w:val="22"/>
                <w:lang w:eastAsia="es-CO"/>
              </w:rPr>
            </w:pPr>
            <w:r w:rsidRPr="008825EF">
              <w:rPr>
                <w:rFonts w:ascii="Arial" w:hAnsi="Arial" w:cs="Arial"/>
                <w:b/>
                <w:bCs/>
                <w:color w:val="000000" w:themeColor="text1"/>
                <w:sz w:val="20"/>
                <w:szCs w:val="22"/>
                <w:lang w:eastAsia="es-CO"/>
              </w:rPr>
              <w:t>Tasa de Interés Final</w:t>
            </w:r>
          </w:p>
        </w:tc>
      </w:tr>
      <w:tr w:rsidR="003C5C47" w:rsidRPr="008825EF" w:rsidTr="002C6D6C">
        <w:trPr>
          <w:trHeight w:val="339"/>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3C5C47" w:rsidRPr="008825EF" w:rsidRDefault="003C5C47" w:rsidP="00B3646D">
            <w:pPr>
              <w:jc w:val="center"/>
              <w:rPr>
                <w:rFonts w:ascii="Arial" w:hAnsi="Arial" w:cs="Arial"/>
                <w:color w:val="000000"/>
                <w:sz w:val="20"/>
                <w:szCs w:val="22"/>
                <w:lang w:eastAsia="es-CO"/>
              </w:rPr>
            </w:pPr>
            <w:r w:rsidRPr="008825EF">
              <w:rPr>
                <w:rFonts w:ascii="Arial" w:hAnsi="Arial" w:cs="Arial"/>
                <w:color w:val="000000"/>
                <w:sz w:val="20"/>
                <w:szCs w:val="22"/>
                <w:lang w:eastAsia="es-CO"/>
              </w:rPr>
              <w:t>Integrador Bursátil</w:t>
            </w:r>
          </w:p>
        </w:tc>
        <w:tc>
          <w:tcPr>
            <w:tcW w:w="1919" w:type="dxa"/>
            <w:tcBorders>
              <w:top w:val="nil"/>
              <w:left w:val="nil"/>
              <w:bottom w:val="single" w:sz="4" w:space="0" w:color="auto"/>
              <w:right w:val="single" w:sz="4" w:space="0" w:color="auto"/>
            </w:tcBorders>
            <w:shd w:val="clear" w:color="auto" w:fill="auto"/>
            <w:noWrap/>
            <w:vAlign w:val="bottom"/>
            <w:hideMark/>
          </w:tcPr>
          <w:p w:rsidR="003C5C47" w:rsidRPr="008825EF" w:rsidRDefault="003C5C47" w:rsidP="00B3646D">
            <w:pPr>
              <w:jc w:val="center"/>
              <w:rPr>
                <w:rFonts w:ascii="Arial" w:hAnsi="Arial" w:cs="Arial"/>
                <w:color w:val="000000"/>
                <w:sz w:val="20"/>
                <w:szCs w:val="22"/>
                <w:lang w:eastAsia="es-CO"/>
              </w:rPr>
            </w:pPr>
            <w:r w:rsidRPr="008825EF">
              <w:rPr>
                <w:rFonts w:ascii="Arial" w:hAnsi="Arial" w:cs="Arial"/>
                <w:color w:val="000000"/>
                <w:sz w:val="20"/>
                <w:szCs w:val="22"/>
                <w:lang w:eastAsia="es-CO"/>
              </w:rPr>
              <w:t xml:space="preserve">DTF-1% </w:t>
            </w:r>
            <w:proofErr w:type="spellStart"/>
            <w:r w:rsidRPr="008825EF">
              <w:rPr>
                <w:rFonts w:ascii="Arial" w:hAnsi="Arial" w:cs="Arial"/>
                <w:color w:val="000000"/>
                <w:sz w:val="20"/>
                <w:szCs w:val="22"/>
                <w:lang w:eastAsia="es-CO"/>
              </w:rPr>
              <w:t>ea</w:t>
            </w:r>
            <w:proofErr w:type="spellEnd"/>
          </w:p>
        </w:tc>
        <w:tc>
          <w:tcPr>
            <w:tcW w:w="1529" w:type="dxa"/>
            <w:tcBorders>
              <w:top w:val="nil"/>
              <w:left w:val="nil"/>
              <w:bottom w:val="single" w:sz="4" w:space="0" w:color="auto"/>
              <w:right w:val="single" w:sz="4" w:space="0" w:color="auto"/>
            </w:tcBorders>
            <w:shd w:val="clear" w:color="auto" w:fill="auto"/>
            <w:noWrap/>
            <w:vAlign w:val="bottom"/>
            <w:hideMark/>
          </w:tcPr>
          <w:p w:rsidR="003C5C47" w:rsidRPr="008825EF" w:rsidRDefault="003C5C47" w:rsidP="00B3646D">
            <w:pPr>
              <w:jc w:val="center"/>
              <w:rPr>
                <w:rFonts w:ascii="Arial" w:hAnsi="Arial" w:cs="Arial"/>
                <w:color w:val="000000"/>
                <w:sz w:val="20"/>
                <w:szCs w:val="22"/>
                <w:lang w:eastAsia="es-CO"/>
              </w:rPr>
            </w:pPr>
            <w:r w:rsidRPr="008825EF">
              <w:rPr>
                <w:rFonts w:ascii="Arial" w:hAnsi="Arial" w:cs="Arial"/>
                <w:color w:val="000000"/>
                <w:sz w:val="20"/>
                <w:szCs w:val="22"/>
                <w:lang w:eastAsia="es-CO"/>
              </w:rPr>
              <w:t>4%</w:t>
            </w:r>
          </w:p>
        </w:tc>
        <w:tc>
          <w:tcPr>
            <w:tcW w:w="1841" w:type="dxa"/>
            <w:tcBorders>
              <w:top w:val="nil"/>
              <w:left w:val="nil"/>
              <w:bottom w:val="single" w:sz="4" w:space="0" w:color="auto"/>
              <w:right w:val="single" w:sz="4" w:space="0" w:color="auto"/>
            </w:tcBorders>
            <w:shd w:val="clear" w:color="auto" w:fill="auto"/>
            <w:noWrap/>
            <w:vAlign w:val="bottom"/>
            <w:hideMark/>
          </w:tcPr>
          <w:p w:rsidR="003C5C47" w:rsidRPr="008825EF" w:rsidRDefault="003C5C47" w:rsidP="00B3646D">
            <w:pPr>
              <w:jc w:val="center"/>
              <w:rPr>
                <w:rFonts w:ascii="Arial" w:hAnsi="Arial" w:cs="Arial"/>
                <w:color w:val="000000"/>
                <w:sz w:val="20"/>
                <w:szCs w:val="22"/>
                <w:lang w:eastAsia="es-CO"/>
              </w:rPr>
            </w:pPr>
            <w:r w:rsidRPr="008825EF">
              <w:rPr>
                <w:rFonts w:ascii="Arial" w:hAnsi="Arial" w:cs="Arial"/>
                <w:color w:val="000000"/>
                <w:sz w:val="20"/>
                <w:szCs w:val="22"/>
                <w:lang w:eastAsia="es-CO"/>
              </w:rPr>
              <w:t xml:space="preserve">Hasta DTF+2% </w:t>
            </w:r>
            <w:proofErr w:type="spellStart"/>
            <w:r w:rsidRPr="008825EF">
              <w:rPr>
                <w:rFonts w:ascii="Arial" w:hAnsi="Arial" w:cs="Arial"/>
                <w:color w:val="000000"/>
                <w:sz w:val="20"/>
                <w:szCs w:val="22"/>
                <w:lang w:eastAsia="es-CO"/>
              </w:rPr>
              <w:t>ea</w:t>
            </w:r>
            <w:proofErr w:type="spellEnd"/>
          </w:p>
        </w:tc>
      </w:tr>
    </w:tbl>
    <w:p w:rsidR="00512E2C" w:rsidRPr="008825EF" w:rsidRDefault="00512E2C" w:rsidP="00512E2C">
      <w:pPr>
        <w:widowControl w:val="0"/>
        <w:tabs>
          <w:tab w:val="left" w:pos="284"/>
          <w:tab w:val="left" w:pos="360"/>
          <w:tab w:val="left" w:pos="426"/>
        </w:tabs>
        <w:autoSpaceDE w:val="0"/>
        <w:autoSpaceDN w:val="0"/>
        <w:spacing w:before="77"/>
        <w:ind w:left="284" w:right="81"/>
        <w:jc w:val="both"/>
        <w:rPr>
          <w:rFonts w:ascii="Arial" w:eastAsia="Arial" w:hAnsi="Arial" w:cs="Arial"/>
          <w:color w:val="000000" w:themeColor="text1"/>
          <w:sz w:val="22"/>
          <w:szCs w:val="22"/>
          <w:lang w:eastAsia="es-CO" w:bidi="es-CO"/>
        </w:rPr>
      </w:pPr>
    </w:p>
    <w:p w:rsidR="002A5F3D" w:rsidRPr="008825EF" w:rsidRDefault="002A5F3D" w:rsidP="002A5F3D">
      <w:pPr>
        <w:widowControl w:val="0"/>
        <w:autoSpaceDE w:val="0"/>
        <w:autoSpaceDN w:val="0"/>
        <w:spacing w:line="0" w:lineRule="atLeast"/>
        <w:ind w:left="993" w:hanging="284"/>
        <w:jc w:val="both"/>
        <w:rPr>
          <w:rFonts w:ascii="Arial" w:eastAsia="Arial" w:hAnsi="Arial" w:cs="Arial"/>
          <w:color w:val="000000" w:themeColor="text1"/>
          <w:sz w:val="22"/>
          <w:szCs w:val="22"/>
          <w:lang w:eastAsia="es-CO" w:bidi="es-CO"/>
        </w:rPr>
      </w:pPr>
      <w:r w:rsidRPr="008825EF">
        <w:rPr>
          <w:rFonts w:ascii="Arial" w:eastAsia="Arial" w:hAnsi="Arial" w:cs="Arial"/>
          <w:color w:val="000000" w:themeColor="text1"/>
          <w:sz w:val="22"/>
          <w:szCs w:val="22"/>
          <w:lang w:eastAsia="es-CO" w:bidi="es-CO"/>
        </w:rPr>
        <w:t>Estas operaciones sólo podrán tramitarse mediante redescuento ante FINAGRO.</w:t>
      </w:r>
    </w:p>
    <w:p w:rsidR="006D2DEB" w:rsidRPr="008825EF" w:rsidRDefault="006D2DEB" w:rsidP="002A5F3D">
      <w:pPr>
        <w:widowControl w:val="0"/>
        <w:autoSpaceDE w:val="0"/>
        <w:autoSpaceDN w:val="0"/>
        <w:spacing w:line="0" w:lineRule="atLeast"/>
        <w:ind w:left="993" w:hanging="284"/>
        <w:jc w:val="both"/>
        <w:rPr>
          <w:rFonts w:ascii="Arial" w:eastAsia="Arial" w:hAnsi="Arial" w:cs="Arial"/>
          <w:color w:val="000000" w:themeColor="text1"/>
          <w:sz w:val="22"/>
          <w:szCs w:val="22"/>
          <w:lang w:eastAsia="es-CO" w:bidi="es-CO"/>
        </w:rPr>
      </w:pPr>
    </w:p>
    <w:p w:rsidR="006D2DEB" w:rsidRPr="008825EF" w:rsidRDefault="006D2DEB" w:rsidP="006D2DEB">
      <w:pPr>
        <w:suppressAutoHyphens/>
        <w:ind w:left="284" w:right="51"/>
        <w:jc w:val="both"/>
        <w:rPr>
          <w:rFonts w:ascii="Arial" w:hAnsi="Arial" w:cs="Arial"/>
          <w:bCs/>
          <w:spacing w:val="-3"/>
          <w:sz w:val="22"/>
          <w:szCs w:val="22"/>
        </w:rPr>
      </w:pPr>
      <w:r w:rsidRPr="008825EF">
        <w:rPr>
          <w:rFonts w:ascii="Arial" w:hAnsi="Arial" w:cs="Arial"/>
          <w:bCs/>
          <w:spacing w:val="-3"/>
          <w:sz w:val="22"/>
          <w:szCs w:val="22"/>
        </w:rPr>
        <w:t>De conformidad con el artículo 2o. de la Resolución No. 8 de 2018</w:t>
      </w:r>
      <w:r w:rsidR="006F4488" w:rsidRPr="008825EF">
        <w:rPr>
          <w:rFonts w:ascii="Arial" w:hAnsi="Arial" w:cs="Arial"/>
          <w:bCs/>
          <w:spacing w:val="-3"/>
          <w:sz w:val="22"/>
          <w:szCs w:val="22"/>
        </w:rPr>
        <w:t xml:space="preserve"> de la Comisión Nacional de Crédito Agropecuario - CNCA</w:t>
      </w:r>
      <w:r w:rsidRPr="008825EF">
        <w:rPr>
          <w:rFonts w:ascii="Arial" w:hAnsi="Arial" w:cs="Arial"/>
          <w:bCs/>
          <w:spacing w:val="-3"/>
          <w:sz w:val="22"/>
          <w:szCs w:val="22"/>
        </w:rPr>
        <w:t>, FINAGRO señalará la equivalencia de tasas a IBR aplicable</w:t>
      </w:r>
      <w:r w:rsidR="00721FBA" w:rsidRPr="008825EF">
        <w:rPr>
          <w:rFonts w:ascii="Arial" w:hAnsi="Arial" w:cs="Arial"/>
          <w:bCs/>
          <w:spacing w:val="-3"/>
          <w:sz w:val="22"/>
          <w:szCs w:val="22"/>
        </w:rPr>
        <w:t>s</w:t>
      </w:r>
      <w:r w:rsidRPr="008825EF">
        <w:rPr>
          <w:rFonts w:ascii="Arial" w:hAnsi="Arial" w:cs="Arial"/>
          <w:bCs/>
          <w:spacing w:val="-3"/>
          <w:sz w:val="22"/>
          <w:szCs w:val="22"/>
        </w:rPr>
        <w:t xml:space="preserve"> </w:t>
      </w:r>
      <w:r w:rsidR="00721FBA" w:rsidRPr="008825EF">
        <w:rPr>
          <w:rFonts w:ascii="Arial" w:hAnsi="Arial" w:cs="Arial"/>
          <w:bCs/>
          <w:spacing w:val="-3"/>
          <w:sz w:val="22"/>
          <w:szCs w:val="22"/>
        </w:rPr>
        <w:t>para la presente Línea</w:t>
      </w:r>
      <w:r w:rsidRPr="008825EF">
        <w:rPr>
          <w:rFonts w:ascii="Arial" w:hAnsi="Arial" w:cs="Arial"/>
          <w:bCs/>
          <w:spacing w:val="-3"/>
          <w:sz w:val="22"/>
          <w:szCs w:val="22"/>
        </w:rPr>
        <w:t>.</w:t>
      </w:r>
    </w:p>
    <w:p w:rsidR="006F4488" w:rsidRPr="008825EF" w:rsidRDefault="006F4488" w:rsidP="006D2DEB">
      <w:pPr>
        <w:suppressAutoHyphens/>
        <w:ind w:left="284" w:right="51"/>
        <w:jc w:val="both"/>
        <w:rPr>
          <w:rFonts w:ascii="Arial" w:hAnsi="Arial" w:cs="Arial"/>
          <w:bCs/>
          <w:color w:val="FF0000"/>
          <w:spacing w:val="-3"/>
          <w:sz w:val="22"/>
          <w:szCs w:val="22"/>
        </w:rPr>
      </w:pPr>
    </w:p>
    <w:p w:rsidR="00F66BD8" w:rsidRPr="008825EF" w:rsidRDefault="006C5F64" w:rsidP="00F66BD8">
      <w:pPr>
        <w:pStyle w:val="Prrafodelista"/>
        <w:numPr>
          <w:ilvl w:val="0"/>
          <w:numId w:val="1"/>
        </w:numPr>
        <w:rPr>
          <w:rFonts w:eastAsia="Arial"/>
          <w:lang w:eastAsia="es-CO" w:bidi="es-CO"/>
        </w:rPr>
      </w:pPr>
      <w:r w:rsidRPr="008825EF">
        <w:rPr>
          <w:rFonts w:ascii="Arial" w:hAnsi="Arial" w:cs="Arial"/>
          <w:bCs/>
          <w:spacing w:val="-3"/>
          <w:sz w:val="22"/>
          <w:szCs w:val="22"/>
        </w:rPr>
        <w:t xml:space="preserve">Margen de redescuento: </w:t>
      </w:r>
      <w:r w:rsidR="00F66BD8" w:rsidRPr="008825EF">
        <w:rPr>
          <w:rFonts w:ascii="Arial" w:hAnsi="Arial" w:cs="Arial"/>
          <w:bCs/>
          <w:spacing w:val="-3"/>
          <w:sz w:val="22"/>
          <w:szCs w:val="22"/>
        </w:rPr>
        <w:t>El margen de redescuento para el intermediario financiero será de hasta del cien por ciento (100%) del valor del crédito.</w:t>
      </w:r>
    </w:p>
    <w:p w:rsidR="00F66BD8" w:rsidRPr="008825EF" w:rsidRDefault="00F66BD8" w:rsidP="00F66BD8">
      <w:pPr>
        <w:pStyle w:val="Prrafodelista"/>
        <w:ind w:left="360"/>
        <w:rPr>
          <w:rFonts w:eastAsia="Arial"/>
          <w:lang w:eastAsia="es-CO" w:bidi="es-CO"/>
        </w:rPr>
      </w:pPr>
    </w:p>
    <w:p w:rsidR="00F66BD8" w:rsidRPr="008825EF" w:rsidRDefault="006C5F64" w:rsidP="00C96138">
      <w:pPr>
        <w:pStyle w:val="Prrafodelista"/>
        <w:widowControl w:val="0"/>
        <w:numPr>
          <w:ilvl w:val="0"/>
          <w:numId w:val="1"/>
        </w:numPr>
        <w:autoSpaceDE w:val="0"/>
        <w:autoSpaceDN w:val="0"/>
        <w:spacing w:before="77" w:line="0" w:lineRule="atLeast"/>
        <w:ind w:right="81"/>
        <w:jc w:val="both"/>
        <w:rPr>
          <w:rFonts w:ascii="Arial" w:eastAsia="Arial" w:hAnsi="Arial" w:cs="Arial"/>
          <w:color w:val="000000" w:themeColor="text1"/>
          <w:sz w:val="22"/>
          <w:szCs w:val="22"/>
          <w:lang w:eastAsia="es-CO" w:bidi="es-CO"/>
        </w:rPr>
      </w:pPr>
      <w:r w:rsidRPr="008825EF">
        <w:rPr>
          <w:rFonts w:ascii="Arial" w:eastAsia="Arial" w:hAnsi="Arial" w:cs="Arial"/>
          <w:sz w:val="22"/>
          <w:szCs w:val="22"/>
          <w:lang w:eastAsia="es-CO" w:bidi="es-CO"/>
        </w:rPr>
        <w:t xml:space="preserve">Garantías: </w:t>
      </w:r>
      <w:r w:rsidR="00BF7359" w:rsidRPr="008825EF">
        <w:rPr>
          <w:rFonts w:ascii="Arial" w:eastAsia="Arial" w:hAnsi="Arial" w:cs="Arial"/>
          <w:sz w:val="22"/>
          <w:szCs w:val="22"/>
          <w:lang w:eastAsia="es-CO" w:bidi="es-CO"/>
        </w:rPr>
        <w:t>Los créditos que se concedan por esta línea de redescuento no tendrán acceso a garantías del FAG.</w:t>
      </w:r>
    </w:p>
    <w:p w:rsidR="00F66BD8" w:rsidRPr="00F66BD8" w:rsidRDefault="00F66BD8" w:rsidP="00F66BD8">
      <w:pPr>
        <w:pStyle w:val="Prrafodelista"/>
        <w:widowControl w:val="0"/>
        <w:autoSpaceDE w:val="0"/>
        <w:autoSpaceDN w:val="0"/>
        <w:spacing w:before="77" w:line="0" w:lineRule="atLeast"/>
        <w:ind w:left="360" w:right="81"/>
        <w:jc w:val="both"/>
        <w:rPr>
          <w:rFonts w:ascii="Arial" w:eastAsia="Arial" w:hAnsi="Arial" w:cs="Arial"/>
          <w:color w:val="000000" w:themeColor="text1"/>
          <w:sz w:val="22"/>
          <w:szCs w:val="22"/>
          <w:lang w:eastAsia="es-CO" w:bidi="es-CO"/>
        </w:rPr>
      </w:pPr>
    </w:p>
    <w:p w:rsidR="00F66BD8" w:rsidRPr="00D5133F" w:rsidRDefault="00F66BD8" w:rsidP="00C96138">
      <w:pPr>
        <w:pStyle w:val="Prrafodelista"/>
        <w:widowControl w:val="0"/>
        <w:numPr>
          <w:ilvl w:val="0"/>
          <w:numId w:val="1"/>
        </w:numPr>
        <w:autoSpaceDE w:val="0"/>
        <w:autoSpaceDN w:val="0"/>
        <w:spacing w:before="77" w:line="0" w:lineRule="atLeast"/>
        <w:ind w:right="81"/>
        <w:jc w:val="both"/>
        <w:rPr>
          <w:rFonts w:ascii="Arial" w:eastAsia="Arial" w:hAnsi="Arial" w:cs="Arial"/>
          <w:color w:val="000000" w:themeColor="text1"/>
          <w:sz w:val="22"/>
          <w:szCs w:val="22"/>
          <w:lang w:eastAsia="es-CO" w:bidi="es-CO"/>
        </w:rPr>
      </w:pPr>
      <w:r w:rsidRPr="00D5133F">
        <w:rPr>
          <w:rFonts w:ascii="Arial" w:eastAsia="Arial" w:hAnsi="Arial" w:cs="Arial"/>
          <w:color w:val="000000" w:themeColor="text1"/>
          <w:sz w:val="22"/>
          <w:szCs w:val="22"/>
          <w:lang w:eastAsia="es-CO" w:bidi="es-CO"/>
        </w:rPr>
        <w:t>Otras Condiciones:</w:t>
      </w:r>
    </w:p>
    <w:p w:rsidR="00F66BD8" w:rsidRPr="00D5133F" w:rsidRDefault="00F66BD8" w:rsidP="00F66BD8">
      <w:pPr>
        <w:pStyle w:val="Prrafodelista"/>
        <w:widowControl w:val="0"/>
        <w:autoSpaceDE w:val="0"/>
        <w:autoSpaceDN w:val="0"/>
        <w:spacing w:before="77" w:line="0" w:lineRule="atLeast"/>
        <w:ind w:left="360" w:right="81"/>
        <w:jc w:val="both"/>
        <w:rPr>
          <w:rFonts w:ascii="Arial" w:eastAsia="Arial" w:hAnsi="Arial" w:cs="Arial"/>
          <w:color w:val="000000" w:themeColor="text1"/>
          <w:sz w:val="22"/>
          <w:szCs w:val="22"/>
          <w:lang w:eastAsia="es-CO" w:bidi="es-CO"/>
        </w:rPr>
      </w:pPr>
    </w:p>
    <w:p w:rsidR="00F165DE" w:rsidRPr="00D5133F" w:rsidRDefault="001822FF" w:rsidP="00CC7FC1">
      <w:pPr>
        <w:pStyle w:val="Prrafodelista"/>
        <w:widowControl w:val="0"/>
        <w:numPr>
          <w:ilvl w:val="0"/>
          <w:numId w:val="5"/>
        </w:numPr>
        <w:autoSpaceDE w:val="0"/>
        <w:autoSpaceDN w:val="0"/>
        <w:spacing w:before="77" w:line="0" w:lineRule="atLeast"/>
        <w:ind w:left="720" w:right="81"/>
        <w:jc w:val="both"/>
        <w:rPr>
          <w:rFonts w:ascii="Arial" w:eastAsia="Arial" w:hAnsi="Arial" w:cs="Arial"/>
          <w:color w:val="000000" w:themeColor="text1"/>
          <w:sz w:val="22"/>
          <w:szCs w:val="22"/>
          <w:lang w:eastAsia="es-CO" w:bidi="es-CO"/>
        </w:rPr>
      </w:pPr>
      <w:r w:rsidRPr="00D5133F">
        <w:rPr>
          <w:rFonts w:ascii="Arial" w:hAnsi="Arial" w:cs="Arial"/>
          <w:sz w:val="22"/>
          <w:szCs w:val="22"/>
        </w:rPr>
        <w:t xml:space="preserve">El Integrador Bursátil Comprador debe </w:t>
      </w:r>
      <w:r w:rsidR="00701234" w:rsidRPr="00D5133F">
        <w:rPr>
          <w:rFonts w:ascii="Arial" w:hAnsi="Arial" w:cs="Arial"/>
          <w:sz w:val="22"/>
          <w:szCs w:val="22"/>
        </w:rPr>
        <w:t>aplicar la tasa de interés</w:t>
      </w:r>
      <w:r w:rsidRPr="00D5133F">
        <w:rPr>
          <w:rFonts w:ascii="Arial" w:hAnsi="Arial" w:cs="Arial"/>
          <w:sz w:val="22"/>
          <w:szCs w:val="22"/>
        </w:rPr>
        <w:t xml:space="preserve"> </w:t>
      </w:r>
      <w:r w:rsidR="00701234" w:rsidRPr="00D5133F">
        <w:rPr>
          <w:rFonts w:ascii="Arial" w:hAnsi="Arial" w:cs="Arial"/>
          <w:sz w:val="22"/>
          <w:szCs w:val="22"/>
        </w:rPr>
        <w:t>cobrada</w:t>
      </w:r>
      <w:r w:rsidRPr="00D5133F">
        <w:rPr>
          <w:rFonts w:ascii="Arial" w:hAnsi="Arial" w:cs="Arial"/>
          <w:sz w:val="22"/>
          <w:szCs w:val="22"/>
        </w:rPr>
        <w:t xml:space="preserve"> </w:t>
      </w:r>
      <w:r w:rsidR="00701234" w:rsidRPr="00D5133F">
        <w:rPr>
          <w:rFonts w:ascii="Arial" w:hAnsi="Arial" w:cs="Arial"/>
          <w:sz w:val="22"/>
          <w:szCs w:val="22"/>
        </w:rPr>
        <w:t xml:space="preserve">en esta línea </w:t>
      </w:r>
      <w:r w:rsidRPr="00D5133F">
        <w:rPr>
          <w:rFonts w:ascii="Arial" w:hAnsi="Arial" w:cs="Arial"/>
          <w:sz w:val="22"/>
          <w:szCs w:val="22"/>
        </w:rPr>
        <w:t xml:space="preserve">al </w:t>
      </w:r>
      <w:r w:rsidR="00701234" w:rsidRPr="00D5133F">
        <w:rPr>
          <w:rFonts w:ascii="Arial" w:hAnsi="Arial" w:cs="Arial"/>
          <w:sz w:val="22"/>
          <w:szCs w:val="22"/>
        </w:rPr>
        <w:t>beneficiario</w:t>
      </w:r>
      <w:r w:rsidRPr="00D5133F">
        <w:rPr>
          <w:rFonts w:ascii="Arial" w:hAnsi="Arial" w:cs="Arial"/>
          <w:sz w:val="22"/>
          <w:szCs w:val="22"/>
        </w:rPr>
        <w:t xml:space="preserve"> final</w:t>
      </w:r>
      <w:r w:rsidR="003F761F" w:rsidRPr="00D5133F">
        <w:rPr>
          <w:rFonts w:ascii="Arial" w:hAnsi="Arial" w:cs="Arial"/>
          <w:sz w:val="22"/>
          <w:szCs w:val="22"/>
        </w:rPr>
        <w:t xml:space="preserve"> en los anticipos pactados en la operación forward</w:t>
      </w:r>
      <w:r w:rsidR="00085D76" w:rsidRPr="00D5133F">
        <w:rPr>
          <w:rFonts w:ascii="Arial" w:eastAsia="Arial" w:hAnsi="Arial" w:cs="Arial"/>
          <w:color w:val="000000" w:themeColor="text1"/>
          <w:sz w:val="22"/>
          <w:szCs w:val="22"/>
          <w:lang w:eastAsia="es-CO" w:bidi="es-CO"/>
        </w:rPr>
        <w:t>.</w:t>
      </w:r>
    </w:p>
    <w:p w:rsidR="00F66BD8" w:rsidRPr="00D5133F" w:rsidRDefault="00F66BD8" w:rsidP="00CC7FC1">
      <w:pPr>
        <w:pStyle w:val="Prrafodelista"/>
        <w:widowControl w:val="0"/>
        <w:autoSpaceDE w:val="0"/>
        <w:autoSpaceDN w:val="0"/>
        <w:spacing w:before="77" w:line="0" w:lineRule="atLeast"/>
        <w:ind w:right="81"/>
        <w:jc w:val="both"/>
        <w:rPr>
          <w:rFonts w:ascii="Arial" w:eastAsia="Arial" w:hAnsi="Arial" w:cs="Arial"/>
          <w:color w:val="000000" w:themeColor="text1"/>
          <w:sz w:val="22"/>
          <w:szCs w:val="22"/>
          <w:lang w:eastAsia="es-CO" w:bidi="es-CO"/>
        </w:rPr>
      </w:pPr>
    </w:p>
    <w:p w:rsidR="00DE0B8D" w:rsidRPr="00D5133F" w:rsidRDefault="00DE0B8D" w:rsidP="006C5F64">
      <w:pPr>
        <w:pStyle w:val="Prrafodelista"/>
        <w:widowControl w:val="0"/>
        <w:numPr>
          <w:ilvl w:val="0"/>
          <w:numId w:val="5"/>
        </w:numPr>
        <w:autoSpaceDE w:val="0"/>
        <w:autoSpaceDN w:val="0"/>
        <w:ind w:left="720"/>
        <w:jc w:val="both"/>
        <w:rPr>
          <w:rFonts w:ascii="Arial" w:eastAsia="Arial" w:hAnsi="Arial" w:cs="Arial"/>
          <w:sz w:val="22"/>
          <w:szCs w:val="22"/>
          <w:lang w:eastAsia="es-CO" w:bidi="es-CO"/>
        </w:rPr>
      </w:pPr>
      <w:r w:rsidRPr="00D5133F">
        <w:rPr>
          <w:rFonts w:ascii="Arial" w:eastAsia="Arial" w:hAnsi="Arial" w:cs="Arial"/>
          <w:sz w:val="22"/>
          <w:szCs w:val="22"/>
          <w:lang w:eastAsia="es-CO" w:bidi="es-CO"/>
        </w:rPr>
        <w:t xml:space="preserve">Los créditos otorgados por esta línea deben desembolsarse en la cuenta de la sociedad comisionista compradora por conducto de la cual actúe el Integrador Bursátil Comprador en la Bolsa de Bienes y Productos Agropecuarios, Agroindustriales </w:t>
      </w:r>
      <w:r w:rsidR="00D936DE" w:rsidRPr="00D5133F">
        <w:rPr>
          <w:rFonts w:ascii="Arial" w:eastAsia="Arial" w:hAnsi="Arial" w:cs="Arial"/>
          <w:sz w:val="22"/>
          <w:szCs w:val="22"/>
          <w:lang w:eastAsia="es-CO" w:bidi="es-CO"/>
        </w:rPr>
        <w:t>o</w:t>
      </w:r>
      <w:r w:rsidRPr="00D5133F">
        <w:rPr>
          <w:rFonts w:ascii="Arial" w:eastAsia="Arial" w:hAnsi="Arial" w:cs="Arial"/>
          <w:sz w:val="22"/>
          <w:szCs w:val="22"/>
          <w:lang w:eastAsia="es-CO" w:bidi="es-CO"/>
        </w:rPr>
        <w:t xml:space="preserve"> de otros Commodities. Estos recursos serán girados a los productores para el pago del anticipo bajo el mecanismo de la Bolsa.</w:t>
      </w:r>
    </w:p>
    <w:p w:rsidR="007C4791" w:rsidRPr="00D5133F" w:rsidRDefault="007C4791" w:rsidP="00CC7FC1">
      <w:pPr>
        <w:widowControl w:val="0"/>
        <w:autoSpaceDE w:val="0"/>
        <w:autoSpaceDN w:val="0"/>
        <w:ind w:left="360"/>
        <w:jc w:val="both"/>
        <w:rPr>
          <w:rFonts w:ascii="Arial" w:eastAsia="Arial" w:hAnsi="Arial" w:cs="Arial"/>
          <w:sz w:val="22"/>
          <w:szCs w:val="22"/>
          <w:lang w:eastAsia="es-CO" w:bidi="es-CO"/>
        </w:rPr>
      </w:pPr>
    </w:p>
    <w:p w:rsidR="008079B4" w:rsidRPr="00FD2CE4" w:rsidRDefault="00C81A78" w:rsidP="00CC7FC1">
      <w:pPr>
        <w:pStyle w:val="Prrafodelista"/>
        <w:widowControl w:val="0"/>
        <w:numPr>
          <w:ilvl w:val="0"/>
          <w:numId w:val="5"/>
        </w:numPr>
        <w:autoSpaceDE w:val="0"/>
        <w:autoSpaceDN w:val="0"/>
        <w:ind w:left="720"/>
        <w:jc w:val="both"/>
        <w:rPr>
          <w:rFonts w:ascii="Arial" w:eastAsia="Arial" w:hAnsi="Arial" w:cs="Arial"/>
          <w:sz w:val="22"/>
          <w:szCs w:val="22"/>
          <w:lang w:eastAsia="es-CO" w:bidi="es-CO"/>
        </w:rPr>
      </w:pPr>
      <w:r w:rsidRPr="00FD2CE4">
        <w:rPr>
          <w:rFonts w:ascii="Arial" w:hAnsi="Arial" w:cs="Arial"/>
          <w:sz w:val="22"/>
          <w:szCs w:val="22"/>
        </w:rPr>
        <w:t xml:space="preserve">De conformidad con lo dispuesto en el artículo 1º de la Resolución 2 de 2016 de la CNCA, </w:t>
      </w:r>
      <w:r w:rsidR="003957F7" w:rsidRPr="00FD2CE4">
        <w:rPr>
          <w:rFonts w:ascii="Arial" w:hAnsi="Arial" w:cs="Arial"/>
          <w:sz w:val="22"/>
          <w:szCs w:val="22"/>
        </w:rPr>
        <w:t xml:space="preserve">mediante reglamentación general </w:t>
      </w:r>
      <w:r w:rsidRPr="00FD2CE4">
        <w:rPr>
          <w:rFonts w:ascii="Arial" w:hAnsi="Arial" w:cs="Arial"/>
          <w:sz w:val="22"/>
          <w:szCs w:val="22"/>
        </w:rPr>
        <w:t xml:space="preserve">FINAGRO </w:t>
      </w:r>
      <w:r w:rsidR="003957F7" w:rsidRPr="00FD2CE4">
        <w:rPr>
          <w:rFonts w:ascii="Arial" w:hAnsi="Arial" w:cs="Arial"/>
          <w:sz w:val="22"/>
          <w:szCs w:val="22"/>
        </w:rPr>
        <w:t xml:space="preserve">señalará el procedimiento para la </w:t>
      </w:r>
      <w:r w:rsidRPr="00FD2CE4">
        <w:rPr>
          <w:rFonts w:ascii="Arial" w:hAnsi="Arial" w:cs="Arial"/>
          <w:sz w:val="22"/>
          <w:szCs w:val="22"/>
        </w:rPr>
        <w:t xml:space="preserve">transferencia del beneficio </w:t>
      </w:r>
      <w:r w:rsidR="0065008F" w:rsidRPr="00FD2CE4">
        <w:rPr>
          <w:rFonts w:ascii="Arial" w:hAnsi="Arial" w:cs="Arial"/>
          <w:sz w:val="22"/>
          <w:szCs w:val="22"/>
        </w:rPr>
        <w:t>de</w:t>
      </w:r>
      <w:r w:rsidRPr="00FD2CE4">
        <w:rPr>
          <w:rFonts w:ascii="Arial" w:hAnsi="Arial" w:cs="Arial"/>
          <w:sz w:val="22"/>
          <w:szCs w:val="22"/>
        </w:rPr>
        <w:t xml:space="preserve"> tasa de interés</w:t>
      </w:r>
      <w:r w:rsidR="0065008F" w:rsidRPr="00FD2CE4">
        <w:rPr>
          <w:rFonts w:ascii="Arial" w:hAnsi="Arial" w:cs="Arial"/>
          <w:sz w:val="22"/>
          <w:szCs w:val="22"/>
        </w:rPr>
        <w:t xml:space="preserve"> de esta línea</w:t>
      </w:r>
      <w:r w:rsidRPr="00FD2CE4">
        <w:rPr>
          <w:rFonts w:ascii="Arial" w:hAnsi="Arial" w:cs="Arial"/>
          <w:sz w:val="22"/>
          <w:szCs w:val="22"/>
        </w:rPr>
        <w:t xml:space="preserve"> a favor del productor agropecuario</w:t>
      </w:r>
      <w:r w:rsidR="003957F7" w:rsidRPr="00FD2CE4">
        <w:rPr>
          <w:rFonts w:ascii="Arial" w:hAnsi="Arial" w:cs="Arial"/>
          <w:sz w:val="22"/>
          <w:szCs w:val="22"/>
        </w:rPr>
        <w:t xml:space="preserve"> vendedor</w:t>
      </w:r>
      <w:r w:rsidRPr="00FD2CE4">
        <w:rPr>
          <w:rFonts w:ascii="Arial" w:eastAsia="Arial" w:hAnsi="Arial" w:cs="Arial"/>
          <w:sz w:val="22"/>
          <w:szCs w:val="22"/>
          <w:lang w:eastAsia="es-CO" w:bidi="es-CO"/>
        </w:rPr>
        <w:t>.</w:t>
      </w:r>
    </w:p>
    <w:p w:rsidR="008079B4" w:rsidRPr="00D5133F" w:rsidRDefault="008079B4" w:rsidP="00CC7FC1">
      <w:pPr>
        <w:pStyle w:val="Prrafodelista"/>
        <w:ind w:left="1080"/>
        <w:rPr>
          <w:rFonts w:ascii="Arial" w:eastAsia="Arial" w:hAnsi="Arial" w:cs="Arial"/>
          <w:sz w:val="22"/>
          <w:szCs w:val="22"/>
          <w:lang w:eastAsia="es-CO" w:bidi="es-CO"/>
        </w:rPr>
      </w:pPr>
    </w:p>
    <w:p w:rsidR="002A5F3D" w:rsidRPr="00D5133F" w:rsidRDefault="008079B4" w:rsidP="00CC7FC1">
      <w:pPr>
        <w:pStyle w:val="Prrafodelista"/>
        <w:widowControl w:val="0"/>
        <w:numPr>
          <w:ilvl w:val="0"/>
          <w:numId w:val="5"/>
        </w:numPr>
        <w:autoSpaceDE w:val="0"/>
        <w:autoSpaceDN w:val="0"/>
        <w:ind w:left="720"/>
        <w:jc w:val="both"/>
        <w:rPr>
          <w:rFonts w:ascii="Arial" w:eastAsia="Arial" w:hAnsi="Arial" w:cs="Arial"/>
          <w:sz w:val="22"/>
          <w:szCs w:val="22"/>
          <w:lang w:eastAsia="es-CO" w:bidi="es-CO"/>
        </w:rPr>
      </w:pPr>
      <w:r w:rsidRPr="00D5133F">
        <w:rPr>
          <w:rFonts w:ascii="Arial" w:eastAsia="Arial" w:hAnsi="Arial" w:cs="Arial"/>
          <w:sz w:val="22"/>
          <w:szCs w:val="22"/>
          <w:lang w:eastAsia="es-CO" w:bidi="es-CO"/>
        </w:rPr>
        <w:t xml:space="preserve">En </w:t>
      </w:r>
      <w:r w:rsidR="00315907" w:rsidRPr="00D5133F">
        <w:rPr>
          <w:rFonts w:ascii="Arial" w:eastAsia="Arial" w:hAnsi="Arial" w:cs="Arial"/>
          <w:sz w:val="22"/>
          <w:szCs w:val="22"/>
          <w:lang w:eastAsia="es-CO" w:bidi="es-CO"/>
        </w:rPr>
        <w:t xml:space="preserve">el caso que </w:t>
      </w:r>
      <w:r w:rsidR="003C5C47" w:rsidRPr="00D5133F">
        <w:rPr>
          <w:rFonts w:ascii="Arial" w:eastAsia="Arial" w:hAnsi="Arial" w:cs="Arial"/>
          <w:sz w:val="22"/>
          <w:szCs w:val="22"/>
          <w:lang w:eastAsia="es-CO" w:bidi="es-CO"/>
        </w:rPr>
        <w:t>la</w:t>
      </w:r>
      <w:r w:rsidR="00D25804" w:rsidRPr="00D5133F">
        <w:rPr>
          <w:rFonts w:ascii="Arial" w:eastAsia="Arial" w:hAnsi="Arial" w:cs="Arial"/>
          <w:sz w:val="22"/>
          <w:szCs w:val="22"/>
          <w:lang w:eastAsia="es-CO" w:bidi="es-CO"/>
        </w:rPr>
        <w:t xml:space="preserve"> financiación de </w:t>
      </w:r>
      <w:r w:rsidRPr="00D5133F">
        <w:rPr>
          <w:rFonts w:ascii="Arial" w:eastAsia="Arial" w:hAnsi="Arial" w:cs="Arial"/>
          <w:sz w:val="22"/>
          <w:szCs w:val="22"/>
          <w:lang w:eastAsia="es-CO" w:bidi="es-CO"/>
        </w:rPr>
        <w:t xml:space="preserve">anticipos de operaciones Forward </w:t>
      </w:r>
      <w:r w:rsidR="003C5C47" w:rsidRPr="00D5133F">
        <w:rPr>
          <w:rFonts w:ascii="Arial" w:eastAsia="Arial" w:hAnsi="Arial" w:cs="Arial"/>
          <w:sz w:val="22"/>
          <w:szCs w:val="22"/>
          <w:lang w:eastAsia="es-CO" w:bidi="es-CO"/>
        </w:rPr>
        <w:t xml:space="preserve">cuente </w:t>
      </w:r>
      <w:r w:rsidRPr="00D5133F">
        <w:rPr>
          <w:rFonts w:ascii="Arial" w:eastAsia="Arial" w:hAnsi="Arial" w:cs="Arial"/>
          <w:sz w:val="22"/>
          <w:szCs w:val="22"/>
          <w:lang w:eastAsia="es-CO" w:bidi="es-CO"/>
        </w:rPr>
        <w:t>con garantías del FAG</w:t>
      </w:r>
      <w:r w:rsidR="00D25804" w:rsidRPr="00D5133F">
        <w:rPr>
          <w:rFonts w:ascii="Arial" w:eastAsia="Arial" w:hAnsi="Arial" w:cs="Arial"/>
          <w:sz w:val="22"/>
          <w:szCs w:val="22"/>
          <w:lang w:eastAsia="es-CO" w:bidi="es-CO"/>
        </w:rPr>
        <w:t>, el</w:t>
      </w:r>
      <w:r w:rsidR="00E12E35" w:rsidRPr="00D5133F">
        <w:rPr>
          <w:rFonts w:ascii="Arial" w:eastAsia="Arial" w:hAnsi="Arial" w:cs="Arial"/>
          <w:sz w:val="22"/>
          <w:szCs w:val="22"/>
          <w:lang w:eastAsia="es-CO" w:bidi="es-CO"/>
        </w:rPr>
        <w:t xml:space="preserve"> Integrador Bursátil </w:t>
      </w:r>
      <w:r w:rsidR="00721FBA" w:rsidRPr="00D5133F">
        <w:rPr>
          <w:rFonts w:ascii="Arial" w:eastAsia="Arial" w:hAnsi="Arial" w:cs="Arial"/>
          <w:sz w:val="22"/>
          <w:szCs w:val="22"/>
          <w:lang w:eastAsia="es-CO" w:bidi="es-CO"/>
        </w:rPr>
        <w:t>Comprador</w:t>
      </w:r>
      <w:r w:rsidR="00E12E35" w:rsidRPr="00D5133F">
        <w:rPr>
          <w:rFonts w:ascii="Arial" w:eastAsia="Arial" w:hAnsi="Arial" w:cs="Arial"/>
          <w:sz w:val="22"/>
          <w:szCs w:val="22"/>
          <w:lang w:eastAsia="es-CO" w:bidi="es-CO"/>
        </w:rPr>
        <w:t xml:space="preserve"> </w:t>
      </w:r>
      <w:r w:rsidRPr="00D5133F">
        <w:rPr>
          <w:rFonts w:ascii="Arial" w:eastAsia="Arial" w:hAnsi="Arial" w:cs="Arial"/>
          <w:sz w:val="22"/>
          <w:szCs w:val="22"/>
          <w:lang w:eastAsia="es-CO" w:bidi="es-CO"/>
        </w:rPr>
        <w:t>deberá autorizar el pago irrevocable del valor de la garantía al Intermediario Financiero</w:t>
      </w:r>
      <w:r w:rsidR="00436951" w:rsidRPr="00D5133F">
        <w:rPr>
          <w:rFonts w:ascii="Arial" w:eastAsia="Arial" w:hAnsi="Arial" w:cs="Arial"/>
          <w:sz w:val="22"/>
          <w:szCs w:val="22"/>
          <w:lang w:eastAsia="es-CO" w:bidi="es-CO"/>
        </w:rPr>
        <w:t>.</w:t>
      </w:r>
    </w:p>
    <w:p w:rsidR="00B27618" w:rsidRDefault="00B27618" w:rsidP="00B27618">
      <w:pPr>
        <w:widowControl w:val="0"/>
        <w:autoSpaceDE w:val="0"/>
        <w:autoSpaceDN w:val="0"/>
        <w:rPr>
          <w:rFonts w:ascii="Arial" w:eastAsia="Arial" w:hAnsi="Arial" w:cs="Arial"/>
          <w:b/>
          <w:color w:val="000000" w:themeColor="text1"/>
          <w:sz w:val="22"/>
          <w:szCs w:val="22"/>
          <w:lang w:eastAsia="es-CO" w:bidi="es-CO"/>
        </w:rPr>
      </w:pPr>
    </w:p>
    <w:p w:rsidR="009D452B" w:rsidRPr="00D5133F" w:rsidRDefault="00B27618" w:rsidP="005B7030">
      <w:pPr>
        <w:widowControl w:val="0"/>
        <w:autoSpaceDE w:val="0"/>
        <w:autoSpaceDN w:val="0"/>
        <w:jc w:val="both"/>
        <w:rPr>
          <w:rFonts w:ascii="Arial" w:eastAsia="Arial" w:hAnsi="Arial" w:cs="Arial"/>
          <w:sz w:val="22"/>
          <w:szCs w:val="22"/>
          <w:lang w:eastAsia="es-CO" w:bidi="es-CO"/>
        </w:rPr>
      </w:pPr>
      <w:r w:rsidRPr="002768F9">
        <w:rPr>
          <w:rFonts w:ascii="Arial" w:eastAsia="Arial" w:hAnsi="Arial" w:cs="Arial"/>
          <w:b/>
          <w:color w:val="000000" w:themeColor="text1"/>
          <w:sz w:val="22"/>
          <w:szCs w:val="22"/>
          <w:lang w:eastAsia="es-CO" w:bidi="es-CO"/>
        </w:rPr>
        <w:t>Artículo 4</w:t>
      </w:r>
      <w:r w:rsidR="00ED7FC9" w:rsidRPr="002768F9">
        <w:rPr>
          <w:rFonts w:ascii="Arial" w:eastAsia="Arial" w:hAnsi="Arial" w:cs="Arial"/>
          <w:b/>
          <w:color w:val="000000" w:themeColor="text1"/>
          <w:sz w:val="22"/>
          <w:szCs w:val="22"/>
          <w:lang w:eastAsia="es-CO" w:bidi="es-CO"/>
        </w:rPr>
        <w:t xml:space="preserve">o. </w:t>
      </w:r>
      <w:r w:rsidR="00EB2685" w:rsidRPr="002768F9">
        <w:rPr>
          <w:rFonts w:ascii="Arial" w:eastAsia="Arial" w:hAnsi="Arial" w:cs="Arial"/>
          <w:sz w:val="22"/>
          <w:szCs w:val="22"/>
          <w:lang w:eastAsia="es-CO" w:bidi="es-CO"/>
        </w:rPr>
        <w:t xml:space="preserve"> </w:t>
      </w:r>
      <w:r w:rsidR="009D452B" w:rsidRPr="002768F9">
        <w:rPr>
          <w:rFonts w:ascii="Arial" w:eastAsia="Arial" w:hAnsi="Arial" w:cs="Arial"/>
          <w:sz w:val="22"/>
          <w:szCs w:val="22"/>
          <w:lang w:eastAsia="es-CO" w:bidi="es-CO"/>
        </w:rPr>
        <w:t xml:space="preserve">FINAGRO adoptará los procedimientos y medidas necesarias para el desarrollo de </w:t>
      </w:r>
      <w:r w:rsidR="009D452B" w:rsidRPr="00D5133F">
        <w:rPr>
          <w:rFonts w:ascii="Arial" w:eastAsia="Arial" w:hAnsi="Arial" w:cs="Arial"/>
          <w:sz w:val="22"/>
          <w:szCs w:val="22"/>
          <w:lang w:eastAsia="es-CO" w:bidi="es-CO"/>
        </w:rPr>
        <w:t>la presente resolución para lo cual expedirá la circular reglamentaria</w:t>
      </w:r>
      <w:r w:rsidR="009D452B" w:rsidRPr="00D5133F">
        <w:rPr>
          <w:rFonts w:ascii="Arial" w:eastAsia="Arial" w:hAnsi="Arial" w:cs="Arial"/>
          <w:spacing w:val="-5"/>
          <w:sz w:val="22"/>
          <w:szCs w:val="22"/>
          <w:lang w:eastAsia="es-CO" w:bidi="es-CO"/>
        </w:rPr>
        <w:t xml:space="preserve"> </w:t>
      </w:r>
      <w:r w:rsidR="009D452B" w:rsidRPr="00D5133F">
        <w:rPr>
          <w:rFonts w:ascii="Arial" w:eastAsia="Arial" w:hAnsi="Arial" w:cs="Arial"/>
          <w:sz w:val="22"/>
          <w:szCs w:val="22"/>
          <w:lang w:eastAsia="es-CO" w:bidi="es-CO"/>
        </w:rPr>
        <w:t>correspondiente.</w:t>
      </w:r>
    </w:p>
    <w:p w:rsidR="009D452B" w:rsidRPr="00D5133F" w:rsidRDefault="009D452B" w:rsidP="002A5F3D">
      <w:pPr>
        <w:widowControl w:val="0"/>
        <w:autoSpaceDE w:val="0"/>
        <w:autoSpaceDN w:val="0"/>
        <w:ind w:right="81"/>
        <w:jc w:val="both"/>
        <w:rPr>
          <w:rFonts w:ascii="Arial" w:eastAsia="Arial" w:hAnsi="Arial" w:cs="Arial"/>
          <w:b/>
          <w:sz w:val="22"/>
          <w:szCs w:val="22"/>
          <w:lang w:eastAsia="es-CO" w:bidi="es-CO"/>
        </w:rPr>
      </w:pPr>
    </w:p>
    <w:p w:rsidR="002A5F3D" w:rsidRPr="00777993" w:rsidRDefault="009D452B" w:rsidP="002A5F3D">
      <w:pPr>
        <w:widowControl w:val="0"/>
        <w:autoSpaceDE w:val="0"/>
        <w:autoSpaceDN w:val="0"/>
        <w:ind w:right="81"/>
        <w:jc w:val="both"/>
        <w:rPr>
          <w:rFonts w:ascii="Arial" w:eastAsia="Arial" w:hAnsi="Arial" w:cs="Arial"/>
          <w:sz w:val="22"/>
          <w:szCs w:val="22"/>
          <w:lang w:eastAsia="es-CO" w:bidi="es-CO"/>
        </w:rPr>
      </w:pPr>
      <w:r w:rsidRPr="00D5133F">
        <w:rPr>
          <w:rFonts w:ascii="Arial" w:eastAsia="Arial" w:hAnsi="Arial" w:cs="Arial"/>
          <w:b/>
          <w:sz w:val="22"/>
          <w:szCs w:val="22"/>
          <w:lang w:eastAsia="es-CO" w:bidi="es-CO"/>
        </w:rPr>
        <w:t xml:space="preserve">Artículo </w:t>
      </w:r>
      <w:r w:rsidR="00ED7FC9" w:rsidRPr="00D5133F">
        <w:rPr>
          <w:rFonts w:ascii="Arial" w:eastAsia="Arial" w:hAnsi="Arial" w:cs="Arial"/>
          <w:b/>
          <w:sz w:val="22"/>
          <w:szCs w:val="22"/>
          <w:lang w:eastAsia="es-CO" w:bidi="es-CO"/>
        </w:rPr>
        <w:t>5</w:t>
      </w:r>
      <w:r w:rsidRPr="00D5133F">
        <w:rPr>
          <w:rFonts w:ascii="Arial" w:eastAsia="Arial" w:hAnsi="Arial" w:cs="Arial"/>
          <w:b/>
          <w:sz w:val="22"/>
          <w:szCs w:val="22"/>
          <w:lang w:eastAsia="es-CO" w:bidi="es-CO"/>
        </w:rPr>
        <w:t xml:space="preserve">o. </w:t>
      </w:r>
      <w:r w:rsidR="002A5F3D" w:rsidRPr="00D5133F">
        <w:rPr>
          <w:rFonts w:ascii="Arial" w:eastAsia="Arial" w:hAnsi="Arial" w:cs="Arial"/>
          <w:sz w:val="22"/>
          <w:szCs w:val="22"/>
          <w:lang w:eastAsia="es-CO" w:bidi="es-CO"/>
        </w:rPr>
        <w:t>La presente resolución rige a partir de la fecha de su publicación en el Diario Oficial, y sus efectos aplicarán a partir de la fecha en que FINAGRO disponga de los recursos presupuestales</w:t>
      </w:r>
      <w:r w:rsidR="00B27618" w:rsidRPr="00D5133F">
        <w:rPr>
          <w:rFonts w:ascii="Arial" w:eastAsia="Arial" w:hAnsi="Arial" w:cs="Arial"/>
          <w:sz w:val="22"/>
          <w:szCs w:val="22"/>
          <w:lang w:eastAsia="es-CO" w:bidi="es-CO"/>
        </w:rPr>
        <w:t xml:space="preserve"> que se destinen para el desarrollo de esta línea</w:t>
      </w:r>
      <w:r w:rsidR="00ED7FC9" w:rsidRPr="00D5133F">
        <w:rPr>
          <w:rFonts w:ascii="Arial" w:eastAsia="Arial" w:hAnsi="Arial" w:cs="Arial"/>
          <w:sz w:val="22"/>
          <w:szCs w:val="22"/>
          <w:lang w:eastAsia="es-CO" w:bidi="es-CO"/>
        </w:rPr>
        <w:t>.</w:t>
      </w:r>
    </w:p>
    <w:p w:rsidR="002A5F3D" w:rsidRPr="00777993" w:rsidRDefault="002A5F3D" w:rsidP="002A5F3D">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p>
    <w:p w:rsidR="002A5F3D" w:rsidRPr="00777993" w:rsidRDefault="002A5F3D" w:rsidP="002A5F3D">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 xml:space="preserve">Dada en Bogotá D.C., a los </w:t>
      </w:r>
      <w:r w:rsidR="002265E8" w:rsidRPr="00777993">
        <w:rPr>
          <w:rFonts w:ascii="Arial" w:eastAsia="Arial" w:hAnsi="Arial" w:cs="Arial"/>
          <w:color w:val="000000" w:themeColor="text1"/>
          <w:sz w:val="22"/>
          <w:szCs w:val="22"/>
          <w:lang w:eastAsia="es-CO" w:bidi="es-CO"/>
        </w:rPr>
        <w:t>_________</w:t>
      </w:r>
    </w:p>
    <w:p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p>
    <w:p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p>
    <w:p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p>
    <w:p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r w:rsidRPr="00777993">
        <w:rPr>
          <w:rFonts w:ascii="Arial" w:eastAsiaTheme="minorHAnsi" w:hAnsi="Arial" w:cs="Arial"/>
          <w:b/>
          <w:color w:val="000000" w:themeColor="text1"/>
          <w:sz w:val="22"/>
          <w:szCs w:val="22"/>
          <w:lang w:eastAsia="en-US" w:bidi="es-CO"/>
        </w:rPr>
        <w:t>ANDRÉS VALENCIA</w:t>
      </w:r>
      <w:r w:rsidRPr="00777993">
        <w:rPr>
          <w:rFonts w:ascii="Arial" w:eastAsiaTheme="minorHAnsi" w:hAnsi="Arial" w:cs="Arial"/>
          <w:b/>
          <w:color w:val="000000" w:themeColor="text1"/>
          <w:sz w:val="22"/>
          <w:szCs w:val="22"/>
          <w:lang w:eastAsia="en-US" w:bidi="es-CO"/>
        </w:rPr>
        <w:tab/>
        <w:t xml:space="preserve"> PINZÓN</w:t>
      </w:r>
      <w:r w:rsidRPr="00777993">
        <w:rPr>
          <w:rFonts w:ascii="Arial" w:eastAsiaTheme="minorHAnsi" w:hAnsi="Arial" w:cs="Arial"/>
          <w:b/>
          <w:color w:val="000000" w:themeColor="text1"/>
          <w:sz w:val="22"/>
          <w:szCs w:val="22"/>
          <w:lang w:eastAsia="en-US" w:bidi="es-CO"/>
        </w:rPr>
        <w:tab/>
      </w:r>
      <w:r w:rsidRPr="00777993">
        <w:rPr>
          <w:rFonts w:ascii="Arial" w:eastAsiaTheme="minorHAnsi" w:hAnsi="Arial" w:cs="Arial"/>
          <w:b/>
          <w:color w:val="000000" w:themeColor="text1"/>
          <w:sz w:val="22"/>
          <w:szCs w:val="22"/>
          <w:lang w:eastAsia="en-US" w:bidi="es-CO"/>
        </w:rPr>
        <w:tab/>
      </w:r>
      <w:r w:rsidRPr="00777993">
        <w:rPr>
          <w:rFonts w:ascii="Arial" w:eastAsiaTheme="minorHAnsi" w:hAnsi="Arial" w:cs="Arial"/>
          <w:b/>
          <w:color w:val="000000" w:themeColor="text1"/>
          <w:sz w:val="22"/>
          <w:szCs w:val="22"/>
          <w:lang w:eastAsia="en-US" w:bidi="es-CO"/>
        </w:rPr>
        <w:tab/>
        <w:t>CLAUDIA ACOSTA ECHEVERRÍA</w:t>
      </w:r>
    </w:p>
    <w:p w:rsidR="002A5F3D" w:rsidRPr="004A1C44" w:rsidRDefault="00440D3A" w:rsidP="00440D3A">
      <w:pPr>
        <w:widowControl w:val="0"/>
        <w:autoSpaceDE w:val="0"/>
        <w:autoSpaceDN w:val="0"/>
        <w:rPr>
          <w:rFonts w:ascii="Arial" w:eastAsiaTheme="minorHAnsi" w:hAnsi="Arial" w:cs="Arial"/>
          <w:color w:val="000000" w:themeColor="text1"/>
          <w:sz w:val="22"/>
          <w:szCs w:val="22"/>
          <w:lang w:eastAsia="en-US" w:bidi="es-CO"/>
        </w:rPr>
      </w:pPr>
      <w:r w:rsidRPr="00777993">
        <w:rPr>
          <w:rFonts w:ascii="Arial" w:eastAsiaTheme="minorHAnsi" w:hAnsi="Arial" w:cs="Arial"/>
          <w:color w:val="000000" w:themeColor="text1"/>
          <w:sz w:val="22"/>
          <w:szCs w:val="22"/>
          <w:lang w:eastAsia="en-US" w:bidi="es-CO"/>
        </w:rPr>
        <w:t xml:space="preserve">           Presidente</w:t>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t xml:space="preserve">          </w:t>
      </w:r>
      <w:r w:rsidR="002A5F3D" w:rsidRPr="00777993">
        <w:rPr>
          <w:rFonts w:ascii="Arial" w:eastAsiaTheme="minorHAnsi" w:hAnsi="Arial" w:cs="Arial"/>
          <w:color w:val="000000" w:themeColor="text1"/>
          <w:sz w:val="22"/>
          <w:szCs w:val="22"/>
          <w:lang w:eastAsia="en-US" w:bidi="es-CO"/>
        </w:rPr>
        <w:t>Secretaria Técnica (E)</w:t>
      </w:r>
    </w:p>
    <w:sectPr w:rsidR="002A5F3D" w:rsidRPr="004A1C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EDA"/>
    <w:multiLevelType w:val="hybridMultilevel"/>
    <w:tmpl w:val="98824886"/>
    <w:lvl w:ilvl="0" w:tplc="D7A2E418">
      <w:start w:val="1"/>
      <w:numFmt w:val="low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2A02800"/>
    <w:multiLevelType w:val="hybridMultilevel"/>
    <w:tmpl w:val="76BEFBD8"/>
    <w:lvl w:ilvl="0" w:tplc="0C0A001B">
      <w:start w:val="1"/>
      <w:numFmt w:val="lowerRoman"/>
      <w:lvlText w:val="%1."/>
      <w:lvlJc w:val="righ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26D36A7"/>
    <w:multiLevelType w:val="hybridMultilevel"/>
    <w:tmpl w:val="DFB24486"/>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7A042F50"/>
    <w:multiLevelType w:val="hybridMultilevel"/>
    <w:tmpl w:val="7840A4E2"/>
    <w:lvl w:ilvl="0" w:tplc="A67C918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E7D58B6"/>
    <w:multiLevelType w:val="hybridMultilevel"/>
    <w:tmpl w:val="FB64DBBA"/>
    <w:lvl w:ilvl="0" w:tplc="240A0019">
      <w:start w:val="1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27"/>
    <w:rsid w:val="0000112E"/>
    <w:rsid w:val="00001ED9"/>
    <w:rsid w:val="000031D4"/>
    <w:rsid w:val="0001002B"/>
    <w:rsid w:val="000105B7"/>
    <w:rsid w:val="000155F1"/>
    <w:rsid w:val="000225DC"/>
    <w:rsid w:val="00022E39"/>
    <w:rsid w:val="00027CC4"/>
    <w:rsid w:val="00053BCF"/>
    <w:rsid w:val="00056199"/>
    <w:rsid w:val="0005684F"/>
    <w:rsid w:val="0006035D"/>
    <w:rsid w:val="00061363"/>
    <w:rsid w:val="00061AD8"/>
    <w:rsid w:val="000631F2"/>
    <w:rsid w:val="00067EC9"/>
    <w:rsid w:val="00070101"/>
    <w:rsid w:val="00076C54"/>
    <w:rsid w:val="00083E4E"/>
    <w:rsid w:val="00085D76"/>
    <w:rsid w:val="00094B5E"/>
    <w:rsid w:val="000A085A"/>
    <w:rsid w:val="000A0E19"/>
    <w:rsid w:val="000A5D54"/>
    <w:rsid w:val="000B2CB5"/>
    <w:rsid w:val="000C1206"/>
    <w:rsid w:val="000C21E3"/>
    <w:rsid w:val="000C2AC1"/>
    <w:rsid w:val="000C4C2C"/>
    <w:rsid w:val="000C7B59"/>
    <w:rsid w:val="000D4C83"/>
    <w:rsid w:val="000E2DDB"/>
    <w:rsid w:val="000E4CC6"/>
    <w:rsid w:val="000E507D"/>
    <w:rsid w:val="000E515F"/>
    <w:rsid w:val="000F4225"/>
    <w:rsid w:val="000F7935"/>
    <w:rsid w:val="00100C5E"/>
    <w:rsid w:val="00103F9F"/>
    <w:rsid w:val="00107A3F"/>
    <w:rsid w:val="001100D2"/>
    <w:rsid w:val="00110419"/>
    <w:rsid w:val="001141EE"/>
    <w:rsid w:val="00114B97"/>
    <w:rsid w:val="00116101"/>
    <w:rsid w:val="00127474"/>
    <w:rsid w:val="00140BB7"/>
    <w:rsid w:val="0014377A"/>
    <w:rsid w:val="00143851"/>
    <w:rsid w:val="001441FA"/>
    <w:rsid w:val="00144DEC"/>
    <w:rsid w:val="00147E03"/>
    <w:rsid w:val="0016140B"/>
    <w:rsid w:val="001614C2"/>
    <w:rsid w:val="00162A71"/>
    <w:rsid w:val="00162FEE"/>
    <w:rsid w:val="001822FF"/>
    <w:rsid w:val="001863C0"/>
    <w:rsid w:val="001914E7"/>
    <w:rsid w:val="00193B36"/>
    <w:rsid w:val="001A712F"/>
    <w:rsid w:val="001B48C1"/>
    <w:rsid w:val="001B5C64"/>
    <w:rsid w:val="001B66E7"/>
    <w:rsid w:val="001C1B9C"/>
    <w:rsid w:val="001C4796"/>
    <w:rsid w:val="001C65B0"/>
    <w:rsid w:val="001D4098"/>
    <w:rsid w:val="001E3EC5"/>
    <w:rsid w:val="001E491B"/>
    <w:rsid w:val="001E70FC"/>
    <w:rsid w:val="001E74B6"/>
    <w:rsid w:val="001F0CED"/>
    <w:rsid w:val="001F5514"/>
    <w:rsid w:val="001F63A5"/>
    <w:rsid w:val="0021278B"/>
    <w:rsid w:val="002265E8"/>
    <w:rsid w:val="00230255"/>
    <w:rsid w:val="002339EC"/>
    <w:rsid w:val="00236218"/>
    <w:rsid w:val="00236B80"/>
    <w:rsid w:val="00242885"/>
    <w:rsid w:val="00251051"/>
    <w:rsid w:val="00251434"/>
    <w:rsid w:val="00254D27"/>
    <w:rsid w:val="0025664A"/>
    <w:rsid w:val="0026451E"/>
    <w:rsid w:val="002650ED"/>
    <w:rsid w:val="0026578B"/>
    <w:rsid w:val="0027469E"/>
    <w:rsid w:val="002768F9"/>
    <w:rsid w:val="00276C49"/>
    <w:rsid w:val="00281239"/>
    <w:rsid w:val="00282EFC"/>
    <w:rsid w:val="00283406"/>
    <w:rsid w:val="00283664"/>
    <w:rsid w:val="00283F67"/>
    <w:rsid w:val="00284CB3"/>
    <w:rsid w:val="00284F24"/>
    <w:rsid w:val="002914D9"/>
    <w:rsid w:val="00291572"/>
    <w:rsid w:val="002A5F3D"/>
    <w:rsid w:val="002A7EFB"/>
    <w:rsid w:val="002B07A1"/>
    <w:rsid w:val="002B16CE"/>
    <w:rsid w:val="002B351A"/>
    <w:rsid w:val="002B734C"/>
    <w:rsid w:val="002C2B98"/>
    <w:rsid w:val="002C5202"/>
    <w:rsid w:val="002C6D6C"/>
    <w:rsid w:val="002C774C"/>
    <w:rsid w:val="002D053A"/>
    <w:rsid w:val="002D3AE8"/>
    <w:rsid w:val="002E3878"/>
    <w:rsid w:val="002E3FAE"/>
    <w:rsid w:val="002E46C2"/>
    <w:rsid w:val="002E658A"/>
    <w:rsid w:val="002E79D8"/>
    <w:rsid w:val="002F3146"/>
    <w:rsid w:val="002F3FC5"/>
    <w:rsid w:val="002F416D"/>
    <w:rsid w:val="003073FE"/>
    <w:rsid w:val="003129E0"/>
    <w:rsid w:val="00315907"/>
    <w:rsid w:val="003176CF"/>
    <w:rsid w:val="0032107C"/>
    <w:rsid w:val="003241CD"/>
    <w:rsid w:val="00332EA3"/>
    <w:rsid w:val="003344B6"/>
    <w:rsid w:val="00346B12"/>
    <w:rsid w:val="003504B1"/>
    <w:rsid w:val="00353CB0"/>
    <w:rsid w:val="00356B69"/>
    <w:rsid w:val="00362A19"/>
    <w:rsid w:val="00370F79"/>
    <w:rsid w:val="0037219B"/>
    <w:rsid w:val="00375EF3"/>
    <w:rsid w:val="00381583"/>
    <w:rsid w:val="0038216F"/>
    <w:rsid w:val="003839FE"/>
    <w:rsid w:val="003940FE"/>
    <w:rsid w:val="003957F7"/>
    <w:rsid w:val="003958AB"/>
    <w:rsid w:val="003A2DDC"/>
    <w:rsid w:val="003A454F"/>
    <w:rsid w:val="003A7AAA"/>
    <w:rsid w:val="003B1D7B"/>
    <w:rsid w:val="003B6BB4"/>
    <w:rsid w:val="003C000D"/>
    <w:rsid w:val="003C0D04"/>
    <w:rsid w:val="003C27A4"/>
    <w:rsid w:val="003C4C95"/>
    <w:rsid w:val="003C5C47"/>
    <w:rsid w:val="003D1120"/>
    <w:rsid w:val="003D426B"/>
    <w:rsid w:val="003F1C6D"/>
    <w:rsid w:val="003F34B9"/>
    <w:rsid w:val="003F761F"/>
    <w:rsid w:val="0040087C"/>
    <w:rsid w:val="004033DE"/>
    <w:rsid w:val="004145CE"/>
    <w:rsid w:val="004210D3"/>
    <w:rsid w:val="00422A39"/>
    <w:rsid w:val="004236DE"/>
    <w:rsid w:val="00436951"/>
    <w:rsid w:val="00440D3A"/>
    <w:rsid w:val="004508FC"/>
    <w:rsid w:val="00451E55"/>
    <w:rsid w:val="0046149B"/>
    <w:rsid w:val="00464E9D"/>
    <w:rsid w:val="0046588C"/>
    <w:rsid w:val="00467557"/>
    <w:rsid w:val="00474626"/>
    <w:rsid w:val="00484337"/>
    <w:rsid w:val="0048659E"/>
    <w:rsid w:val="00492605"/>
    <w:rsid w:val="004960F7"/>
    <w:rsid w:val="004A1C44"/>
    <w:rsid w:val="004A4FA5"/>
    <w:rsid w:val="004A5ED8"/>
    <w:rsid w:val="004A5EEF"/>
    <w:rsid w:val="004B139F"/>
    <w:rsid w:val="004B45C1"/>
    <w:rsid w:val="004B5467"/>
    <w:rsid w:val="004D585D"/>
    <w:rsid w:val="004D6495"/>
    <w:rsid w:val="004E4202"/>
    <w:rsid w:val="004E5CA3"/>
    <w:rsid w:val="004F33F8"/>
    <w:rsid w:val="004F45D8"/>
    <w:rsid w:val="004F6AA6"/>
    <w:rsid w:val="00512443"/>
    <w:rsid w:val="00512E2C"/>
    <w:rsid w:val="00521F55"/>
    <w:rsid w:val="005227C3"/>
    <w:rsid w:val="00524188"/>
    <w:rsid w:val="00530173"/>
    <w:rsid w:val="0053675F"/>
    <w:rsid w:val="00545F19"/>
    <w:rsid w:val="005536C5"/>
    <w:rsid w:val="00564619"/>
    <w:rsid w:val="005701FC"/>
    <w:rsid w:val="00581610"/>
    <w:rsid w:val="005827D4"/>
    <w:rsid w:val="00593FFD"/>
    <w:rsid w:val="005A6647"/>
    <w:rsid w:val="005B09FC"/>
    <w:rsid w:val="005B0A9C"/>
    <w:rsid w:val="005B5183"/>
    <w:rsid w:val="005B7030"/>
    <w:rsid w:val="005C7FF4"/>
    <w:rsid w:val="005D25E1"/>
    <w:rsid w:val="005D3724"/>
    <w:rsid w:val="005D49C1"/>
    <w:rsid w:val="005E03C0"/>
    <w:rsid w:val="005E19BB"/>
    <w:rsid w:val="005E7267"/>
    <w:rsid w:val="005F4A97"/>
    <w:rsid w:val="005F54AA"/>
    <w:rsid w:val="00602BD1"/>
    <w:rsid w:val="00612F72"/>
    <w:rsid w:val="00615CAC"/>
    <w:rsid w:val="00620EE6"/>
    <w:rsid w:val="0062716A"/>
    <w:rsid w:val="0062747F"/>
    <w:rsid w:val="00631D43"/>
    <w:rsid w:val="006431FE"/>
    <w:rsid w:val="0065008F"/>
    <w:rsid w:val="006513B2"/>
    <w:rsid w:val="006607C9"/>
    <w:rsid w:val="00673EBD"/>
    <w:rsid w:val="00681157"/>
    <w:rsid w:val="00685D67"/>
    <w:rsid w:val="00692C5A"/>
    <w:rsid w:val="006A3E85"/>
    <w:rsid w:val="006A5025"/>
    <w:rsid w:val="006A57BD"/>
    <w:rsid w:val="006B2E1A"/>
    <w:rsid w:val="006B2E2F"/>
    <w:rsid w:val="006B3F0D"/>
    <w:rsid w:val="006B4007"/>
    <w:rsid w:val="006B615B"/>
    <w:rsid w:val="006B6778"/>
    <w:rsid w:val="006C5F64"/>
    <w:rsid w:val="006C7C81"/>
    <w:rsid w:val="006C7EBB"/>
    <w:rsid w:val="006D2941"/>
    <w:rsid w:val="006D2DEB"/>
    <w:rsid w:val="006D4606"/>
    <w:rsid w:val="006D5940"/>
    <w:rsid w:val="006E4663"/>
    <w:rsid w:val="006F4488"/>
    <w:rsid w:val="006F47DF"/>
    <w:rsid w:val="00701234"/>
    <w:rsid w:val="007072D6"/>
    <w:rsid w:val="00712736"/>
    <w:rsid w:val="0071381B"/>
    <w:rsid w:val="00714DC2"/>
    <w:rsid w:val="00721FBA"/>
    <w:rsid w:val="007221D5"/>
    <w:rsid w:val="0075053D"/>
    <w:rsid w:val="00750C3A"/>
    <w:rsid w:val="00753414"/>
    <w:rsid w:val="00760F0B"/>
    <w:rsid w:val="00761466"/>
    <w:rsid w:val="007637B1"/>
    <w:rsid w:val="007667A4"/>
    <w:rsid w:val="00777993"/>
    <w:rsid w:val="00777F50"/>
    <w:rsid w:val="00790368"/>
    <w:rsid w:val="007915D6"/>
    <w:rsid w:val="00796250"/>
    <w:rsid w:val="007A77D5"/>
    <w:rsid w:val="007B2919"/>
    <w:rsid w:val="007C23E0"/>
    <w:rsid w:val="007C3EF0"/>
    <w:rsid w:val="007C4791"/>
    <w:rsid w:val="007C76E1"/>
    <w:rsid w:val="007D31EA"/>
    <w:rsid w:val="007D791B"/>
    <w:rsid w:val="007E1580"/>
    <w:rsid w:val="007E2719"/>
    <w:rsid w:val="007E3DE8"/>
    <w:rsid w:val="007E5AC7"/>
    <w:rsid w:val="007F21E0"/>
    <w:rsid w:val="007F27C4"/>
    <w:rsid w:val="008079B4"/>
    <w:rsid w:val="008156C4"/>
    <w:rsid w:val="0082454F"/>
    <w:rsid w:val="0083298C"/>
    <w:rsid w:val="00835CB8"/>
    <w:rsid w:val="00836C04"/>
    <w:rsid w:val="00846D29"/>
    <w:rsid w:val="00854304"/>
    <w:rsid w:val="008615C1"/>
    <w:rsid w:val="00871866"/>
    <w:rsid w:val="00873B3E"/>
    <w:rsid w:val="00874B61"/>
    <w:rsid w:val="008825EF"/>
    <w:rsid w:val="0088573F"/>
    <w:rsid w:val="00892EBB"/>
    <w:rsid w:val="008A1409"/>
    <w:rsid w:val="008A4E27"/>
    <w:rsid w:val="008A4E51"/>
    <w:rsid w:val="008A6B7A"/>
    <w:rsid w:val="008B6553"/>
    <w:rsid w:val="008B79D8"/>
    <w:rsid w:val="008C0176"/>
    <w:rsid w:val="008C3F85"/>
    <w:rsid w:val="008D4E19"/>
    <w:rsid w:val="008E71F7"/>
    <w:rsid w:val="008F0ACC"/>
    <w:rsid w:val="008F4789"/>
    <w:rsid w:val="00901A40"/>
    <w:rsid w:val="00901FFC"/>
    <w:rsid w:val="009049E4"/>
    <w:rsid w:val="0091079B"/>
    <w:rsid w:val="00924570"/>
    <w:rsid w:val="0092466D"/>
    <w:rsid w:val="00925C6B"/>
    <w:rsid w:val="00925D35"/>
    <w:rsid w:val="0093556B"/>
    <w:rsid w:val="00943FAC"/>
    <w:rsid w:val="009506CD"/>
    <w:rsid w:val="00951233"/>
    <w:rsid w:val="009512BC"/>
    <w:rsid w:val="00955DD3"/>
    <w:rsid w:val="00957D83"/>
    <w:rsid w:val="00966F97"/>
    <w:rsid w:val="00971B23"/>
    <w:rsid w:val="009764F5"/>
    <w:rsid w:val="009768F1"/>
    <w:rsid w:val="009937F9"/>
    <w:rsid w:val="009A4702"/>
    <w:rsid w:val="009A70F3"/>
    <w:rsid w:val="009B05BB"/>
    <w:rsid w:val="009B27B3"/>
    <w:rsid w:val="009B30EA"/>
    <w:rsid w:val="009B501D"/>
    <w:rsid w:val="009D00C7"/>
    <w:rsid w:val="009D2442"/>
    <w:rsid w:val="009D3E7A"/>
    <w:rsid w:val="009D43AF"/>
    <w:rsid w:val="009D452B"/>
    <w:rsid w:val="009D7056"/>
    <w:rsid w:val="009E55C7"/>
    <w:rsid w:val="009E626E"/>
    <w:rsid w:val="009F7B78"/>
    <w:rsid w:val="00A03F9B"/>
    <w:rsid w:val="00A06190"/>
    <w:rsid w:val="00A07EB2"/>
    <w:rsid w:val="00A1255E"/>
    <w:rsid w:val="00A165B5"/>
    <w:rsid w:val="00A51709"/>
    <w:rsid w:val="00A548F2"/>
    <w:rsid w:val="00A724E7"/>
    <w:rsid w:val="00A739F4"/>
    <w:rsid w:val="00A8174B"/>
    <w:rsid w:val="00A917C7"/>
    <w:rsid w:val="00A95DFE"/>
    <w:rsid w:val="00AA3E87"/>
    <w:rsid w:val="00AA782B"/>
    <w:rsid w:val="00AB64F9"/>
    <w:rsid w:val="00AD0409"/>
    <w:rsid w:val="00AD1421"/>
    <w:rsid w:val="00AD36DE"/>
    <w:rsid w:val="00AE3002"/>
    <w:rsid w:val="00AE5E30"/>
    <w:rsid w:val="00AF0820"/>
    <w:rsid w:val="00AF097E"/>
    <w:rsid w:val="00B1249B"/>
    <w:rsid w:val="00B175B5"/>
    <w:rsid w:val="00B17C41"/>
    <w:rsid w:val="00B240A4"/>
    <w:rsid w:val="00B249B9"/>
    <w:rsid w:val="00B24A79"/>
    <w:rsid w:val="00B25D7F"/>
    <w:rsid w:val="00B271D4"/>
    <w:rsid w:val="00B27618"/>
    <w:rsid w:val="00B318BA"/>
    <w:rsid w:val="00B319A8"/>
    <w:rsid w:val="00B31A6C"/>
    <w:rsid w:val="00B33764"/>
    <w:rsid w:val="00B33A06"/>
    <w:rsid w:val="00B3646D"/>
    <w:rsid w:val="00B36715"/>
    <w:rsid w:val="00B3795E"/>
    <w:rsid w:val="00B42D0F"/>
    <w:rsid w:val="00B4699A"/>
    <w:rsid w:val="00B509B5"/>
    <w:rsid w:val="00B511C8"/>
    <w:rsid w:val="00B54552"/>
    <w:rsid w:val="00B562B1"/>
    <w:rsid w:val="00B603C6"/>
    <w:rsid w:val="00B606A3"/>
    <w:rsid w:val="00B633BA"/>
    <w:rsid w:val="00B71036"/>
    <w:rsid w:val="00B916FB"/>
    <w:rsid w:val="00B92E14"/>
    <w:rsid w:val="00B9309E"/>
    <w:rsid w:val="00B93FF5"/>
    <w:rsid w:val="00B94F56"/>
    <w:rsid w:val="00BA2950"/>
    <w:rsid w:val="00BA30EC"/>
    <w:rsid w:val="00BA770E"/>
    <w:rsid w:val="00BB4453"/>
    <w:rsid w:val="00BB55C4"/>
    <w:rsid w:val="00BB5DBA"/>
    <w:rsid w:val="00BB6618"/>
    <w:rsid w:val="00BB76CC"/>
    <w:rsid w:val="00BC66D2"/>
    <w:rsid w:val="00BC6AF6"/>
    <w:rsid w:val="00BD4B83"/>
    <w:rsid w:val="00BD4ECA"/>
    <w:rsid w:val="00BE36A4"/>
    <w:rsid w:val="00BF04C4"/>
    <w:rsid w:val="00BF7359"/>
    <w:rsid w:val="00BF7E32"/>
    <w:rsid w:val="00C03F30"/>
    <w:rsid w:val="00C04379"/>
    <w:rsid w:val="00C05C64"/>
    <w:rsid w:val="00C107B3"/>
    <w:rsid w:val="00C112DA"/>
    <w:rsid w:val="00C11FB3"/>
    <w:rsid w:val="00C12467"/>
    <w:rsid w:val="00C22B74"/>
    <w:rsid w:val="00C237C2"/>
    <w:rsid w:val="00C255AD"/>
    <w:rsid w:val="00C26E7F"/>
    <w:rsid w:val="00C364C0"/>
    <w:rsid w:val="00C45D6E"/>
    <w:rsid w:val="00C81A78"/>
    <w:rsid w:val="00C81C15"/>
    <w:rsid w:val="00C8708B"/>
    <w:rsid w:val="00C956D9"/>
    <w:rsid w:val="00C96138"/>
    <w:rsid w:val="00CA1460"/>
    <w:rsid w:val="00CA784B"/>
    <w:rsid w:val="00CC056D"/>
    <w:rsid w:val="00CC25B0"/>
    <w:rsid w:val="00CC4173"/>
    <w:rsid w:val="00CC4E45"/>
    <w:rsid w:val="00CC7FC1"/>
    <w:rsid w:val="00CD0865"/>
    <w:rsid w:val="00CD1842"/>
    <w:rsid w:val="00CD601B"/>
    <w:rsid w:val="00CD76CA"/>
    <w:rsid w:val="00CE0EA7"/>
    <w:rsid w:val="00CE1AF3"/>
    <w:rsid w:val="00CE659A"/>
    <w:rsid w:val="00CF3328"/>
    <w:rsid w:val="00CF64B3"/>
    <w:rsid w:val="00D10493"/>
    <w:rsid w:val="00D221AC"/>
    <w:rsid w:val="00D25254"/>
    <w:rsid w:val="00D25804"/>
    <w:rsid w:val="00D26622"/>
    <w:rsid w:val="00D31F23"/>
    <w:rsid w:val="00D432F7"/>
    <w:rsid w:val="00D47464"/>
    <w:rsid w:val="00D47A39"/>
    <w:rsid w:val="00D5133F"/>
    <w:rsid w:val="00D55146"/>
    <w:rsid w:val="00D62039"/>
    <w:rsid w:val="00D63828"/>
    <w:rsid w:val="00D63CBA"/>
    <w:rsid w:val="00D641B1"/>
    <w:rsid w:val="00D70507"/>
    <w:rsid w:val="00D7062A"/>
    <w:rsid w:val="00D7436D"/>
    <w:rsid w:val="00D74777"/>
    <w:rsid w:val="00D75606"/>
    <w:rsid w:val="00D77D50"/>
    <w:rsid w:val="00D81768"/>
    <w:rsid w:val="00D82292"/>
    <w:rsid w:val="00D85F98"/>
    <w:rsid w:val="00D87A2A"/>
    <w:rsid w:val="00D936DE"/>
    <w:rsid w:val="00D94A44"/>
    <w:rsid w:val="00D95310"/>
    <w:rsid w:val="00DA6A94"/>
    <w:rsid w:val="00DB06A6"/>
    <w:rsid w:val="00DB5BDB"/>
    <w:rsid w:val="00DB60CE"/>
    <w:rsid w:val="00DC3062"/>
    <w:rsid w:val="00DC5BB3"/>
    <w:rsid w:val="00DD328D"/>
    <w:rsid w:val="00DD5079"/>
    <w:rsid w:val="00DE0B8D"/>
    <w:rsid w:val="00DF6319"/>
    <w:rsid w:val="00E00CA3"/>
    <w:rsid w:val="00E10CCE"/>
    <w:rsid w:val="00E11A49"/>
    <w:rsid w:val="00E12E35"/>
    <w:rsid w:val="00E157C4"/>
    <w:rsid w:val="00E1611F"/>
    <w:rsid w:val="00E22870"/>
    <w:rsid w:val="00E300E2"/>
    <w:rsid w:val="00E352A1"/>
    <w:rsid w:val="00E4610C"/>
    <w:rsid w:val="00E5340C"/>
    <w:rsid w:val="00E57D66"/>
    <w:rsid w:val="00E62320"/>
    <w:rsid w:val="00E6429B"/>
    <w:rsid w:val="00E82209"/>
    <w:rsid w:val="00E83176"/>
    <w:rsid w:val="00E8742A"/>
    <w:rsid w:val="00E90161"/>
    <w:rsid w:val="00E90FB2"/>
    <w:rsid w:val="00EA1E7A"/>
    <w:rsid w:val="00EB2685"/>
    <w:rsid w:val="00EB2DF2"/>
    <w:rsid w:val="00EB7D17"/>
    <w:rsid w:val="00EC3BF8"/>
    <w:rsid w:val="00EC5DA0"/>
    <w:rsid w:val="00ED3703"/>
    <w:rsid w:val="00ED3F10"/>
    <w:rsid w:val="00ED7FC9"/>
    <w:rsid w:val="00EE027E"/>
    <w:rsid w:val="00EF04CB"/>
    <w:rsid w:val="00EF1942"/>
    <w:rsid w:val="00F06AEA"/>
    <w:rsid w:val="00F11BFA"/>
    <w:rsid w:val="00F165DE"/>
    <w:rsid w:val="00F21F27"/>
    <w:rsid w:val="00F308E1"/>
    <w:rsid w:val="00F33CEF"/>
    <w:rsid w:val="00F36968"/>
    <w:rsid w:val="00F37B94"/>
    <w:rsid w:val="00F416C9"/>
    <w:rsid w:val="00F51CF6"/>
    <w:rsid w:val="00F60C8E"/>
    <w:rsid w:val="00F619B0"/>
    <w:rsid w:val="00F66BD8"/>
    <w:rsid w:val="00F756DD"/>
    <w:rsid w:val="00F7775B"/>
    <w:rsid w:val="00F83F92"/>
    <w:rsid w:val="00F93EC7"/>
    <w:rsid w:val="00FA2E88"/>
    <w:rsid w:val="00FC5F61"/>
    <w:rsid w:val="00FC706D"/>
    <w:rsid w:val="00FD02EC"/>
    <w:rsid w:val="00FD2CE4"/>
    <w:rsid w:val="00FD4295"/>
    <w:rsid w:val="00FE3EA9"/>
    <w:rsid w:val="00FE443E"/>
    <w:rsid w:val="00FE519A"/>
    <w:rsid w:val="00FE72FE"/>
    <w:rsid w:val="00FF14AF"/>
    <w:rsid w:val="00FF261F"/>
    <w:rsid w:val="00FF3D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9A2B"/>
  <w15:chartTrackingRefBased/>
  <w15:docId w15:val="{E44900A6-DB86-44DD-8CA2-2106F692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734C"/>
    <w:pPr>
      <w:spacing w:after="0" w:line="240" w:lineRule="auto"/>
    </w:pPr>
    <w:rPr>
      <w:rFonts w:ascii="Times New Roman" w:hAnsi="Times New Roman" w:cs="Times New Roman"/>
      <w:sz w:val="24"/>
      <w:szCs w:val="24"/>
      <w:lang w:eastAsia="es-ES_tradnl"/>
    </w:rPr>
  </w:style>
  <w:style w:type="paragraph" w:styleId="Ttulo3">
    <w:name w:val="heading 3"/>
    <w:basedOn w:val="Normal"/>
    <w:next w:val="Normal"/>
    <w:link w:val="Ttulo3Car"/>
    <w:qFormat/>
    <w:rsid w:val="00370F79"/>
    <w:pPr>
      <w:keepNext/>
      <w:spacing w:before="240" w:after="60"/>
      <w:outlineLvl w:val="2"/>
    </w:pPr>
    <w:rPr>
      <w:rFonts w:ascii="Arial"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702"/>
    <w:pPr>
      <w:spacing w:after="0" w:line="240" w:lineRule="auto"/>
      <w:jc w:val="both"/>
    </w:pPr>
    <w:rPr>
      <w:rFonts w:ascii="Arial" w:hAnsi="Arial" w:cs="Times New Roman"/>
      <w:szCs w:val="24"/>
      <w:lang w:eastAsia="es-ES"/>
    </w:rPr>
  </w:style>
  <w:style w:type="paragraph" w:customStyle="1" w:styleId="c5">
    <w:name w:val="c5"/>
    <w:basedOn w:val="Normal"/>
    <w:rsid w:val="008A4E27"/>
    <w:pPr>
      <w:autoSpaceDE w:val="0"/>
      <w:autoSpaceDN w:val="0"/>
      <w:spacing w:line="240" w:lineRule="atLeast"/>
      <w:jc w:val="center"/>
    </w:pPr>
    <w:rPr>
      <w:lang w:val="es-ES" w:eastAsia="es-ES"/>
    </w:rPr>
  </w:style>
  <w:style w:type="paragraph" w:customStyle="1" w:styleId="c4">
    <w:name w:val="c4"/>
    <w:basedOn w:val="Normal"/>
    <w:rsid w:val="008A4E27"/>
    <w:pPr>
      <w:widowControl w:val="0"/>
      <w:autoSpaceDE w:val="0"/>
      <w:autoSpaceDN w:val="0"/>
      <w:adjustRightInd w:val="0"/>
      <w:spacing w:line="240" w:lineRule="atLeast"/>
      <w:jc w:val="center"/>
    </w:pPr>
    <w:rPr>
      <w:lang w:val="en-US" w:eastAsia="es-ES"/>
    </w:rPr>
  </w:style>
  <w:style w:type="paragraph" w:customStyle="1" w:styleId="p6">
    <w:name w:val="p6"/>
    <w:basedOn w:val="Normal"/>
    <w:rsid w:val="008A4E27"/>
    <w:pPr>
      <w:widowControl w:val="0"/>
      <w:tabs>
        <w:tab w:val="left" w:pos="1479"/>
      </w:tabs>
      <w:autoSpaceDE w:val="0"/>
      <w:autoSpaceDN w:val="0"/>
      <w:adjustRightInd w:val="0"/>
      <w:spacing w:line="266" w:lineRule="atLeast"/>
      <w:ind w:left="555"/>
      <w:jc w:val="both"/>
    </w:pPr>
    <w:rPr>
      <w:lang w:val="en-US" w:eastAsia="es-ES"/>
    </w:rPr>
  </w:style>
  <w:style w:type="paragraph" w:customStyle="1" w:styleId="p2">
    <w:name w:val="p2"/>
    <w:basedOn w:val="Normal"/>
    <w:rsid w:val="00714DC2"/>
    <w:pPr>
      <w:widowControl w:val="0"/>
      <w:tabs>
        <w:tab w:val="left" w:pos="170"/>
      </w:tabs>
      <w:autoSpaceDE w:val="0"/>
      <w:autoSpaceDN w:val="0"/>
      <w:adjustRightInd w:val="0"/>
      <w:spacing w:line="240" w:lineRule="atLeast"/>
      <w:ind w:left="754"/>
      <w:jc w:val="both"/>
    </w:pPr>
    <w:rPr>
      <w:lang w:val="en-US" w:eastAsia="es-ES"/>
    </w:rPr>
  </w:style>
  <w:style w:type="table" w:customStyle="1" w:styleId="Tabladecuadrcula4-nfasis64">
    <w:name w:val="Tabla de cuadrícula 4 - Énfasis 64"/>
    <w:basedOn w:val="Tablanormal"/>
    <w:next w:val="Tabladecuadrcula4-nfasis6"/>
    <w:uiPriority w:val="49"/>
    <w:rsid w:val="00901A40"/>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901A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9049E4"/>
    <w:pPr>
      <w:ind w:left="720"/>
      <w:contextualSpacing/>
    </w:pPr>
    <w:rPr>
      <w:lang w:val="es-ES" w:eastAsia="es-ES"/>
    </w:rPr>
  </w:style>
  <w:style w:type="character" w:styleId="Refdecomentario">
    <w:name w:val="annotation reference"/>
    <w:basedOn w:val="Fuentedeprrafopredeter"/>
    <w:uiPriority w:val="99"/>
    <w:semiHidden/>
    <w:unhideWhenUsed/>
    <w:rsid w:val="00CD76CA"/>
    <w:rPr>
      <w:sz w:val="16"/>
      <w:szCs w:val="16"/>
    </w:rPr>
  </w:style>
  <w:style w:type="paragraph" w:styleId="Textocomentario">
    <w:name w:val="annotation text"/>
    <w:basedOn w:val="Normal"/>
    <w:link w:val="TextocomentarioCar"/>
    <w:uiPriority w:val="99"/>
    <w:semiHidden/>
    <w:unhideWhenUsed/>
    <w:rsid w:val="00CD76CA"/>
    <w:rPr>
      <w:sz w:val="20"/>
      <w:szCs w:val="20"/>
      <w:lang w:val="es-ES" w:eastAsia="es-ES"/>
    </w:rPr>
  </w:style>
  <w:style w:type="character" w:customStyle="1" w:styleId="TextocomentarioCar">
    <w:name w:val="Texto comentario Car"/>
    <w:basedOn w:val="Fuentedeprrafopredeter"/>
    <w:link w:val="Textocomentario"/>
    <w:uiPriority w:val="99"/>
    <w:semiHidden/>
    <w:rsid w:val="00CD76C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D76CA"/>
    <w:rPr>
      <w:b/>
      <w:bCs/>
    </w:rPr>
  </w:style>
  <w:style w:type="character" w:customStyle="1" w:styleId="AsuntodelcomentarioCar">
    <w:name w:val="Asunto del comentario Car"/>
    <w:basedOn w:val="TextocomentarioCar"/>
    <w:link w:val="Asuntodelcomentario"/>
    <w:uiPriority w:val="99"/>
    <w:semiHidden/>
    <w:rsid w:val="00CD76CA"/>
    <w:rPr>
      <w:rFonts w:ascii="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D7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6CA"/>
    <w:rPr>
      <w:rFonts w:ascii="Segoe UI" w:hAnsi="Segoe UI" w:cs="Segoe UI"/>
      <w:sz w:val="18"/>
      <w:szCs w:val="18"/>
      <w:lang w:val="es-ES" w:eastAsia="es-ES"/>
    </w:rPr>
  </w:style>
  <w:style w:type="table" w:customStyle="1" w:styleId="Tabladecuadrcula4-nfasis641">
    <w:name w:val="Tabla de cuadrícula 4 - Énfasis 641"/>
    <w:basedOn w:val="Tablanormal"/>
    <w:next w:val="Tabladecuadrcula4-nfasis6"/>
    <w:uiPriority w:val="49"/>
    <w:rsid w:val="002A5F3D"/>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concuadrcula">
    <w:name w:val="Table Grid"/>
    <w:basedOn w:val="Tablanormal"/>
    <w:uiPriority w:val="39"/>
    <w:rsid w:val="00512E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370F79"/>
    <w:rPr>
      <w:rFonts w:ascii="Arial" w:hAnsi="Arial" w:cs="Arial"/>
      <w:b/>
      <w:bCs/>
      <w:sz w:val="26"/>
      <w:szCs w:val="26"/>
      <w:lang w:val="es-ES" w:eastAsia="es-ES"/>
    </w:rPr>
  </w:style>
  <w:style w:type="paragraph" w:styleId="NormalWeb">
    <w:name w:val="Normal (Web)"/>
    <w:basedOn w:val="Normal"/>
    <w:uiPriority w:val="99"/>
    <w:semiHidden/>
    <w:unhideWhenUsed/>
    <w:rsid w:val="000631F2"/>
    <w:pPr>
      <w:spacing w:before="100" w:beforeAutospacing="1" w:after="100" w:afterAutospacing="1"/>
    </w:pPr>
    <w:rPr>
      <w:lang w:eastAsia="es-CO"/>
    </w:rPr>
  </w:style>
  <w:style w:type="paragraph" w:customStyle="1" w:styleId="Prrafodelista1">
    <w:name w:val="Párrafo de lista1"/>
    <w:basedOn w:val="Normal"/>
    <w:rsid w:val="00B93FF5"/>
    <w:pPr>
      <w:suppressAutoHyphens/>
      <w:ind w:left="708"/>
    </w:pPr>
    <w:rPr>
      <w:rFonts w:cs="Calibri"/>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89047">
      <w:bodyDiv w:val="1"/>
      <w:marLeft w:val="0"/>
      <w:marRight w:val="0"/>
      <w:marTop w:val="0"/>
      <w:marBottom w:val="0"/>
      <w:divBdr>
        <w:top w:val="none" w:sz="0" w:space="0" w:color="auto"/>
        <w:left w:val="none" w:sz="0" w:space="0" w:color="auto"/>
        <w:bottom w:val="none" w:sz="0" w:space="0" w:color="auto"/>
        <w:right w:val="none" w:sz="0" w:space="0" w:color="auto"/>
      </w:divBdr>
    </w:div>
    <w:div w:id="1022508785">
      <w:bodyDiv w:val="1"/>
      <w:marLeft w:val="0"/>
      <w:marRight w:val="0"/>
      <w:marTop w:val="0"/>
      <w:marBottom w:val="0"/>
      <w:divBdr>
        <w:top w:val="none" w:sz="0" w:space="0" w:color="auto"/>
        <w:left w:val="none" w:sz="0" w:space="0" w:color="auto"/>
        <w:bottom w:val="none" w:sz="0" w:space="0" w:color="auto"/>
        <w:right w:val="none" w:sz="0" w:space="0" w:color="auto"/>
      </w:divBdr>
    </w:div>
    <w:div w:id="1195578307">
      <w:bodyDiv w:val="1"/>
      <w:marLeft w:val="0"/>
      <w:marRight w:val="0"/>
      <w:marTop w:val="0"/>
      <w:marBottom w:val="0"/>
      <w:divBdr>
        <w:top w:val="none" w:sz="0" w:space="0" w:color="auto"/>
        <w:left w:val="none" w:sz="0" w:space="0" w:color="auto"/>
        <w:bottom w:val="none" w:sz="0" w:space="0" w:color="auto"/>
        <w:right w:val="none" w:sz="0" w:space="0" w:color="auto"/>
      </w:divBdr>
    </w:div>
    <w:div w:id="19329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272F-72E6-4650-A3A9-F8117E93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2128</Words>
  <Characters>11708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Benitez Lozano</dc:creator>
  <cp:keywords/>
  <dc:description/>
  <cp:lastModifiedBy>Maria Fernanda Guerra Charry</cp:lastModifiedBy>
  <cp:revision>14</cp:revision>
  <cp:lastPrinted>2019-02-22T17:23:00Z</cp:lastPrinted>
  <dcterms:created xsi:type="dcterms:W3CDTF">2019-02-26T19:55:00Z</dcterms:created>
  <dcterms:modified xsi:type="dcterms:W3CDTF">2019-03-06T21:53:00Z</dcterms:modified>
</cp:coreProperties>
</file>