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57D2E" w14:textId="77777777" w:rsidR="00AB5D1E" w:rsidRPr="007A6A32" w:rsidRDefault="00A778B6" w:rsidP="00FB4F8E">
      <w:pPr>
        <w:spacing w:before="0" w:after="0"/>
        <w:jc w:val="center"/>
        <w:rPr>
          <w:rFonts w:cs="Arial"/>
          <w:b/>
          <w:bCs/>
          <w:color w:val="000000" w:themeColor="text1"/>
          <w:sz w:val="22"/>
          <w:szCs w:val="22"/>
        </w:rPr>
      </w:pPr>
      <w:bookmarkStart w:id="0" w:name="_GoBack"/>
      <w:bookmarkEnd w:id="0"/>
      <w:r w:rsidRPr="007A6A32">
        <w:rPr>
          <w:rFonts w:cs="Arial"/>
          <w:b/>
          <w:bCs/>
          <w:color w:val="000000" w:themeColor="text1"/>
          <w:sz w:val="22"/>
          <w:szCs w:val="22"/>
        </w:rPr>
        <w:t>REPÚBLICA DE COLOMBIA</w:t>
      </w:r>
    </w:p>
    <w:p w14:paraId="0D20114D" w14:textId="77777777" w:rsidR="001355C2" w:rsidRPr="007A6A32" w:rsidRDefault="001355C2" w:rsidP="00FB4F8E">
      <w:pPr>
        <w:spacing w:before="0" w:after="0"/>
        <w:jc w:val="center"/>
        <w:rPr>
          <w:rFonts w:cs="Arial"/>
          <w:b/>
          <w:bCs/>
          <w:color w:val="000000" w:themeColor="text1"/>
          <w:sz w:val="22"/>
          <w:szCs w:val="22"/>
        </w:rPr>
      </w:pPr>
    </w:p>
    <w:p w14:paraId="2244644E" w14:textId="77777777" w:rsidR="00AB5D1E" w:rsidRPr="007A6A32" w:rsidRDefault="00AB5D1E" w:rsidP="00FB4F8E">
      <w:pPr>
        <w:spacing w:before="0" w:after="0"/>
        <w:jc w:val="center"/>
        <w:rPr>
          <w:rFonts w:cs="Arial"/>
          <w:b/>
          <w:bCs/>
          <w:color w:val="000000" w:themeColor="text1"/>
          <w:sz w:val="22"/>
          <w:szCs w:val="22"/>
        </w:rPr>
      </w:pPr>
    </w:p>
    <w:p w14:paraId="34C8DA0E" w14:textId="77777777" w:rsidR="00AB5D1E" w:rsidRPr="007A6A32" w:rsidRDefault="00A778B6" w:rsidP="00FB4F8E">
      <w:pPr>
        <w:spacing w:before="0" w:after="0"/>
        <w:jc w:val="center"/>
        <w:rPr>
          <w:rFonts w:cs="Arial"/>
          <w:b/>
          <w:bCs/>
          <w:color w:val="000000" w:themeColor="text1"/>
          <w:sz w:val="22"/>
          <w:szCs w:val="22"/>
        </w:rPr>
      </w:pPr>
      <w:r w:rsidRPr="007A6A32">
        <w:rPr>
          <w:rFonts w:cs="Arial"/>
          <w:b/>
          <w:bCs/>
          <w:color w:val="000000" w:themeColor="text1"/>
          <w:sz w:val="22"/>
          <w:szCs w:val="22"/>
        </w:rPr>
        <w:t>COMISIÓN NACIONAL DE CRÉDITO AGROPECUARIO</w:t>
      </w:r>
    </w:p>
    <w:p w14:paraId="18621D23" w14:textId="77777777" w:rsidR="00AB5D1E" w:rsidRPr="007A6A32" w:rsidRDefault="00AB5D1E" w:rsidP="00FB4F8E">
      <w:pPr>
        <w:spacing w:before="0" w:after="0"/>
        <w:jc w:val="center"/>
        <w:rPr>
          <w:rFonts w:cs="Arial"/>
          <w:b/>
          <w:bCs/>
          <w:color w:val="000000" w:themeColor="text1"/>
          <w:sz w:val="22"/>
          <w:szCs w:val="22"/>
        </w:rPr>
      </w:pPr>
    </w:p>
    <w:p w14:paraId="07047739" w14:textId="608AA187" w:rsidR="00AB5D1E" w:rsidRPr="0082518E" w:rsidRDefault="00A96CF4" w:rsidP="00FB4F8E">
      <w:pPr>
        <w:spacing w:before="0" w:after="0"/>
        <w:jc w:val="center"/>
        <w:rPr>
          <w:rFonts w:cs="Arial"/>
          <w:b/>
          <w:bCs/>
          <w:color w:val="000000" w:themeColor="text1"/>
          <w:sz w:val="22"/>
          <w:szCs w:val="22"/>
        </w:rPr>
      </w:pPr>
      <w:r w:rsidRPr="0082518E">
        <w:rPr>
          <w:rFonts w:cs="Arial"/>
          <w:b/>
          <w:bCs/>
          <w:color w:val="000000" w:themeColor="text1"/>
          <w:sz w:val="22"/>
          <w:szCs w:val="22"/>
        </w:rPr>
        <w:t xml:space="preserve">RESOLUCIÓN </w:t>
      </w:r>
      <w:r w:rsidR="00335F01" w:rsidRPr="0082518E">
        <w:rPr>
          <w:rFonts w:cs="Arial"/>
          <w:b/>
          <w:bCs/>
          <w:color w:val="000000" w:themeColor="text1"/>
          <w:sz w:val="22"/>
          <w:szCs w:val="22"/>
        </w:rPr>
        <w:t>No.</w:t>
      </w:r>
      <w:r w:rsidRPr="0082518E">
        <w:rPr>
          <w:rFonts w:cs="Arial"/>
          <w:b/>
          <w:bCs/>
          <w:color w:val="000000" w:themeColor="text1"/>
          <w:sz w:val="22"/>
          <w:szCs w:val="22"/>
        </w:rPr>
        <w:t>______</w:t>
      </w:r>
      <w:r w:rsidR="00A778B6" w:rsidRPr="0082518E">
        <w:rPr>
          <w:rFonts w:cs="Arial"/>
          <w:b/>
          <w:bCs/>
          <w:color w:val="000000" w:themeColor="text1"/>
          <w:sz w:val="22"/>
          <w:szCs w:val="22"/>
        </w:rPr>
        <w:t xml:space="preserve"> </w:t>
      </w:r>
      <w:r w:rsidR="00A778B6" w:rsidRPr="0082518E">
        <w:rPr>
          <w:rFonts w:cs="Arial"/>
          <w:b/>
          <w:bCs/>
          <w:sz w:val="22"/>
          <w:szCs w:val="22"/>
        </w:rPr>
        <w:t xml:space="preserve">DE </w:t>
      </w:r>
      <w:r w:rsidR="00A778B6" w:rsidRPr="0082518E">
        <w:rPr>
          <w:rFonts w:cs="Arial"/>
          <w:b/>
          <w:bCs/>
          <w:color w:val="000000" w:themeColor="text1"/>
          <w:sz w:val="22"/>
          <w:szCs w:val="22"/>
        </w:rPr>
        <w:t>201</w:t>
      </w:r>
      <w:r w:rsidR="00C02020" w:rsidRPr="0082518E">
        <w:rPr>
          <w:rFonts w:cs="Arial"/>
          <w:b/>
          <w:bCs/>
          <w:color w:val="000000" w:themeColor="text1"/>
          <w:sz w:val="22"/>
          <w:szCs w:val="22"/>
        </w:rPr>
        <w:t>9</w:t>
      </w:r>
    </w:p>
    <w:p w14:paraId="4163A690" w14:textId="4CC13D8E" w:rsidR="00197B9A" w:rsidRPr="007A6A32" w:rsidRDefault="00197B9A" w:rsidP="00FB4F8E">
      <w:pPr>
        <w:spacing w:before="0" w:after="0"/>
        <w:jc w:val="center"/>
        <w:rPr>
          <w:rFonts w:cs="Arial"/>
          <w:sz w:val="22"/>
          <w:szCs w:val="22"/>
        </w:rPr>
      </w:pPr>
      <w:r w:rsidRPr="0082518E">
        <w:rPr>
          <w:rFonts w:cs="Arial"/>
          <w:b/>
          <w:bCs/>
          <w:color w:val="000000" w:themeColor="text1"/>
          <w:sz w:val="22"/>
          <w:szCs w:val="22"/>
        </w:rPr>
        <w:t xml:space="preserve">(Diciembre de </w:t>
      </w:r>
      <w:r w:rsidR="001D6A4A" w:rsidRPr="0082518E">
        <w:rPr>
          <w:rFonts w:cs="Arial"/>
          <w:b/>
          <w:bCs/>
          <w:color w:val="000000" w:themeColor="text1"/>
          <w:sz w:val="22"/>
          <w:szCs w:val="22"/>
        </w:rPr>
        <w:t>18</w:t>
      </w:r>
      <w:r w:rsidRPr="0082518E">
        <w:rPr>
          <w:rFonts w:cs="Arial"/>
          <w:b/>
          <w:bCs/>
          <w:color w:val="000000" w:themeColor="text1"/>
          <w:sz w:val="22"/>
          <w:szCs w:val="22"/>
        </w:rPr>
        <w:t>)</w:t>
      </w:r>
    </w:p>
    <w:p w14:paraId="515E7F53" w14:textId="77777777" w:rsidR="00AB5D1E" w:rsidRPr="007A6A32" w:rsidRDefault="00AB5D1E" w:rsidP="00FB4F8E">
      <w:pPr>
        <w:pStyle w:val="Textoindependiente2"/>
        <w:spacing w:before="0" w:after="0" w:line="0" w:lineRule="atLeast"/>
        <w:rPr>
          <w:rFonts w:cs="Arial"/>
          <w:color w:val="000000" w:themeColor="text1"/>
          <w:sz w:val="22"/>
          <w:szCs w:val="22"/>
        </w:rPr>
      </w:pPr>
    </w:p>
    <w:p w14:paraId="31478724" w14:textId="77777777" w:rsidR="00AB5D1E" w:rsidRPr="00F866FA" w:rsidRDefault="00A778B6" w:rsidP="00FB4F8E">
      <w:pPr>
        <w:pStyle w:val="Textoindependiente2"/>
        <w:spacing w:before="0" w:after="0" w:line="0" w:lineRule="atLeast"/>
        <w:rPr>
          <w:rFonts w:cs="Arial"/>
          <w:color w:val="000000" w:themeColor="text1"/>
          <w:sz w:val="22"/>
          <w:szCs w:val="22"/>
        </w:rPr>
      </w:pPr>
      <w:bookmarkStart w:id="1" w:name="_Hlk532296860"/>
      <w:r w:rsidRPr="00F866FA">
        <w:rPr>
          <w:rFonts w:cs="Arial"/>
          <w:color w:val="000000" w:themeColor="text1"/>
          <w:sz w:val="22"/>
          <w:szCs w:val="22"/>
        </w:rPr>
        <w:t xml:space="preserve">“Por la cual se aprueba el Plan Anual de Gestión de Riesgos Agropecuarios para el </w:t>
      </w:r>
      <w:r w:rsidR="003974CF" w:rsidRPr="00F866FA">
        <w:rPr>
          <w:rFonts w:cs="Arial"/>
          <w:color w:val="000000" w:themeColor="text1"/>
          <w:sz w:val="22"/>
          <w:szCs w:val="22"/>
        </w:rPr>
        <w:t>A</w:t>
      </w:r>
      <w:r w:rsidR="00A96CF4" w:rsidRPr="00F866FA">
        <w:rPr>
          <w:rFonts w:cs="Arial"/>
          <w:color w:val="000000" w:themeColor="text1"/>
          <w:sz w:val="22"/>
          <w:szCs w:val="22"/>
        </w:rPr>
        <w:t>ño</w:t>
      </w:r>
      <w:r w:rsidRPr="00F866FA">
        <w:rPr>
          <w:rFonts w:cs="Arial"/>
          <w:color w:val="000000" w:themeColor="text1"/>
          <w:sz w:val="22"/>
          <w:szCs w:val="22"/>
        </w:rPr>
        <w:t xml:space="preserve"> 20</w:t>
      </w:r>
      <w:r w:rsidR="00C02020">
        <w:rPr>
          <w:rFonts w:cs="Arial"/>
          <w:color w:val="000000" w:themeColor="text1"/>
          <w:sz w:val="22"/>
          <w:szCs w:val="22"/>
        </w:rPr>
        <w:t>20</w:t>
      </w:r>
      <w:r w:rsidRPr="00F866FA">
        <w:rPr>
          <w:rFonts w:cs="Arial"/>
          <w:color w:val="000000" w:themeColor="text1"/>
          <w:sz w:val="22"/>
          <w:szCs w:val="22"/>
        </w:rPr>
        <w:t>, y se dictan otras disposiciones”</w:t>
      </w:r>
    </w:p>
    <w:bookmarkEnd w:id="1"/>
    <w:p w14:paraId="201850D0" w14:textId="77777777" w:rsidR="00AB5D1E" w:rsidRPr="00F866FA" w:rsidRDefault="00AB5D1E" w:rsidP="00FB4F8E">
      <w:pPr>
        <w:spacing w:before="0" w:after="0" w:line="0" w:lineRule="atLeast"/>
        <w:jc w:val="center"/>
        <w:rPr>
          <w:rFonts w:cs="Arial"/>
          <w:b/>
          <w:bCs/>
          <w:color w:val="000000" w:themeColor="text1"/>
          <w:sz w:val="22"/>
          <w:szCs w:val="22"/>
          <w:lang w:val="es-ES"/>
        </w:rPr>
      </w:pPr>
    </w:p>
    <w:p w14:paraId="5FE10225" w14:textId="77777777" w:rsidR="000613FB" w:rsidRPr="00F866FA" w:rsidRDefault="000613FB" w:rsidP="00FB4F8E">
      <w:pPr>
        <w:spacing w:before="0" w:after="0" w:line="0" w:lineRule="atLeast"/>
        <w:jc w:val="center"/>
        <w:rPr>
          <w:rFonts w:cs="Arial"/>
          <w:b/>
          <w:bCs/>
          <w:color w:val="000000" w:themeColor="text1"/>
          <w:sz w:val="22"/>
          <w:szCs w:val="22"/>
          <w:lang w:val="es-ES"/>
        </w:rPr>
      </w:pPr>
    </w:p>
    <w:p w14:paraId="561C2353" w14:textId="77777777" w:rsidR="00AB5D1E" w:rsidRPr="007A6A32" w:rsidRDefault="00A778B6" w:rsidP="00FB4F8E">
      <w:pPr>
        <w:spacing w:before="0" w:after="0" w:line="0" w:lineRule="atLeast"/>
        <w:jc w:val="center"/>
        <w:rPr>
          <w:rFonts w:cs="Arial"/>
          <w:b/>
          <w:bCs/>
          <w:color w:val="000000" w:themeColor="text1"/>
          <w:sz w:val="22"/>
          <w:szCs w:val="22"/>
        </w:rPr>
      </w:pPr>
      <w:r w:rsidRPr="00F866FA">
        <w:rPr>
          <w:rFonts w:cs="Arial"/>
          <w:b/>
          <w:bCs/>
          <w:color w:val="000000" w:themeColor="text1"/>
          <w:sz w:val="22"/>
          <w:szCs w:val="22"/>
        </w:rPr>
        <w:t>LA COMISIÓN NACIONAL DE CRÉDITO AGROPECUARIO</w:t>
      </w:r>
    </w:p>
    <w:p w14:paraId="108417D9" w14:textId="77777777" w:rsidR="00AB5D1E" w:rsidRPr="007A6A32" w:rsidRDefault="00AB5D1E" w:rsidP="00FB4F8E">
      <w:pPr>
        <w:spacing w:before="0" w:after="0" w:line="0" w:lineRule="atLeast"/>
        <w:jc w:val="center"/>
        <w:rPr>
          <w:rFonts w:cs="Arial"/>
          <w:b/>
          <w:bCs/>
          <w:color w:val="000000" w:themeColor="text1"/>
          <w:sz w:val="22"/>
          <w:szCs w:val="22"/>
        </w:rPr>
      </w:pPr>
    </w:p>
    <w:p w14:paraId="36939A80" w14:textId="77777777" w:rsidR="00AB5D1E" w:rsidRPr="007A6A32" w:rsidRDefault="00A778B6" w:rsidP="00FB4F8E">
      <w:pPr>
        <w:spacing w:before="0" w:after="0" w:line="0" w:lineRule="atLeast"/>
        <w:jc w:val="both"/>
        <w:rPr>
          <w:rFonts w:cs="Arial"/>
          <w:color w:val="000000" w:themeColor="text1"/>
          <w:sz w:val="22"/>
          <w:szCs w:val="22"/>
        </w:rPr>
      </w:pPr>
      <w:r w:rsidRPr="007A6A32">
        <w:rPr>
          <w:rFonts w:cs="Arial"/>
          <w:color w:val="000000" w:themeColor="text1"/>
          <w:sz w:val="22"/>
          <w:szCs w:val="22"/>
        </w:rPr>
        <w:t xml:space="preserve">En ejercicio de las facultades consagradas en </w:t>
      </w:r>
      <w:r w:rsidR="001A11C9" w:rsidRPr="007A6A32">
        <w:rPr>
          <w:rFonts w:cs="Arial"/>
          <w:sz w:val="22"/>
          <w:szCs w:val="22"/>
          <w:lang w:eastAsia="es-CO"/>
        </w:rPr>
        <w:t xml:space="preserve">el artículo 218 del Estatuto Orgánico del Sistema Financiero, </w:t>
      </w:r>
      <w:r w:rsidRPr="007A6A32">
        <w:rPr>
          <w:rFonts w:cs="Arial"/>
          <w:color w:val="000000" w:themeColor="text1"/>
          <w:sz w:val="22"/>
          <w:szCs w:val="22"/>
        </w:rPr>
        <w:t>las Leyes 16 de 1990, 69 de 1993, 101 de 1993, 812 de 2003, 1151 de 2007, 1450 de 20</w:t>
      </w:r>
      <w:r w:rsidR="00175B65" w:rsidRPr="007A6A32">
        <w:rPr>
          <w:rFonts w:cs="Arial"/>
          <w:color w:val="000000" w:themeColor="text1"/>
          <w:sz w:val="22"/>
          <w:szCs w:val="22"/>
        </w:rPr>
        <w:t xml:space="preserve">11, 1731 de 2014, 1753 de 2015, </w:t>
      </w:r>
      <w:r w:rsidR="00C02020">
        <w:rPr>
          <w:rFonts w:cs="Arial"/>
          <w:color w:val="000000" w:themeColor="text1"/>
          <w:sz w:val="22"/>
          <w:szCs w:val="22"/>
        </w:rPr>
        <w:t xml:space="preserve">1955 de 2019, </w:t>
      </w:r>
      <w:r w:rsidR="00175B65" w:rsidRPr="007A6A32">
        <w:rPr>
          <w:rFonts w:cs="Arial"/>
          <w:color w:val="000000" w:themeColor="text1"/>
          <w:sz w:val="22"/>
          <w:szCs w:val="22"/>
        </w:rPr>
        <w:t xml:space="preserve">el Decreto Ley 2371 de 2015 y </w:t>
      </w:r>
      <w:r w:rsidR="00720133" w:rsidRPr="007A6A32">
        <w:rPr>
          <w:rFonts w:cs="Arial"/>
          <w:color w:val="000000" w:themeColor="text1"/>
          <w:sz w:val="22"/>
          <w:szCs w:val="22"/>
        </w:rPr>
        <w:t xml:space="preserve">los </w:t>
      </w:r>
      <w:r w:rsidR="00175B65" w:rsidRPr="007A6A32">
        <w:rPr>
          <w:rFonts w:cs="Arial"/>
          <w:color w:val="000000" w:themeColor="text1"/>
          <w:sz w:val="22"/>
          <w:szCs w:val="22"/>
        </w:rPr>
        <w:t>Decreto</w:t>
      </w:r>
      <w:r w:rsidR="009847BE">
        <w:rPr>
          <w:rFonts w:cs="Arial"/>
          <w:color w:val="000000" w:themeColor="text1"/>
          <w:sz w:val="22"/>
          <w:szCs w:val="22"/>
        </w:rPr>
        <w:t xml:space="preserve">s 1313 de 1990, </w:t>
      </w:r>
      <w:r w:rsidRPr="007A6A32">
        <w:rPr>
          <w:rFonts w:cs="Arial"/>
          <w:color w:val="000000" w:themeColor="text1"/>
          <w:sz w:val="22"/>
          <w:szCs w:val="22"/>
        </w:rPr>
        <w:t>2555 de 2010</w:t>
      </w:r>
      <w:r w:rsidR="00741E4E">
        <w:rPr>
          <w:rFonts w:cs="Arial"/>
          <w:color w:val="000000" w:themeColor="text1"/>
          <w:sz w:val="22"/>
          <w:szCs w:val="22"/>
        </w:rPr>
        <w:t>,</w:t>
      </w:r>
      <w:r w:rsidR="009847BE">
        <w:rPr>
          <w:rFonts w:cs="Arial"/>
          <w:color w:val="000000" w:themeColor="text1"/>
          <w:sz w:val="22"/>
          <w:szCs w:val="22"/>
        </w:rPr>
        <w:t xml:space="preserve"> 1071 </w:t>
      </w:r>
      <w:r w:rsidR="00741E4E">
        <w:rPr>
          <w:rFonts w:cs="Arial"/>
          <w:color w:val="000000" w:themeColor="text1"/>
          <w:sz w:val="22"/>
          <w:szCs w:val="22"/>
        </w:rPr>
        <w:t xml:space="preserve">y 1449 </w:t>
      </w:r>
      <w:r w:rsidR="009847BE">
        <w:rPr>
          <w:rFonts w:cs="Arial"/>
          <w:color w:val="000000" w:themeColor="text1"/>
          <w:sz w:val="22"/>
          <w:szCs w:val="22"/>
        </w:rPr>
        <w:t>de 2015</w:t>
      </w:r>
      <w:r w:rsidR="00175B65" w:rsidRPr="007A6A32">
        <w:rPr>
          <w:rFonts w:cs="Arial"/>
          <w:color w:val="000000" w:themeColor="text1"/>
          <w:sz w:val="22"/>
          <w:szCs w:val="22"/>
        </w:rPr>
        <w:t xml:space="preserve">, </w:t>
      </w:r>
      <w:r w:rsidRPr="007A6A32">
        <w:rPr>
          <w:rFonts w:cs="Arial"/>
          <w:color w:val="000000" w:themeColor="text1"/>
          <w:sz w:val="22"/>
          <w:szCs w:val="22"/>
        </w:rPr>
        <w:t>y,</w:t>
      </w:r>
    </w:p>
    <w:p w14:paraId="579B02F4" w14:textId="77777777" w:rsidR="00AB5D1E" w:rsidRPr="007A6A32" w:rsidRDefault="00AB5D1E" w:rsidP="00FB4F8E">
      <w:pPr>
        <w:spacing w:before="0" w:after="0" w:line="0" w:lineRule="atLeast"/>
        <w:jc w:val="both"/>
        <w:rPr>
          <w:rFonts w:cs="Arial"/>
          <w:color w:val="000000" w:themeColor="text1"/>
          <w:sz w:val="22"/>
          <w:szCs w:val="22"/>
        </w:rPr>
      </w:pPr>
    </w:p>
    <w:p w14:paraId="70CD3E67" w14:textId="77777777" w:rsidR="00AB5D1E" w:rsidRPr="007A6A32" w:rsidRDefault="00A778B6" w:rsidP="00FB4F8E">
      <w:pPr>
        <w:spacing w:before="0" w:after="0" w:line="0" w:lineRule="atLeast"/>
        <w:jc w:val="center"/>
        <w:rPr>
          <w:rFonts w:cs="Arial"/>
          <w:b/>
          <w:color w:val="000000" w:themeColor="text1"/>
          <w:sz w:val="22"/>
          <w:szCs w:val="22"/>
        </w:rPr>
      </w:pPr>
      <w:r w:rsidRPr="007A6A32">
        <w:rPr>
          <w:rFonts w:cs="Arial"/>
          <w:b/>
          <w:color w:val="000000" w:themeColor="text1"/>
          <w:sz w:val="22"/>
          <w:szCs w:val="22"/>
        </w:rPr>
        <w:t>CONSIDERANDO</w:t>
      </w:r>
    </w:p>
    <w:p w14:paraId="0CDFE79D" w14:textId="77777777" w:rsidR="00AB5D1E" w:rsidRPr="007A6A32" w:rsidRDefault="00AB5D1E" w:rsidP="00FB4F8E">
      <w:pPr>
        <w:spacing w:before="0" w:after="0" w:line="0" w:lineRule="atLeast"/>
        <w:jc w:val="center"/>
        <w:rPr>
          <w:rFonts w:cs="Arial"/>
          <w:color w:val="000000" w:themeColor="text1"/>
          <w:sz w:val="22"/>
          <w:szCs w:val="22"/>
        </w:rPr>
      </w:pPr>
    </w:p>
    <w:p w14:paraId="04C51E9F" w14:textId="77777777" w:rsidR="00CE3B60" w:rsidRPr="007A6A32" w:rsidRDefault="00ED1137" w:rsidP="00FB4F8E">
      <w:pPr>
        <w:pStyle w:val="Default"/>
        <w:jc w:val="both"/>
        <w:rPr>
          <w:color w:val="000000" w:themeColor="text1"/>
          <w:sz w:val="22"/>
          <w:szCs w:val="22"/>
          <w:lang w:eastAsia="es-CO"/>
        </w:rPr>
      </w:pPr>
      <w:r w:rsidRPr="007A6A32">
        <w:rPr>
          <w:b/>
          <w:color w:val="000000" w:themeColor="text1"/>
          <w:sz w:val="22"/>
          <w:szCs w:val="22"/>
        </w:rPr>
        <w:t>Primero</w:t>
      </w:r>
      <w:r w:rsidR="00C14E1F" w:rsidRPr="007A6A32">
        <w:rPr>
          <w:b/>
          <w:color w:val="000000" w:themeColor="text1"/>
          <w:sz w:val="22"/>
          <w:szCs w:val="22"/>
        </w:rPr>
        <w:t>.</w:t>
      </w:r>
      <w:r w:rsidRPr="007A6A32">
        <w:rPr>
          <w:b/>
          <w:color w:val="000000" w:themeColor="text1"/>
          <w:sz w:val="22"/>
          <w:szCs w:val="22"/>
        </w:rPr>
        <w:t xml:space="preserve"> </w:t>
      </w:r>
      <w:r w:rsidR="00CE3B60" w:rsidRPr="007A6A32">
        <w:rPr>
          <w:sz w:val="22"/>
          <w:szCs w:val="22"/>
          <w:lang w:eastAsia="es-CO"/>
        </w:rPr>
        <w:t xml:space="preserve">Que el </w:t>
      </w:r>
      <w:r w:rsidR="00A2750B">
        <w:rPr>
          <w:sz w:val="22"/>
          <w:szCs w:val="22"/>
          <w:lang w:eastAsia="es-CO"/>
        </w:rPr>
        <w:t xml:space="preserve">literal p) </w:t>
      </w:r>
      <w:r w:rsidR="00675B0A">
        <w:rPr>
          <w:sz w:val="22"/>
          <w:szCs w:val="22"/>
          <w:lang w:eastAsia="es-CO"/>
        </w:rPr>
        <w:t xml:space="preserve">del </w:t>
      </w:r>
      <w:r w:rsidR="00DD4789" w:rsidRPr="007A6A32">
        <w:rPr>
          <w:sz w:val="22"/>
          <w:szCs w:val="22"/>
          <w:lang w:eastAsia="es-CO"/>
        </w:rPr>
        <w:t xml:space="preserve">numeral 2 </w:t>
      </w:r>
      <w:r w:rsidR="00C41CC6" w:rsidRPr="007A6A32">
        <w:rPr>
          <w:sz w:val="22"/>
          <w:szCs w:val="22"/>
          <w:lang w:eastAsia="es-CO"/>
        </w:rPr>
        <w:t xml:space="preserve">y el parágrafo </w:t>
      </w:r>
      <w:r w:rsidR="00DD4789" w:rsidRPr="007A6A32">
        <w:rPr>
          <w:sz w:val="22"/>
          <w:szCs w:val="22"/>
          <w:lang w:eastAsia="es-CO"/>
        </w:rPr>
        <w:t xml:space="preserve">del </w:t>
      </w:r>
      <w:r w:rsidR="00CE3B60" w:rsidRPr="007A6A32">
        <w:rPr>
          <w:sz w:val="22"/>
          <w:szCs w:val="22"/>
          <w:lang w:eastAsia="es-CO"/>
        </w:rPr>
        <w:t xml:space="preserve">artículo 218 del Estatuto Orgánico del </w:t>
      </w:r>
      <w:r w:rsidR="001A11C9" w:rsidRPr="007A6A32">
        <w:rPr>
          <w:sz w:val="22"/>
          <w:szCs w:val="22"/>
          <w:lang w:eastAsia="es-CO"/>
        </w:rPr>
        <w:t xml:space="preserve">Sistema Financiero </w:t>
      </w:r>
      <w:r w:rsidR="00CE3B60" w:rsidRPr="007A6A32">
        <w:rPr>
          <w:sz w:val="22"/>
          <w:szCs w:val="22"/>
          <w:lang w:eastAsia="es-CO"/>
        </w:rPr>
        <w:t>modificado por el artículo 2</w:t>
      </w:r>
      <w:r w:rsidR="001A11C9" w:rsidRPr="007A6A32">
        <w:rPr>
          <w:sz w:val="22"/>
          <w:szCs w:val="22"/>
          <w:lang w:eastAsia="es-CO"/>
        </w:rPr>
        <w:t>o.</w:t>
      </w:r>
      <w:r w:rsidR="00CE3B60" w:rsidRPr="007A6A32">
        <w:rPr>
          <w:sz w:val="22"/>
          <w:szCs w:val="22"/>
          <w:lang w:eastAsia="es-CO"/>
        </w:rPr>
        <w:t xml:space="preserve"> del Decreto Ley 2371 de 2015, </w:t>
      </w:r>
      <w:r w:rsidR="00CE3B60" w:rsidRPr="007A6A32">
        <w:rPr>
          <w:color w:val="000000" w:themeColor="text1"/>
          <w:sz w:val="22"/>
          <w:szCs w:val="22"/>
        </w:rPr>
        <w:t xml:space="preserve">le </w:t>
      </w:r>
      <w:r w:rsidR="00CE3B60" w:rsidRPr="007A6A32">
        <w:rPr>
          <w:color w:val="000000" w:themeColor="text1"/>
          <w:sz w:val="22"/>
          <w:szCs w:val="22"/>
          <w:lang w:eastAsia="es-CO"/>
        </w:rPr>
        <w:t>asignó a la Comisión Nacional de Crédito Agropecuario - CNCA la función específica en materia de riesgos agropecuarios así:</w:t>
      </w:r>
    </w:p>
    <w:p w14:paraId="1934702A" w14:textId="77777777" w:rsidR="00CE3B60" w:rsidRPr="007A6A32" w:rsidRDefault="00CE3B60" w:rsidP="00FB4F8E">
      <w:pPr>
        <w:pStyle w:val="Default"/>
        <w:jc w:val="both"/>
        <w:rPr>
          <w:color w:val="000000" w:themeColor="text1"/>
          <w:sz w:val="22"/>
          <w:szCs w:val="22"/>
          <w:lang w:eastAsia="es-CO"/>
        </w:rPr>
      </w:pPr>
    </w:p>
    <w:p w14:paraId="0BBFA9CB" w14:textId="77777777" w:rsidR="00CE3B60" w:rsidRPr="007A6A32" w:rsidRDefault="00CE3B60" w:rsidP="00FB4F8E">
      <w:pPr>
        <w:pStyle w:val="Default"/>
        <w:jc w:val="both"/>
        <w:rPr>
          <w:i/>
          <w:color w:val="000000" w:themeColor="text1"/>
          <w:sz w:val="22"/>
          <w:szCs w:val="22"/>
          <w:lang w:eastAsia="es-CO"/>
        </w:rPr>
      </w:pPr>
      <w:r w:rsidRPr="007A6A32">
        <w:rPr>
          <w:i/>
          <w:color w:val="000000" w:themeColor="text1"/>
          <w:sz w:val="22"/>
          <w:szCs w:val="22"/>
          <w:lang w:eastAsia="es-CO"/>
        </w:rPr>
        <w:t>“(…)</w:t>
      </w:r>
    </w:p>
    <w:p w14:paraId="52E17C81" w14:textId="77777777" w:rsidR="00CE3B60" w:rsidRPr="007A6A32" w:rsidRDefault="00CE3B60" w:rsidP="00FB4F8E">
      <w:pPr>
        <w:pStyle w:val="Default"/>
        <w:jc w:val="both"/>
        <w:rPr>
          <w:i/>
          <w:color w:val="000000" w:themeColor="text1"/>
          <w:sz w:val="22"/>
          <w:szCs w:val="22"/>
          <w:lang w:eastAsia="es-CO"/>
        </w:rPr>
      </w:pPr>
      <w:r w:rsidRPr="007A6A32">
        <w:rPr>
          <w:i/>
          <w:color w:val="000000" w:themeColor="text1"/>
          <w:sz w:val="22"/>
          <w:szCs w:val="22"/>
          <w:lang w:eastAsia="es-CO"/>
        </w:rPr>
        <w:t>p) Establecer los lineamientos de política de manejo de riesgos agropecuarios, en los que se debe contemplar el desarrollo de instrumentos de riesgos climáticos, de mercado, cambiario, entre otros, así como determinar las condiciones generales de asegurabilidad de los proyectos agropecuarios, las condiciones en las cuales se aplican los apoyos e incentivos del Estado, y el destino de los recursos del Fondo Nacional de Riesgos Agropecuarios</w:t>
      </w:r>
      <w:r w:rsidR="005F5A4C" w:rsidRPr="007A6A32">
        <w:rPr>
          <w:i/>
          <w:color w:val="000000" w:themeColor="text1"/>
          <w:sz w:val="22"/>
          <w:szCs w:val="22"/>
          <w:lang w:eastAsia="es-CO"/>
        </w:rPr>
        <w:t>.</w:t>
      </w:r>
    </w:p>
    <w:p w14:paraId="2F723DB3" w14:textId="77777777" w:rsidR="00CE3B60" w:rsidRPr="007A6A32" w:rsidRDefault="00CE3B60" w:rsidP="00FB4F8E">
      <w:pPr>
        <w:pStyle w:val="Default"/>
        <w:jc w:val="both"/>
        <w:rPr>
          <w:i/>
          <w:color w:val="000000" w:themeColor="text1"/>
          <w:sz w:val="22"/>
          <w:szCs w:val="22"/>
          <w:lang w:eastAsia="es-CO"/>
        </w:rPr>
      </w:pPr>
      <w:r w:rsidRPr="007A6A32">
        <w:rPr>
          <w:i/>
          <w:color w:val="000000" w:themeColor="text1"/>
          <w:sz w:val="22"/>
          <w:szCs w:val="22"/>
          <w:lang w:eastAsia="es-CO"/>
        </w:rPr>
        <w:t>(…)</w:t>
      </w:r>
    </w:p>
    <w:p w14:paraId="4CB5D7E4" w14:textId="77777777" w:rsidR="00CE3B60" w:rsidRPr="007A6A32" w:rsidRDefault="00CE3B60" w:rsidP="00FB4F8E">
      <w:pPr>
        <w:pStyle w:val="Default"/>
        <w:jc w:val="both"/>
        <w:rPr>
          <w:sz w:val="22"/>
          <w:szCs w:val="22"/>
          <w:lang w:eastAsia="es-CO"/>
        </w:rPr>
      </w:pPr>
    </w:p>
    <w:p w14:paraId="772813D3" w14:textId="77777777" w:rsidR="005F5A4C" w:rsidRPr="007A6A32" w:rsidRDefault="005F5A4C" w:rsidP="00FB4F8E">
      <w:pPr>
        <w:pStyle w:val="Default"/>
        <w:jc w:val="both"/>
        <w:rPr>
          <w:i/>
          <w:sz w:val="22"/>
          <w:szCs w:val="22"/>
          <w:lang w:eastAsia="es-CO"/>
        </w:rPr>
      </w:pPr>
      <w:r w:rsidRPr="007A6A32">
        <w:rPr>
          <w:i/>
          <w:sz w:val="22"/>
          <w:szCs w:val="22"/>
          <w:lang w:eastAsia="es-CO"/>
        </w:rPr>
        <w:t>PARÁGRAFO. La Comisión Nacional de Crédito Agropecuario (CNCA) podrá crear comités consultivos especializados para el cumplimiento de sus funciones.”</w:t>
      </w:r>
    </w:p>
    <w:p w14:paraId="578D893A" w14:textId="77777777" w:rsidR="009117C5" w:rsidRPr="007A6A32" w:rsidRDefault="009117C5" w:rsidP="00FB4F8E">
      <w:pPr>
        <w:spacing w:before="0" w:after="0" w:line="0" w:lineRule="atLeast"/>
        <w:jc w:val="both"/>
        <w:rPr>
          <w:rFonts w:cs="Arial"/>
          <w:b/>
          <w:color w:val="000000" w:themeColor="text1"/>
          <w:sz w:val="22"/>
          <w:szCs w:val="22"/>
        </w:rPr>
      </w:pPr>
    </w:p>
    <w:p w14:paraId="6BD64E69" w14:textId="01A31783" w:rsidR="00537EA6" w:rsidRPr="00197B9A" w:rsidRDefault="00CE3B60" w:rsidP="00197B9A">
      <w:pPr>
        <w:pStyle w:val="NormalWeb"/>
        <w:jc w:val="both"/>
        <w:rPr>
          <w:rFonts w:ascii="Arial" w:hAnsi="Arial" w:cs="Arial"/>
          <w:i/>
          <w:sz w:val="22"/>
          <w:szCs w:val="22"/>
        </w:rPr>
      </w:pPr>
      <w:r w:rsidRPr="00197B9A">
        <w:rPr>
          <w:rFonts w:ascii="Arial" w:hAnsi="Arial" w:cs="Arial"/>
          <w:b/>
          <w:color w:val="000000" w:themeColor="text1"/>
          <w:sz w:val="22"/>
          <w:szCs w:val="22"/>
        </w:rPr>
        <w:t>Segundo</w:t>
      </w:r>
      <w:r w:rsidRPr="008248CD">
        <w:rPr>
          <w:rFonts w:ascii="Arial" w:hAnsi="Arial" w:cs="Arial"/>
          <w:b/>
          <w:sz w:val="22"/>
          <w:szCs w:val="22"/>
        </w:rPr>
        <w:t xml:space="preserve">. </w:t>
      </w:r>
      <w:r w:rsidR="00A778B6" w:rsidRPr="008248CD">
        <w:rPr>
          <w:rFonts w:ascii="Arial" w:hAnsi="Arial" w:cs="Arial"/>
          <w:sz w:val="22"/>
          <w:szCs w:val="22"/>
        </w:rPr>
        <w:t xml:space="preserve">Que </w:t>
      </w:r>
      <w:r w:rsidR="00831E9A" w:rsidRPr="008248CD">
        <w:rPr>
          <w:rFonts w:ascii="Arial" w:hAnsi="Arial" w:cs="Arial"/>
          <w:sz w:val="22"/>
          <w:szCs w:val="22"/>
        </w:rPr>
        <w:t>el artículo 1</w:t>
      </w:r>
      <w:r w:rsidR="005F5A4C" w:rsidRPr="008248CD">
        <w:rPr>
          <w:rFonts w:ascii="Arial" w:hAnsi="Arial" w:cs="Arial"/>
          <w:sz w:val="22"/>
          <w:szCs w:val="22"/>
        </w:rPr>
        <w:t>o.</w:t>
      </w:r>
      <w:r w:rsidR="00831E9A" w:rsidRPr="008248CD">
        <w:rPr>
          <w:rFonts w:ascii="Arial" w:hAnsi="Arial" w:cs="Arial"/>
          <w:sz w:val="22"/>
          <w:szCs w:val="22"/>
        </w:rPr>
        <w:t xml:space="preserve"> de </w:t>
      </w:r>
      <w:r w:rsidR="00A778B6" w:rsidRPr="008248CD">
        <w:rPr>
          <w:rFonts w:ascii="Arial" w:hAnsi="Arial" w:cs="Arial"/>
          <w:sz w:val="22"/>
          <w:szCs w:val="22"/>
        </w:rPr>
        <w:t>la Ley 69 de 1993</w:t>
      </w:r>
      <w:r w:rsidR="00537EA6" w:rsidRPr="008248CD">
        <w:rPr>
          <w:rFonts w:ascii="Arial" w:hAnsi="Arial" w:cs="Arial"/>
          <w:sz w:val="22"/>
          <w:szCs w:val="22"/>
        </w:rPr>
        <w:t>, modificado por el artículo 176</w:t>
      </w:r>
      <w:r w:rsidR="004543CD" w:rsidRPr="008248CD">
        <w:rPr>
          <w:rFonts w:ascii="Arial" w:hAnsi="Arial" w:cs="Arial"/>
          <w:sz w:val="22"/>
          <w:szCs w:val="22"/>
        </w:rPr>
        <w:t xml:space="preserve"> de la Ley 1955 de 2019, </w:t>
      </w:r>
      <w:r w:rsidR="00673F0A" w:rsidRPr="008248CD">
        <w:rPr>
          <w:rFonts w:ascii="Arial" w:hAnsi="Arial" w:cs="Arial"/>
          <w:sz w:val="22"/>
          <w:szCs w:val="22"/>
        </w:rPr>
        <w:t>instituye</w:t>
      </w:r>
      <w:r w:rsidR="00103017" w:rsidRPr="008248CD">
        <w:rPr>
          <w:rFonts w:ascii="Arial" w:hAnsi="Arial" w:cs="Arial"/>
          <w:sz w:val="22"/>
          <w:szCs w:val="22"/>
        </w:rPr>
        <w:t xml:space="preserve"> que:</w:t>
      </w:r>
      <w:r w:rsidR="00103017" w:rsidRPr="00197B9A">
        <w:rPr>
          <w:rFonts w:ascii="Arial" w:hAnsi="Arial" w:cs="Arial"/>
          <w:i/>
          <w:sz w:val="22"/>
          <w:szCs w:val="22"/>
        </w:rPr>
        <w:t xml:space="preserve"> “</w:t>
      </w:r>
      <w:r w:rsidR="00537EA6" w:rsidRPr="00197B9A">
        <w:rPr>
          <w:rFonts w:ascii="Arial" w:hAnsi="Arial" w:cs="Arial"/>
          <w:i/>
          <w:sz w:val="22"/>
          <w:szCs w:val="22"/>
        </w:rPr>
        <w:t>Establézcase el seguro agropecuario en Colombia, como instrumento para incentivar y proteger la producción de alimentos, buscar el mejoramiento económico del sector agropecuario, promover el ordenamiento económico del sector agropecuario y como estrategia para coadyuvar al desarrollo global del país.</w:t>
      </w:r>
    </w:p>
    <w:p w14:paraId="178AF1E8" w14:textId="1C12EE3F" w:rsidR="00537EA6" w:rsidRPr="00B90A40" w:rsidRDefault="00537EA6" w:rsidP="00197B9A">
      <w:pPr>
        <w:pStyle w:val="NormalWeb"/>
        <w:jc w:val="both"/>
        <w:rPr>
          <w:rFonts w:ascii="Arial" w:hAnsi="Arial" w:cs="Arial"/>
          <w:i/>
          <w:sz w:val="22"/>
          <w:szCs w:val="22"/>
        </w:rPr>
      </w:pPr>
      <w:r w:rsidRPr="00197B9A">
        <w:rPr>
          <w:rFonts w:ascii="Arial" w:hAnsi="Arial" w:cs="Arial"/>
          <w:i/>
          <w:sz w:val="22"/>
          <w:szCs w:val="22"/>
        </w:rPr>
        <w:t xml:space="preserve">El objeto del seguro es la protección de la totalidad o parte de las inversiones agropecuarias financiadas con recursos de crédito provenientes del sistema nacional de crédito agropecuario o con recursos propios del productor. El seguro agropecuario podrá abarcar tanto el daño </w:t>
      </w:r>
      <w:r w:rsidRPr="00B90A40">
        <w:rPr>
          <w:rFonts w:ascii="Arial" w:hAnsi="Arial" w:cs="Arial"/>
          <w:i/>
          <w:sz w:val="22"/>
          <w:szCs w:val="22"/>
        </w:rPr>
        <w:t>emergente como el lucro cesante, previendo las necesidades de producción y comercialización, y el desarrollo integral del sector económico primario.</w:t>
      </w:r>
    </w:p>
    <w:p w14:paraId="18EFA9ED" w14:textId="77777777" w:rsidR="008248CD" w:rsidRPr="00B90A40" w:rsidRDefault="008248CD" w:rsidP="008248CD">
      <w:pPr>
        <w:pStyle w:val="NormalWeb"/>
        <w:jc w:val="both"/>
        <w:rPr>
          <w:rFonts w:ascii="Arial" w:hAnsi="Arial" w:cs="Arial"/>
          <w:i/>
          <w:sz w:val="22"/>
          <w:szCs w:val="22"/>
        </w:rPr>
      </w:pPr>
      <w:r w:rsidRPr="00B90A40">
        <w:rPr>
          <w:rFonts w:ascii="Arial" w:hAnsi="Arial" w:cs="Arial"/>
          <w:i/>
          <w:sz w:val="22"/>
          <w:szCs w:val="22"/>
        </w:rPr>
        <w:lastRenderedPageBreak/>
        <w:t>PARÁGRAFO 1o. El seguro agropecuario podrá ofrecerse bajo la modalidad de seguro paramétrico, de manera que el pago de la indemnización se hará exigible ante la realización de un índice definido en el contrato de seguro.</w:t>
      </w:r>
    </w:p>
    <w:p w14:paraId="40FAAB78" w14:textId="4EE9A77A" w:rsidR="008248CD" w:rsidRPr="00B90A40" w:rsidRDefault="008248CD" w:rsidP="008248CD">
      <w:pPr>
        <w:pStyle w:val="NormalWeb"/>
        <w:jc w:val="both"/>
        <w:rPr>
          <w:rFonts w:ascii="Arial" w:hAnsi="Arial" w:cs="Arial"/>
          <w:i/>
          <w:sz w:val="22"/>
          <w:szCs w:val="22"/>
        </w:rPr>
      </w:pPr>
      <w:r w:rsidRPr="00B90A40">
        <w:rPr>
          <w:rFonts w:ascii="Arial" w:hAnsi="Arial" w:cs="Arial"/>
          <w:i/>
          <w:sz w:val="22"/>
          <w:szCs w:val="22"/>
        </w:rPr>
        <w:t>Esta modalidad de seguro podrá ser tomada por cualquier persona natural o jurídica de derecho privado o de derecho público. En este último caso, la entidad de derecho público podrá actuar como tomador, asegurado y/o beneficiario del seguro agropecuario paramétrico, asumir el pago de la prima del seguro y disponer de los recursos recibidos por concepto de indemnización para resarcir a las personas o infraestructura afectada por el riesgo amparado en el seguro. En este último caso, tal erogación se entenderá como gasto público social.”</w:t>
      </w:r>
    </w:p>
    <w:p w14:paraId="4E40A5F2" w14:textId="42F5EF6F" w:rsidR="001A11C9" w:rsidRPr="007A6A32" w:rsidRDefault="001A11C9" w:rsidP="00FB4F8E">
      <w:pPr>
        <w:spacing w:before="0" w:after="0" w:line="0" w:lineRule="atLeast"/>
        <w:jc w:val="both"/>
        <w:rPr>
          <w:rFonts w:cs="Arial"/>
          <w:sz w:val="22"/>
          <w:szCs w:val="22"/>
        </w:rPr>
      </w:pPr>
      <w:r w:rsidRPr="007A6A32">
        <w:rPr>
          <w:rFonts w:cs="Arial"/>
          <w:b/>
          <w:color w:val="000000" w:themeColor="text1"/>
          <w:sz w:val="22"/>
          <w:szCs w:val="22"/>
        </w:rPr>
        <w:t>Tercero.</w:t>
      </w:r>
      <w:r w:rsidRPr="007A6A32">
        <w:rPr>
          <w:rFonts w:cs="Arial"/>
          <w:color w:val="000000" w:themeColor="text1"/>
          <w:sz w:val="22"/>
          <w:szCs w:val="22"/>
        </w:rPr>
        <w:t xml:space="preserve"> </w:t>
      </w:r>
      <w:r w:rsidRPr="007A6A32">
        <w:rPr>
          <w:rFonts w:cs="Arial"/>
          <w:sz w:val="22"/>
          <w:szCs w:val="22"/>
        </w:rPr>
        <w:t xml:space="preserve">Que el artículo </w:t>
      </w:r>
      <w:r w:rsidR="009329CC" w:rsidRPr="007A6A32">
        <w:rPr>
          <w:rFonts w:cs="Arial"/>
          <w:sz w:val="22"/>
          <w:szCs w:val="22"/>
        </w:rPr>
        <w:t xml:space="preserve">3o. de la Ley 69 de 1993, modificado por el artículo </w:t>
      </w:r>
      <w:r w:rsidRPr="007A6A32">
        <w:rPr>
          <w:rFonts w:cs="Arial"/>
          <w:sz w:val="22"/>
          <w:szCs w:val="22"/>
        </w:rPr>
        <w:t>75 de la Ley 1450 de 2011</w:t>
      </w:r>
      <w:r w:rsidR="009329CC" w:rsidRPr="007A6A32">
        <w:rPr>
          <w:rFonts w:cs="Arial"/>
          <w:sz w:val="22"/>
          <w:szCs w:val="22"/>
        </w:rPr>
        <w:t>,</w:t>
      </w:r>
      <w:r w:rsidRPr="007A6A32">
        <w:rPr>
          <w:rFonts w:cs="Arial"/>
          <w:sz w:val="22"/>
          <w:szCs w:val="22"/>
        </w:rPr>
        <w:t xml:space="preserve"> </w:t>
      </w:r>
      <w:r w:rsidR="009329CC" w:rsidRPr="007A6A32">
        <w:rPr>
          <w:rFonts w:cs="Arial"/>
          <w:sz w:val="22"/>
          <w:szCs w:val="22"/>
        </w:rPr>
        <w:t xml:space="preserve">establece </w:t>
      </w:r>
      <w:r w:rsidR="007E3715">
        <w:rPr>
          <w:rFonts w:cs="Arial"/>
          <w:sz w:val="22"/>
          <w:szCs w:val="22"/>
        </w:rPr>
        <w:t xml:space="preserve">que </w:t>
      </w:r>
      <w:r w:rsidR="009329CC" w:rsidRPr="007A6A32">
        <w:rPr>
          <w:rFonts w:cs="Arial"/>
          <w:sz w:val="22"/>
          <w:szCs w:val="22"/>
        </w:rPr>
        <w:t>“</w:t>
      </w:r>
      <w:r w:rsidR="009329CC" w:rsidRPr="007A6A32">
        <w:rPr>
          <w:rFonts w:cs="Arial"/>
          <w:i/>
          <w:sz w:val="22"/>
          <w:szCs w:val="22"/>
        </w:rPr>
        <w:t>El seguro agropecuario ampara los perjuicios causados por riesgos naturales y biológicos ajenos al control del tomador, asegurado o beneficiario que afecten las actividades agropecuarias. El Ministerio de Agricultura y Desarrollo Rural reglamentará la aplicación de esta norma”.</w:t>
      </w:r>
      <w:r w:rsidR="009329CC" w:rsidRPr="007A6A32" w:rsidDel="009329CC">
        <w:rPr>
          <w:rFonts w:cs="Arial"/>
          <w:sz w:val="22"/>
          <w:szCs w:val="22"/>
        </w:rPr>
        <w:t xml:space="preserve"> </w:t>
      </w:r>
    </w:p>
    <w:p w14:paraId="212B0A42" w14:textId="77777777" w:rsidR="001A11C9" w:rsidRPr="007A6A32" w:rsidRDefault="001A11C9" w:rsidP="00FB4F8E">
      <w:pPr>
        <w:spacing w:before="0" w:after="0" w:line="0" w:lineRule="atLeast"/>
        <w:jc w:val="both"/>
        <w:rPr>
          <w:rFonts w:cs="Arial"/>
          <w:b/>
          <w:color w:val="000000" w:themeColor="text1"/>
          <w:sz w:val="22"/>
          <w:szCs w:val="22"/>
        </w:rPr>
      </w:pPr>
    </w:p>
    <w:p w14:paraId="0B355B8C" w14:textId="0594C1B9" w:rsidR="00AB5D1E" w:rsidRPr="00B90A40" w:rsidRDefault="001A11C9" w:rsidP="00FB4F8E">
      <w:pPr>
        <w:spacing w:before="0" w:after="0" w:line="0" w:lineRule="atLeast"/>
        <w:jc w:val="both"/>
        <w:rPr>
          <w:rFonts w:cs="Arial"/>
          <w:b/>
          <w:i/>
          <w:color w:val="000000" w:themeColor="text1"/>
          <w:sz w:val="22"/>
          <w:szCs w:val="22"/>
        </w:rPr>
      </w:pPr>
      <w:r w:rsidRPr="007A6A32">
        <w:rPr>
          <w:rFonts w:cs="Arial"/>
          <w:b/>
          <w:color w:val="000000" w:themeColor="text1"/>
          <w:sz w:val="22"/>
          <w:szCs w:val="22"/>
        </w:rPr>
        <w:t xml:space="preserve">Cuarto. </w:t>
      </w:r>
      <w:r w:rsidR="002270F6" w:rsidRPr="007A6A32">
        <w:rPr>
          <w:rFonts w:cs="Arial"/>
          <w:sz w:val="22"/>
          <w:szCs w:val="22"/>
        </w:rPr>
        <w:t xml:space="preserve">Que </w:t>
      </w:r>
      <w:r w:rsidR="001D4DFB" w:rsidRPr="007A6A32">
        <w:rPr>
          <w:rFonts w:cs="Arial"/>
          <w:sz w:val="22"/>
          <w:szCs w:val="22"/>
        </w:rPr>
        <w:t xml:space="preserve">el artículo 84 de </w:t>
      </w:r>
      <w:r w:rsidR="002270F6" w:rsidRPr="007A6A32">
        <w:rPr>
          <w:rFonts w:cs="Arial"/>
          <w:sz w:val="22"/>
          <w:szCs w:val="22"/>
        </w:rPr>
        <w:t>la Ley 101 de 1993 determin</w:t>
      </w:r>
      <w:r w:rsidR="00F578BF" w:rsidRPr="007A6A32">
        <w:rPr>
          <w:rFonts w:cs="Arial"/>
          <w:sz w:val="22"/>
          <w:szCs w:val="22"/>
        </w:rPr>
        <w:t>a</w:t>
      </w:r>
      <w:r w:rsidR="00A778B6" w:rsidRPr="007A6A32">
        <w:rPr>
          <w:rFonts w:cs="Arial"/>
          <w:sz w:val="22"/>
          <w:szCs w:val="22"/>
        </w:rPr>
        <w:t xml:space="preserve"> </w:t>
      </w:r>
      <w:r w:rsidR="001D4DFB" w:rsidRPr="007A6A32">
        <w:rPr>
          <w:rFonts w:cs="Arial"/>
          <w:sz w:val="22"/>
          <w:szCs w:val="22"/>
        </w:rPr>
        <w:t xml:space="preserve">que </w:t>
      </w:r>
      <w:r w:rsidR="001D4DFB" w:rsidRPr="007A6A32">
        <w:rPr>
          <w:rFonts w:cs="Arial"/>
          <w:i/>
          <w:sz w:val="22"/>
          <w:szCs w:val="22"/>
        </w:rPr>
        <w:t>“El Estado concurrirá al pago de las primas que los productores agropecuarios deban sufragar para tomar el seguro a que se refiere el artículo </w:t>
      </w:r>
      <w:hyperlink r:id="rId8" w:anchor="1" w:history="1">
        <w:r w:rsidR="001D4DFB" w:rsidRPr="00C7134B">
          <w:rPr>
            <w:rStyle w:val="Hipervnculo"/>
            <w:rFonts w:cs="Arial"/>
            <w:i/>
            <w:color w:val="auto"/>
            <w:sz w:val="22"/>
            <w:szCs w:val="22"/>
            <w:u w:val="none"/>
          </w:rPr>
          <w:t>1o.</w:t>
        </w:r>
      </w:hyperlink>
      <w:r w:rsidR="00C7134B">
        <w:rPr>
          <w:rStyle w:val="Hipervnculo"/>
          <w:rFonts w:cs="Arial"/>
          <w:i/>
          <w:color w:val="auto"/>
          <w:sz w:val="22"/>
          <w:szCs w:val="22"/>
          <w:u w:val="none"/>
        </w:rPr>
        <w:t xml:space="preserve"> </w:t>
      </w:r>
      <w:r w:rsidR="001D4DFB" w:rsidRPr="007A6A32">
        <w:rPr>
          <w:rFonts w:cs="Arial"/>
          <w:i/>
          <w:sz w:val="22"/>
          <w:szCs w:val="22"/>
        </w:rPr>
        <w:t xml:space="preserve">de la Ley 69 de 1993. Para el efecto, la Comisión Nacional de Crédito Agropecuario, podrá fijar valores </w:t>
      </w:r>
      <w:r w:rsidR="001D4DFB" w:rsidRPr="00B90A40">
        <w:rPr>
          <w:rFonts w:cs="Arial"/>
          <w:i/>
          <w:sz w:val="22"/>
          <w:szCs w:val="22"/>
        </w:rPr>
        <w:t>porcentuales diferenciales sobre el monto de dichas primas que deberán ser asumidos a título de incentivo por el Estado, con cargo a los recursos del Presupuesto General de la Nación, en un rubro especial asignado para tal efecto al Ministerio de Agricultura en el Presupuesto Nacional</w:t>
      </w:r>
      <w:r w:rsidR="008248CD" w:rsidRPr="00B90A40">
        <w:rPr>
          <w:rFonts w:cs="Arial"/>
          <w:i/>
          <w:sz w:val="22"/>
          <w:szCs w:val="22"/>
        </w:rPr>
        <w:t>.</w:t>
      </w:r>
      <w:r w:rsidR="00F578BF" w:rsidRPr="00B90A40">
        <w:rPr>
          <w:rFonts w:cs="Arial"/>
          <w:i/>
          <w:sz w:val="22"/>
          <w:szCs w:val="22"/>
        </w:rPr>
        <w:t xml:space="preserve"> (…)</w:t>
      </w:r>
      <w:r w:rsidR="001D4DFB" w:rsidRPr="00B90A40">
        <w:rPr>
          <w:rFonts w:cs="Arial"/>
          <w:i/>
          <w:sz w:val="22"/>
          <w:szCs w:val="22"/>
        </w:rPr>
        <w:t>”</w:t>
      </w:r>
      <w:r w:rsidR="00A778B6" w:rsidRPr="00B90A40">
        <w:rPr>
          <w:rFonts w:cs="Arial"/>
          <w:i/>
          <w:sz w:val="22"/>
          <w:szCs w:val="22"/>
        </w:rPr>
        <w:t>.</w:t>
      </w:r>
    </w:p>
    <w:p w14:paraId="1905CDF9" w14:textId="77777777" w:rsidR="00AB5D1E" w:rsidRPr="00B90A40" w:rsidRDefault="00AB5D1E" w:rsidP="00FB4F8E">
      <w:pPr>
        <w:spacing w:before="0" w:after="0" w:line="0" w:lineRule="atLeast"/>
        <w:jc w:val="both"/>
        <w:rPr>
          <w:rFonts w:cs="Arial"/>
          <w:color w:val="000000" w:themeColor="text1"/>
          <w:sz w:val="22"/>
          <w:szCs w:val="22"/>
        </w:rPr>
      </w:pPr>
    </w:p>
    <w:p w14:paraId="0EBB8135" w14:textId="77FF764D" w:rsidR="00AB5D1E" w:rsidRPr="007A6A32" w:rsidRDefault="004E7BD6" w:rsidP="00FB4F8E">
      <w:pPr>
        <w:spacing w:before="0" w:after="0" w:line="0" w:lineRule="atLeast"/>
        <w:jc w:val="both"/>
        <w:rPr>
          <w:rFonts w:cs="Arial"/>
          <w:i/>
          <w:color w:val="000000" w:themeColor="text1"/>
          <w:sz w:val="22"/>
          <w:szCs w:val="22"/>
          <w:lang w:eastAsia="es-CO"/>
        </w:rPr>
      </w:pPr>
      <w:r w:rsidRPr="00B90A40">
        <w:rPr>
          <w:rFonts w:cs="Arial"/>
          <w:b/>
          <w:color w:val="000000" w:themeColor="text1"/>
          <w:sz w:val="22"/>
          <w:szCs w:val="22"/>
          <w:lang w:eastAsia="es-CO"/>
        </w:rPr>
        <w:t>Quinto.</w:t>
      </w:r>
      <w:r w:rsidRPr="00B90A40">
        <w:rPr>
          <w:rFonts w:cs="Arial"/>
          <w:color w:val="000000" w:themeColor="text1"/>
          <w:sz w:val="22"/>
          <w:szCs w:val="22"/>
          <w:lang w:eastAsia="es-CO"/>
        </w:rPr>
        <w:t xml:space="preserve"> </w:t>
      </w:r>
      <w:r w:rsidR="00A96CF4" w:rsidRPr="00B90A40">
        <w:rPr>
          <w:rFonts w:cs="Arial"/>
          <w:color w:val="000000" w:themeColor="text1"/>
          <w:sz w:val="22"/>
          <w:szCs w:val="22"/>
          <w:lang w:eastAsia="es-CO"/>
        </w:rPr>
        <w:t>Que el artículo 5</w:t>
      </w:r>
      <w:r w:rsidR="00A778B6" w:rsidRPr="00B90A40">
        <w:rPr>
          <w:rFonts w:cs="Arial"/>
          <w:color w:val="000000" w:themeColor="text1"/>
          <w:sz w:val="22"/>
          <w:szCs w:val="22"/>
          <w:lang w:eastAsia="es-CO"/>
        </w:rPr>
        <w:t xml:space="preserve"> de la Ley 1731 de 2014</w:t>
      </w:r>
      <w:r w:rsidR="003974CF" w:rsidRPr="00B90A40">
        <w:rPr>
          <w:rFonts w:cs="Arial"/>
          <w:color w:val="000000" w:themeColor="text1"/>
          <w:sz w:val="22"/>
          <w:szCs w:val="22"/>
          <w:lang w:eastAsia="es-CO"/>
        </w:rPr>
        <w:t>, señala</w:t>
      </w:r>
      <w:r w:rsidR="008248CD" w:rsidRPr="00B90A40">
        <w:rPr>
          <w:rFonts w:cs="Arial"/>
          <w:color w:val="000000" w:themeColor="text1"/>
          <w:sz w:val="22"/>
          <w:szCs w:val="22"/>
          <w:lang w:eastAsia="es-CO"/>
        </w:rPr>
        <w:t xml:space="preserve"> que</w:t>
      </w:r>
      <w:r w:rsidR="00395037" w:rsidRPr="00B90A40">
        <w:rPr>
          <w:rFonts w:cs="Arial"/>
          <w:color w:val="000000" w:themeColor="text1"/>
          <w:sz w:val="22"/>
          <w:szCs w:val="22"/>
          <w:lang w:eastAsia="es-CO"/>
        </w:rPr>
        <w:t xml:space="preserve"> </w:t>
      </w:r>
      <w:r w:rsidR="00A778B6" w:rsidRPr="00B90A40">
        <w:rPr>
          <w:rFonts w:cs="Arial"/>
          <w:i/>
          <w:color w:val="000000" w:themeColor="text1"/>
          <w:sz w:val="22"/>
          <w:szCs w:val="22"/>
          <w:lang w:eastAsia="es-CO"/>
        </w:rPr>
        <w:t>“ Con el propósito de fomentar la oferta del seguro agropecuario, y con cargo a los recursos disponibles por el Fondo Nacional de Riesgos Agropecuarios de que trata la Ley 69 de 1993, que será administrado por FINAGRO, se podrán cofinanciar los costos para el fortalecimiento técnico del seguro agropecuario y la obtención de información que no sea pública. Para efectos de la información que reposa en entidades públicas, esta no tendrá costo</w:t>
      </w:r>
      <w:r w:rsidR="00A778B6" w:rsidRPr="007A6A32">
        <w:rPr>
          <w:rFonts w:cs="Arial"/>
          <w:i/>
          <w:color w:val="000000" w:themeColor="text1"/>
          <w:sz w:val="22"/>
          <w:szCs w:val="22"/>
          <w:lang w:eastAsia="es-CO"/>
        </w:rPr>
        <w:t xml:space="preserve"> alguno para FINAGRO y las otras entidades que defina el Gobierno Nacional, el cual además definirá las condiciones de acceso a ella. Igualmente, con el propósito de fomentar la gestión de riesgos en el sector agropecuario, se podrán otorgar subsidios, apoyos o incentivos para la implementación de instrumentos de gestión de riesgos en el sector agropecuario, forestal, pesquero y de la acuicultura, tales como derivados financieros climáticos, coberturas de precios o de riesgo cambiario. La Comisión Nacional de Crédito Agropecuario reglamentará estas cofinanciaciones, subsidios, apoyos o incentivos. En todo caso, se tendrán en cuenta los recursos aprobados en el Marco de Gasto de Mediano Plazo del sector agropecuario.</w:t>
      </w:r>
    </w:p>
    <w:p w14:paraId="4A588720" w14:textId="77777777" w:rsidR="00AB5D1E" w:rsidRPr="007A6A32" w:rsidRDefault="00AB5D1E" w:rsidP="00FB4F8E">
      <w:pPr>
        <w:spacing w:before="0" w:after="0" w:line="0" w:lineRule="atLeast"/>
        <w:jc w:val="right"/>
        <w:rPr>
          <w:rFonts w:cs="Arial"/>
          <w:i/>
          <w:color w:val="000000" w:themeColor="text1"/>
          <w:sz w:val="22"/>
          <w:szCs w:val="22"/>
          <w:lang w:eastAsia="es-CO"/>
        </w:rPr>
      </w:pPr>
    </w:p>
    <w:p w14:paraId="4144AB4B" w14:textId="77777777" w:rsidR="00AB5D1E" w:rsidRPr="007A6A32" w:rsidRDefault="00A778B6" w:rsidP="00FB4F8E">
      <w:pPr>
        <w:spacing w:before="0" w:after="0" w:line="0" w:lineRule="atLeast"/>
        <w:jc w:val="both"/>
        <w:rPr>
          <w:rFonts w:cs="Arial"/>
          <w:i/>
          <w:color w:val="000000" w:themeColor="text1"/>
          <w:sz w:val="22"/>
          <w:szCs w:val="22"/>
          <w:lang w:eastAsia="es-CO"/>
        </w:rPr>
      </w:pPr>
      <w:r w:rsidRPr="007A6A32">
        <w:rPr>
          <w:rFonts w:cs="Arial"/>
          <w:i/>
          <w:color w:val="000000" w:themeColor="text1"/>
          <w:sz w:val="22"/>
          <w:szCs w:val="22"/>
          <w:lang w:eastAsia="es-CO"/>
        </w:rPr>
        <w:t>Las condiciones de asegurabilidad de los proyectos agropecuarios, forestales, pesqueros y de la acuicultura, objeto del seguro agropecuario serán definidas por la Comisión Nacional de Crédito Agropecuario”.</w:t>
      </w:r>
    </w:p>
    <w:p w14:paraId="026C3FD4" w14:textId="77777777" w:rsidR="00AB5D1E" w:rsidRPr="007A6A32" w:rsidRDefault="00AB5D1E" w:rsidP="00FB4F8E">
      <w:pPr>
        <w:spacing w:before="0" w:after="0" w:line="0" w:lineRule="atLeast"/>
        <w:jc w:val="both"/>
        <w:rPr>
          <w:rFonts w:cs="Arial"/>
          <w:color w:val="000000" w:themeColor="text1"/>
          <w:sz w:val="22"/>
          <w:szCs w:val="22"/>
          <w:lang w:eastAsia="es-CO"/>
        </w:rPr>
      </w:pPr>
    </w:p>
    <w:p w14:paraId="0DD96ADB" w14:textId="77777777" w:rsidR="009847BE" w:rsidRPr="009847BE" w:rsidRDefault="004E7BD6" w:rsidP="00FB4F8E">
      <w:pPr>
        <w:spacing w:before="0" w:after="0" w:line="0" w:lineRule="atLeast"/>
        <w:jc w:val="both"/>
        <w:rPr>
          <w:rFonts w:cs="Arial"/>
          <w:b/>
          <w:i/>
          <w:color w:val="000000" w:themeColor="text1"/>
          <w:sz w:val="22"/>
          <w:szCs w:val="22"/>
          <w:lang w:eastAsia="es-CO"/>
        </w:rPr>
      </w:pPr>
      <w:r w:rsidRPr="007A6A32">
        <w:rPr>
          <w:rFonts w:cs="Arial"/>
          <w:b/>
          <w:color w:val="000000" w:themeColor="text1"/>
          <w:sz w:val="22"/>
          <w:szCs w:val="22"/>
          <w:lang w:eastAsia="es-CO"/>
        </w:rPr>
        <w:t>Sexto</w:t>
      </w:r>
      <w:r w:rsidR="00C14E1F" w:rsidRPr="007A6A32">
        <w:rPr>
          <w:rFonts w:cs="Arial"/>
          <w:b/>
          <w:color w:val="000000" w:themeColor="text1"/>
          <w:sz w:val="22"/>
          <w:szCs w:val="22"/>
          <w:lang w:eastAsia="es-CO"/>
        </w:rPr>
        <w:t>.</w:t>
      </w:r>
      <w:r w:rsidR="009847BE">
        <w:rPr>
          <w:rFonts w:cs="Arial"/>
          <w:b/>
          <w:color w:val="000000" w:themeColor="text1"/>
          <w:sz w:val="22"/>
          <w:szCs w:val="22"/>
          <w:lang w:eastAsia="es-CO"/>
        </w:rPr>
        <w:t xml:space="preserve"> </w:t>
      </w:r>
      <w:r w:rsidR="009847BE" w:rsidRPr="009847BE">
        <w:rPr>
          <w:rFonts w:cs="Arial"/>
          <w:color w:val="000000" w:themeColor="text1"/>
          <w:sz w:val="22"/>
          <w:szCs w:val="22"/>
          <w:lang w:eastAsia="es-CO"/>
        </w:rPr>
        <w:t>Que el</w:t>
      </w:r>
      <w:r w:rsidR="009847BE">
        <w:rPr>
          <w:rFonts w:cs="Arial"/>
          <w:b/>
          <w:color w:val="000000" w:themeColor="text1"/>
          <w:sz w:val="22"/>
          <w:szCs w:val="22"/>
          <w:lang w:eastAsia="es-CO"/>
        </w:rPr>
        <w:t xml:space="preserve"> </w:t>
      </w:r>
      <w:r w:rsidR="009847BE">
        <w:rPr>
          <w:rFonts w:cs="Arial"/>
          <w:color w:val="000000" w:themeColor="text1"/>
          <w:sz w:val="22"/>
          <w:szCs w:val="22"/>
          <w:lang w:eastAsia="es-CO"/>
        </w:rPr>
        <w:t>parágrafo 2o. del artículo 176 de la Ley 1955 de 2019,</w:t>
      </w:r>
      <w:r w:rsidR="00DD72CA">
        <w:rPr>
          <w:rFonts w:cs="Arial"/>
          <w:color w:val="000000" w:themeColor="text1"/>
          <w:sz w:val="22"/>
          <w:szCs w:val="22"/>
          <w:lang w:eastAsia="es-CO"/>
        </w:rPr>
        <w:t xml:space="preserve"> por la cual se expide el Plan Nacional de Desarrollo 2018 – 2022,</w:t>
      </w:r>
      <w:r w:rsidR="009847BE">
        <w:rPr>
          <w:rFonts w:cs="Arial"/>
          <w:color w:val="000000" w:themeColor="text1"/>
          <w:sz w:val="22"/>
          <w:szCs w:val="22"/>
          <w:lang w:eastAsia="es-CO"/>
        </w:rPr>
        <w:t xml:space="preserve"> establece que: “</w:t>
      </w:r>
      <w:r w:rsidR="009847BE" w:rsidRPr="009847BE">
        <w:rPr>
          <w:i/>
          <w:sz w:val="22"/>
          <w:szCs w:val="22"/>
        </w:rPr>
        <w:t xml:space="preserve">La Comisión Nacional de Crédito Agropecuario definirá las condiciones para acceder al Incentivo al Seguro Agropecuario bajo la modalidad de seguro paramétrico o por índice, con el fin de garantizar </w:t>
      </w:r>
      <w:r w:rsidR="009847BE" w:rsidRPr="009847BE">
        <w:rPr>
          <w:i/>
          <w:sz w:val="22"/>
          <w:szCs w:val="22"/>
        </w:rPr>
        <w:lastRenderedPageBreak/>
        <w:t>que el diseño del incentivo apoye la política de Gestión de Riesgos Agropecuarios trazada por el Ministerio de Agricultura y Desarrollo Rural.</w:t>
      </w:r>
      <w:r w:rsidR="009847BE">
        <w:rPr>
          <w:i/>
          <w:sz w:val="22"/>
          <w:szCs w:val="22"/>
        </w:rPr>
        <w:t>”</w:t>
      </w:r>
      <w:r w:rsidR="009847BE" w:rsidRPr="009847BE">
        <w:rPr>
          <w:rFonts w:cs="Arial"/>
          <w:b/>
          <w:i/>
          <w:color w:val="000000" w:themeColor="text1"/>
          <w:sz w:val="22"/>
          <w:szCs w:val="22"/>
          <w:lang w:eastAsia="es-CO"/>
        </w:rPr>
        <w:t xml:space="preserve"> </w:t>
      </w:r>
      <w:r w:rsidR="00ED1137" w:rsidRPr="009847BE">
        <w:rPr>
          <w:rFonts w:cs="Arial"/>
          <w:b/>
          <w:i/>
          <w:color w:val="000000" w:themeColor="text1"/>
          <w:sz w:val="22"/>
          <w:szCs w:val="22"/>
          <w:lang w:eastAsia="es-CO"/>
        </w:rPr>
        <w:t xml:space="preserve"> </w:t>
      </w:r>
    </w:p>
    <w:p w14:paraId="68E507EF" w14:textId="77777777" w:rsidR="009847BE" w:rsidRDefault="009847BE" w:rsidP="00FB4F8E">
      <w:pPr>
        <w:spacing w:before="0" w:after="0" w:line="0" w:lineRule="atLeast"/>
        <w:jc w:val="both"/>
        <w:rPr>
          <w:rFonts w:cs="Arial"/>
          <w:b/>
          <w:color w:val="000000" w:themeColor="text1"/>
          <w:sz w:val="22"/>
          <w:szCs w:val="22"/>
          <w:lang w:eastAsia="es-CO"/>
        </w:rPr>
      </w:pPr>
    </w:p>
    <w:p w14:paraId="356E4B65" w14:textId="77777777" w:rsidR="00AB5D1E" w:rsidRPr="007A6A32" w:rsidRDefault="00644B56" w:rsidP="00FB4F8E">
      <w:pPr>
        <w:spacing w:before="0" w:after="0" w:line="0" w:lineRule="atLeast"/>
        <w:jc w:val="both"/>
        <w:rPr>
          <w:rFonts w:cs="Arial"/>
          <w:color w:val="000000" w:themeColor="text1"/>
          <w:sz w:val="22"/>
          <w:szCs w:val="22"/>
          <w:lang w:eastAsia="es-CO"/>
        </w:rPr>
      </w:pPr>
      <w:r>
        <w:rPr>
          <w:rFonts w:cs="Arial"/>
          <w:b/>
          <w:color w:val="000000" w:themeColor="text1"/>
          <w:sz w:val="22"/>
          <w:szCs w:val="22"/>
          <w:lang w:eastAsia="es-CO"/>
        </w:rPr>
        <w:t xml:space="preserve">Séptimo. </w:t>
      </w:r>
      <w:r w:rsidR="00A778B6" w:rsidRPr="007A6A32">
        <w:rPr>
          <w:rFonts w:cs="Arial"/>
          <w:color w:val="000000" w:themeColor="text1"/>
          <w:sz w:val="22"/>
          <w:szCs w:val="22"/>
          <w:lang w:eastAsia="es-CO"/>
        </w:rPr>
        <w:t>Que el</w:t>
      </w:r>
      <w:r w:rsidR="00D545E3" w:rsidRPr="007A6A32">
        <w:rPr>
          <w:rFonts w:cs="Arial"/>
          <w:color w:val="000000" w:themeColor="text1"/>
          <w:sz w:val="22"/>
          <w:szCs w:val="22"/>
          <w:lang w:eastAsia="es-CO"/>
        </w:rPr>
        <w:t xml:space="preserve"> título 1o. de la parte 17 del libro 2o.</w:t>
      </w:r>
      <w:r w:rsidR="00A778B6" w:rsidRPr="007A6A32">
        <w:rPr>
          <w:rFonts w:cs="Arial"/>
          <w:color w:val="000000" w:themeColor="text1"/>
          <w:sz w:val="22"/>
          <w:szCs w:val="22"/>
          <w:lang w:eastAsia="es-CO"/>
        </w:rPr>
        <w:t>, del Decreto 1071</w:t>
      </w:r>
      <w:r w:rsidR="00D873D7" w:rsidRPr="007A6A32">
        <w:rPr>
          <w:rFonts w:cs="Arial"/>
          <w:color w:val="000000" w:themeColor="text1"/>
          <w:sz w:val="22"/>
          <w:szCs w:val="22"/>
          <w:lang w:eastAsia="es-CO"/>
        </w:rPr>
        <w:t xml:space="preserve"> </w:t>
      </w:r>
      <w:r w:rsidR="00A778B6" w:rsidRPr="007A6A32">
        <w:rPr>
          <w:rFonts w:cs="Arial"/>
          <w:color w:val="000000" w:themeColor="text1"/>
          <w:sz w:val="22"/>
          <w:szCs w:val="22"/>
          <w:lang w:eastAsia="es-CO"/>
        </w:rPr>
        <w:t xml:space="preserve">de 2015, Decreto Único Reglamentario del Sector Administrativo Agropecuario, Pesquero y de Desarrollo Rural, </w:t>
      </w:r>
      <w:r w:rsidR="00D545E3" w:rsidRPr="007A6A32">
        <w:rPr>
          <w:rFonts w:cs="Arial"/>
          <w:color w:val="000000" w:themeColor="text1"/>
          <w:sz w:val="22"/>
          <w:szCs w:val="22"/>
          <w:lang w:eastAsia="es-CO"/>
        </w:rPr>
        <w:t xml:space="preserve">adicionado por el Decreto 1449 de 2015, </w:t>
      </w:r>
      <w:r w:rsidR="003974CF" w:rsidRPr="007A6A32">
        <w:rPr>
          <w:rFonts w:cs="Arial"/>
          <w:color w:val="000000" w:themeColor="text1"/>
          <w:sz w:val="22"/>
          <w:szCs w:val="22"/>
          <w:lang w:eastAsia="es-CO"/>
        </w:rPr>
        <w:t>desarrolla</w:t>
      </w:r>
      <w:r w:rsidR="00A778B6" w:rsidRPr="007A6A32">
        <w:rPr>
          <w:rFonts w:cs="Arial"/>
          <w:color w:val="000000" w:themeColor="text1"/>
          <w:sz w:val="22"/>
          <w:szCs w:val="22"/>
          <w:lang w:eastAsia="es-CO"/>
        </w:rPr>
        <w:t xml:space="preserve"> lo relacionado con la información pública para la gestión de riesgos en el sector agropecuario. </w:t>
      </w:r>
    </w:p>
    <w:p w14:paraId="634F26EC" w14:textId="77777777" w:rsidR="00AB5D1E" w:rsidRPr="007A6A32" w:rsidRDefault="00AB5D1E" w:rsidP="00FB4F8E">
      <w:pPr>
        <w:spacing w:before="0" w:after="0" w:line="0" w:lineRule="atLeast"/>
        <w:jc w:val="both"/>
        <w:rPr>
          <w:rFonts w:cs="Arial"/>
          <w:color w:val="000000" w:themeColor="text1"/>
          <w:sz w:val="22"/>
          <w:szCs w:val="22"/>
          <w:lang w:eastAsia="es-CO"/>
        </w:rPr>
      </w:pPr>
    </w:p>
    <w:p w14:paraId="6E9525A4" w14:textId="4DE5816D" w:rsidR="00A542F3" w:rsidRPr="00197B9A" w:rsidRDefault="00644B56" w:rsidP="00197B9A">
      <w:pPr>
        <w:spacing w:before="0" w:after="0" w:line="0" w:lineRule="atLeast"/>
        <w:jc w:val="both"/>
        <w:rPr>
          <w:rFonts w:cs="Arial"/>
          <w:i/>
          <w:iCs/>
          <w:sz w:val="22"/>
          <w:szCs w:val="22"/>
        </w:rPr>
      </w:pPr>
      <w:r>
        <w:rPr>
          <w:b/>
          <w:color w:val="000000" w:themeColor="text1"/>
          <w:sz w:val="22"/>
          <w:szCs w:val="22"/>
          <w:lang w:eastAsia="es-CO"/>
        </w:rPr>
        <w:t>Octavo</w:t>
      </w:r>
      <w:r w:rsidR="00847DC6" w:rsidRPr="007A6A32">
        <w:rPr>
          <w:b/>
          <w:color w:val="000000" w:themeColor="text1"/>
          <w:sz w:val="22"/>
          <w:szCs w:val="22"/>
          <w:lang w:eastAsia="es-CO"/>
        </w:rPr>
        <w:t>.</w:t>
      </w:r>
      <w:r w:rsidR="00ED1137" w:rsidRPr="007A6A32">
        <w:rPr>
          <w:b/>
          <w:color w:val="000000" w:themeColor="text1"/>
          <w:sz w:val="22"/>
          <w:szCs w:val="22"/>
          <w:lang w:eastAsia="es-CO"/>
        </w:rPr>
        <w:t xml:space="preserve"> </w:t>
      </w:r>
      <w:r w:rsidR="00A778B6" w:rsidRPr="007A6A32">
        <w:rPr>
          <w:color w:val="000000" w:themeColor="text1"/>
          <w:sz w:val="22"/>
          <w:szCs w:val="22"/>
          <w:lang w:eastAsia="es-CO"/>
        </w:rPr>
        <w:t>Que e</w:t>
      </w:r>
      <w:r w:rsidR="003974CF" w:rsidRPr="007A6A32">
        <w:rPr>
          <w:color w:val="000000" w:themeColor="text1"/>
          <w:sz w:val="22"/>
          <w:szCs w:val="22"/>
          <w:lang w:eastAsia="es-CO"/>
        </w:rPr>
        <w:t xml:space="preserve">l Decreto 2555 de 2010 </w:t>
      </w:r>
      <w:r w:rsidR="00A542F3">
        <w:rPr>
          <w:color w:val="000000" w:themeColor="text1"/>
          <w:sz w:val="22"/>
          <w:szCs w:val="22"/>
          <w:lang w:eastAsia="es-CO"/>
        </w:rPr>
        <w:t xml:space="preserve">en su Título 6 </w:t>
      </w:r>
      <w:r w:rsidR="003974CF" w:rsidRPr="007A6A32">
        <w:rPr>
          <w:color w:val="000000" w:themeColor="text1"/>
          <w:sz w:val="22"/>
          <w:szCs w:val="22"/>
          <w:lang w:eastAsia="es-CO"/>
        </w:rPr>
        <w:t>establece</w:t>
      </w:r>
      <w:r w:rsidR="00A778B6" w:rsidRPr="007A6A32">
        <w:rPr>
          <w:color w:val="000000" w:themeColor="text1"/>
          <w:sz w:val="22"/>
          <w:szCs w:val="22"/>
          <w:lang w:eastAsia="es-CO"/>
        </w:rPr>
        <w:t xml:space="preserve"> </w:t>
      </w:r>
      <w:r w:rsidR="006B5133" w:rsidRPr="007A6A32">
        <w:rPr>
          <w:color w:val="000000" w:themeColor="text1"/>
          <w:sz w:val="22"/>
          <w:szCs w:val="22"/>
          <w:lang w:eastAsia="es-CO"/>
        </w:rPr>
        <w:t xml:space="preserve">disposiciones </w:t>
      </w:r>
      <w:r w:rsidR="00A778B6" w:rsidRPr="007A6A32">
        <w:rPr>
          <w:color w:val="000000" w:themeColor="text1"/>
          <w:sz w:val="22"/>
          <w:szCs w:val="22"/>
          <w:lang w:eastAsia="es-CO"/>
        </w:rPr>
        <w:t>generales del seguro agropecuari</w:t>
      </w:r>
      <w:r w:rsidR="00A778B6" w:rsidRPr="004F1C84">
        <w:rPr>
          <w:color w:val="000000" w:themeColor="text1"/>
          <w:sz w:val="22"/>
          <w:szCs w:val="22"/>
          <w:lang w:eastAsia="es-CO"/>
        </w:rPr>
        <w:t>o</w:t>
      </w:r>
      <w:r w:rsidR="00A542F3" w:rsidRPr="00197B9A">
        <w:rPr>
          <w:rFonts w:cs="Arial"/>
          <w:color w:val="000000"/>
          <w:sz w:val="22"/>
          <w:szCs w:val="22"/>
          <w:lang w:eastAsia="es-CO"/>
        </w:rPr>
        <w:t xml:space="preserve"> y en su artículo 2.31.6.1.2, señala que:</w:t>
      </w:r>
      <w:r w:rsidR="00A542F3" w:rsidRPr="00197B9A">
        <w:rPr>
          <w:rFonts w:cs="Arial"/>
          <w:i/>
          <w:iCs/>
          <w:sz w:val="22"/>
          <w:szCs w:val="22"/>
        </w:rPr>
        <w:t xml:space="preserve">  </w:t>
      </w:r>
    </w:p>
    <w:p w14:paraId="6AD1F2B8" w14:textId="77777777" w:rsidR="00A542F3" w:rsidRPr="00197B9A" w:rsidRDefault="00A542F3" w:rsidP="00197B9A">
      <w:pPr>
        <w:spacing w:before="0" w:after="0" w:line="0" w:lineRule="atLeast"/>
        <w:jc w:val="both"/>
        <w:rPr>
          <w:rFonts w:cs="Arial"/>
          <w:i/>
          <w:iCs/>
          <w:sz w:val="22"/>
          <w:szCs w:val="22"/>
        </w:rPr>
      </w:pPr>
    </w:p>
    <w:p w14:paraId="13597DA6" w14:textId="77777777" w:rsidR="00A542F3" w:rsidRPr="00197B9A" w:rsidRDefault="00A542F3" w:rsidP="00197B9A">
      <w:pPr>
        <w:spacing w:before="0" w:after="0" w:line="276" w:lineRule="auto"/>
        <w:jc w:val="both"/>
        <w:rPr>
          <w:rFonts w:cs="Arial"/>
          <w:i/>
          <w:iCs/>
          <w:sz w:val="22"/>
          <w:szCs w:val="22"/>
        </w:rPr>
      </w:pPr>
      <w:r w:rsidRPr="00197B9A">
        <w:rPr>
          <w:rFonts w:cs="Arial"/>
          <w:i/>
          <w:iCs/>
          <w:sz w:val="22"/>
          <w:szCs w:val="22"/>
        </w:rPr>
        <w:t>“Para efectos del seguro agropecuario, corresponde a la Comisión Nacional de Crédito Agropecuario en desarrollo de sus facultades legales y con base en las recomendaciones de la Secretaría Técnica, aprobar el Plan Anual de Seguros Agropecuarios en el cual se determinará el ámbito territorial de su aplicación, los riesgos a cubrir en las producciones agropecuarias, los costos de producción estimados, el subsidio sobre el valor de las primas, la estimación del aporte global del Gobierno y su distribución para el subsidio a las primas de los asegurados, las fechas de suscripción del seguro, la inclusión de los estudios técnicos que posibiliten la incorporación paulatina de nuevos cultivos y los programas de fomento y divulgación del seguro agropecuario.</w:t>
      </w:r>
    </w:p>
    <w:p w14:paraId="6B360612" w14:textId="77777777" w:rsidR="00A542F3" w:rsidRPr="00197B9A" w:rsidRDefault="00A542F3" w:rsidP="00197B9A">
      <w:pPr>
        <w:spacing w:before="0" w:after="0" w:line="276" w:lineRule="auto"/>
        <w:ind w:left="708"/>
        <w:jc w:val="both"/>
        <w:rPr>
          <w:rFonts w:cs="Arial"/>
          <w:i/>
          <w:iCs/>
          <w:sz w:val="22"/>
          <w:szCs w:val="22"/>
        </w:rPr>
      </w:pPr>
    </w:p>
    <w:p w14:paraId="1293C64B" w14:textId="77777777" w:rsidR="00A542F3" w:rsidRPr="00197B9A" w:rsidRDefault="00A542F3" w:rsidP="00197B9A">
      <w:pPr>
        <w:spacing w:before="0" w:after="0" w:line="276" w:lineRule="auto"/>
        <w:jc w:val="both"/>
        <w:rPr>
          <w:rFonts w:cs="Arial"/>
          <w:sz w:val="22"/>
          <w:szCs w:val="22"/>
        </w:rPr>
      </w:pPr>
      <w:r w:rsidRPr="00197B9A">
        <w:rPr>
          <w:rFonts w:cs="Arial"/>
          <w:i/>
          <w:iCs/>
          <w:sz w:val="22"/>
          <w:szCs w:val="22"/>
        </w:rPr>
        <w:t>En relación con la dirección del Fondo Nacional de Riesgos Agropecuarios, la Comisión Nacional de Crédito Agropecuario señalará las políticas generales de manejo e inversión de los recursos del Fondo, aprobará el presupuesto general de operación del Fondo, solicitará informes periódicos al administrador acerca de la ejecución de las políticas generales adoptadas y velará por que el Fondo disponga de la capacidad financiera necesaria para su funcionamiento</w:t>
      </w:r>
      <w:r w:rsidRPr="00197B9A">
        <w:rPr>
          <w:rFonts w:cs="Arial"/>
          <w:sz w:val="22"/>
          <w:szCs w:val="22"/>
        </w:rPr>
        <w:t>”.</w:t>
      </w:r>
    </w:p>
    <w:p w14:paraId="2F914B84" w14:textId="77777777" w:rsidR="00CE3B60" w:rsidRPr="007A6A32" w:rsidRDefault="00CE3B60" w:rsidP="00E804B6">
      <w:pPr>
        <w:pStyle w:val="Default"/>
        <w:jc w:val="both"/>
        <w:rPr>
          <w:sz w:val="22"/>
          <w:szCs w:val="22"/>
          <w:lang w:eastAsia="es-CO"/>
        </w:rPr>
      </w:pPr>
    </w:p>
    <w:p w14:paraId="740AE30A" w14:textId="77777777" w:rsidR="007E55D6" w:rsidRPr="007A6A32" w:rsidRDefault="00EA5EDD">
      <w:pPr>
        <w:pStyle w:val="Default"/>
        <w:jc w:val="both"/>
        <w:rPr>
          <w:color w:val="000000" w:themeColor="text1"/>
          <w:sz w:val="22"/>
          <w:szCs w:val="22"/>
          <w:lang w:eastAsia="es-CO"/>
        </w:rPr>
      </w:pPr>
      <w:r>
        <w:rPr>
          <w:b/>
          <w:sz w:val="22"/>
          <w:szCs w:val="22"/>
          <w:lang w:eastAsia="es-CO"/>
        </w:rPr>
        <w:t>Noven</w:t>
      </w:r>
      <w:r w:rsidR="00ED1137" w:rsidRPr="007A6A32">
        <w:rPr>
          <w:b/>
          <w:sz w:val="22"/>
          <w:szCs w:val="22"/>
          <w:lang w:eastAsia="es-CO"/>
        </w:rPr>
        <w:t>o</w:t>
      </w:r>
      <w:r w:rsidR="00C14E1F" w:rsidRPr="007A6A32">
        <w:rPr>
          <w:b/>
          <w:sz w:val="22"/>
          <w:szCs w:val="22"/>
          <w:lang w:eastAsia="es-CO"/>
        </w:rPr>
        <w:t>.</w:t>
      </w:r>
      <w:r w:rsidR="004E7BD6" w:rsidRPr="007A6A32">
        <w:rPr>
          <w:b/>
          <w:sz w:val="22"/>
          <w:szCs w:val="22"/>
          <w:lang w:eastAsia="es-CO"/>
        </w:rPr>
        <w:t xml:space="preserve"> </w:t>
      </w:r>
      <w:r w:rsidR="009C5A37" w:rsidRPr="007A6A32">
        <w:rPr>
          <w:sz w:val="22"/>
          <w:szCs w:val="22"/>
          <w:lang w:eastAsia="es-CO"/>
        </w:rPr>
        <w:t xml:space="preserve"> </w:t>
      </w:r>
      <w:r w:rsidR="007E55D6" w:rsidRPr="007A6A32">
        <w:rPr>
          <w:color w:val="000000" w:themeColor="text1"/>
          <w:sz w:val="22"/>
          <w:szCs w:val="22"/>
          <w:lang w:eastAsia="es-CO"/>
        </w:rPr>
        <w:t xml:space="preserve">Que el </w:t>
      </w:r>
      <w:r w:rsidR="00983875" w:rsidRPr="007A6A32">
        <w:rPr>
          <w:color w:val="000000" w:themeColor="text1"/>
          <w:sz w:val="22"/>
          <w:szCs w:val="22"/>
          <w:lang w:eastAsia="es-CO"/>
        </w:rPr>
        <w:t>título 7</w:t>
      </w:r>
      <w:r w:rsidR="007E55D6" w:rsidRPr="007A6A32">
        <w:rPr>
          <w:color w:val="000000" w:themeColor="text1"/>
          <w:sz w:val="22"/>
          <w:szCs w:val="22"/>
          <w:lang w:eastAsia="es-CO"/>
        </w:rPr>
        <w:t>o. de la parte 1</w:t>
      </w:r>
      <w:r w:rsidR="00983875" w:rsidRPr="007A6A32">
        <w:rPr>
          <w:color w:val="000000" w:themeColor="text1"/>
          <w:sz w:val="22"/>
          <w:szCs w:val="22"/>
          <w:lang w:eastAsia="es-CO"/>
        </w:rPr>
        <w:t>2</w:t>
      </w:r>
      <w:r w:rsidR="007E55D6" w:rsidRPr="007A6A32">
        <w:rPr>
          <w:color w:val="000000" w:themeColor="text1"/>
          <w:sz w:val="22"/>
          <w:szCs w:val="22"/>
          <w:lang w:eastAsia="es-CO"/>
        </w:rPr>
        <w:t xml:space="preserve"> del libro 2o. del Decreto 1071 de 2015, Decreto Único Reglamentario del Sector Administrativo Agropecuario, Pesquero y de Desarrollo Rural, adicionado por el Decreto </w:t>
      </w:r>
      <w:r w:rsidR="00741E4E">
        <w:rPr>
          <w:color w:val="000000" w:themeColor="text1"/>
          <w:sz w:val="22"/>
          <w:szCs w:val="22"/>
          <w:lang w:eastAsia="es-CO"/>
        </w:rPr>
        <w:t xml:space="preserve">1449 </w:t>
      </w:r>
      <w:r w:rsidR="007E55D6" w:rsidRPr="007A6A32">
        <w:rPr>
          <w:color w:val="000000" w:themeColor="text1"/>
          <w:sz w:val="22"/>
          <w:szCs w:val="22"/>
          <w:lang w:eastAsia="es-CO"/>
        </w:rPr>
        <w:t>de 201</w:t>
      </w:r>
      <w:r w:rsidR="00741E4E">
        <w:rPr>
          <w:color w:val="000000" w:themeColor="text1"/>
          <w:sz w:val="22"/>
          <w:szCs w:val="22"/>
          <w:lang w:eastAsia="es-CO"/>
        </w:rPr>
        <w:t>5</w:t>
      </w:r>
      <w:r w:rsidR="007E55D6" w:rsidRPr="007A6A32">
        <w:rPr>
          <w:color w:val="000000" w:themeColor="text1"/>
          <w:sz w:val="22"/>
          <w:szCs w:val="22"/>
          <w:lang w:eastAsia="es-CO"/>
        </w:rPr>
        <w:t>,</w:t>
      </w:r>
      <w:r w:rsidR="00983875" w:rsidRPr="007A6A32">
        <w:rPr>
          <w:color w:val="000000" w:themeColor="text1"/>
          <w:sz w:val="22"/>
          <w:szCs w:val="22"/>
          <w:lang w:eastAsia="es-CO"/>
        </w:rPr>
        <w:t xml:space="preserve"> desarrolla</w:t>
      </w:r>
      <w:r w:rsidR="007E55D6" w:rsidRPr="007A6A32">
        <w:rPr>
          <w:color w:val="000000" w:themeColor="text1"/>
          <w:sz w:val="22"/>
          <w:szCs w:val="22"/>
          <w:lang w:eastAsia="es-CO"/>
        </w:rPr>
        <w:t xml:space="preserve"> </w:t>
      </w:r>
      <w:r w:rsidR="00983875" w:rsidRPr="007A6A32">
        <w:rPr>
          <w:color w:val="000000" w:themeColor="text1"/>
          <w:sz w:val="22"/>
          <w:szCs w:val="22"/>
          <w:lang w:eastAsia="es-CO"/>
        </w:rPr>
        <w:t xml:space="preserve">las coberturas del seguro agropecuario </w:t>
      </w:r>
      <w:r w:rsidR="000B2E6E" w:rsidRPr="007A6A32">
        <w:rPr>
          <w:color w:val="000000" w:themeColor="text1"/>
          <w:sz w:val="22"/>
          <w:szCs w:val="22"/>
          <w:lang w:eastAsia="es-CO"/>
        </w:rPr>
        <w:t>contemplando las modalidades de seguro agropecuario paramétrico o por índice.</w:t>
      </w:r>
    </w:p>
    <w:p w14:paraId="60B4D989" w14:textId="77777777" w:rsidR="000B2E6E" w:rsidRPr="007A6A32" w:rsidRDefault="000B2E6E">
      <w:pPr>
        <w:pStyle w:val="Default"/>
        <w:jc w:val="both"/>
        <w:rPr>
          <w:sz w:val="22"/>
          <w:szCs w:val="22"/>
          <w:lang w:eastAsia="es-CO"/>
        </w:rPr>
      </w:pPr>
    </w:p>
    <w:p w14:paraId="0B60BE80" w14:textId="682999FE" w:rsidR="00A965BE" w:rsidRPr="007A6A32" w:rsidRDefault="000B2E6E">
      <w:pPr>
        <w:spacing w:before="0" w:after="0" w:line="0" w:lineRule="atLeast"/>
        <w:jc w:val="both"/>
        <w:rPr>
          <w:rFonts w:eastAsia="Calibri" w:cs="Arial"/>
          <w:color w:val="000000"/>
          <w:sz w:val="22"/>
          <w:szCs w:val="22"/>
          <w:lang w:eastAsia="es-CO"/>
        </w:rPr>
      </w:pPr>
      <w:r w:rsidRPr="007A6A32">
        <w:rPr>
          <w:rFonts w:eastAsia="Calibri" w:cs="Arial"/>
          <w:b/>
          <w:color w:val="000000"/>
          <w:sz w:val="22"/>
          <w:szCs w:val="22"/>
          <w:lang w:eastAsia="es-CO"/>
        </w:rPr>
        <w:t>Décimo</w:t>
      </w:r>
      <w:r w:rsidR="00C14E1F" w:rsidRPr="007A6A32">
        <w:rPr>
          <w:rFonts w:eastAsia="Calibri" w:cs="Arial"/>
          <w:b/>
          <w:color w:val="000000"/>
          <w:sz w:val="22"/>
          <w:szCs w:val="22"/>
          <w:lang w:eastAsia="es-CO"/>
        </w:rPr>
        <w:t>.</w:t>
      </w:r>
      <w:r w:rsidR="00ED1137" w:rsidRPr="007A6A32">
        <w:rPr>
          <w:rFonts w:eastAsia="Calibri" w:cs="Arial"/>
          <w:b/>
          <w:color w:val="000000"/>
          <w:sz w:val="22"/>
          <w:szCs w:val="22"/>
          <w:lang w:eastAsia="es-CO"/>
        </w:rPr>
        <w:t xml:space="preserve"> </w:t>
      </w:r>
      <w:r w:rsidR="00A965BE" w:rsidRPr="007A6A32">
        <w:rPr>
          <w:rFonts w:eastAsia="Calibri" w:cs="Arial"/>
          <w:color w:val="000000"/>
          <w:sz w:val="22"/>
          <w:szCs w:val="22"/>
          <w:lang w:eastAsia="es-CO"/>
        </w:rPr>
        <w:t xml:space="preserve">Que el proyecto de resolución </w:t>
      </w:r>
      <w:r w:rsidR="00A965BE" w:rsidRPr="007A6A32">
        <w:rPr>
          <w:rFonts w:eastAsia="Calibri" w:cs="Arial"/>
          <w:i/>
          <w:color w:val="000000"/>
          <w:sz w:val="22"/>
          <w:szCs w:val="22"/>
          <w:lang w:eastAsia="es-CO"/>
        </w:rPr>
        <w:t xml:space="preserve">“Por la cual se aprueba el Plan Anual de Gestión de Riesgos Agropecuarios para el </w:t>
      </w:r>
      <w:r w:rsidR="008E6226" w:rsidRPr="007A6A32">
        <w:rPr>
          <w:rFonts w:eastAsia="Calibri" w:cs="Arial"/>
          <w:i/>
          <w:color w:val="000000"/>
          <w:sz w:val="22"/>
          <w:szCs w:val="22"/>
          <w:lang w:eastAsia="es-CO"/>
        </w:rPr>
        <w:t xml:space="preserve">Año </w:t>
      </w:r>
      <w:r w:rsidR="00A965BE" w:rsidRPr="007A6A32">
        <w:rPr>
          <w:rFonts w:eastAsia="Calibri" w:cs="Arial"/>
          <w:i/>
          <w:color w:val="000000"/>
          <w:sz w:val="22"/>
          <w:szCs w:val="22"/>
          <w:lang w:eastAsia="es-CO"/>
        </w:rPr>
        <w:t>20</w:t>
      </w:r>
      <w:r w:rsidR="00120A8D">
        <w:rPr>
          <w:rFonts w:eastAsia="Calibri" w:cs="Arial"/>
          <w:i/>
          <w:color w:val="000000"/>
          <w:sz w:val="22"/>
          <w:szCs w:val="22"/>
          <w:lang w:eastAsia="es-CO"/>
        </w:rPr>
        <w:t>20</w:t>
      </w:r>
      <w:r w:rsidR="00A965BE" w:rsidRPr="007A6A32">
        <w:rPr>
          <w:rFonts w:eastAsia="Calibri" w:cs="Arial"/>
          <w:i/>
          <w:color w:val="000000"/>
          <w:sz w:val="22"/>
          <w:szCs w:val="22"/>
          <w:lang w:eastAsia="es-CO"/>
        </w:rPr>
        <w:t>, y se dictan otras disposiciones”</w:t>
      </w:r>
      <w:r w:rsidR="00A965BE" w:rsidRPr="007A6A32">
        <w:rPr>
          <w:rFonts w:eastAsia="Calibri" w:cs="Arial"/>
          <w:color w:val="000000"/>
          <w:sz w:val="22"/>
          <w:szCs w:val="22"/>
          <w:lang w:eastAsia="es-CO"/>
        </w:rPr>
        <w:t xml:space="preserve"> estuvo publicado en la página web de FINAGRO para comentarios. </w:t>
      </w:r>
    </w:p>
    <w:p w14:paraId="1978FC22" w14:textId="77777777" w:rsidR="00D120F5" w:rsidRPr="007A6A32" w:rsidRDefault="00D120F5">
      <w:pPr>
        <w:pStyle w:val="Default"/>
        <w:jc w:val="both"/>
        <w:rPr>
          <w:sz w:val="22"/>
          <w:szCs w:val="22"/>
          <w:lang w:eastAsia="es-CO"/>
        </w:rPr>
      </w:pPr>
    </w:p>
    <w:p w14:paraId="516D70B4" w14:textId="1F05863C" w:rsidR="00AB5D1E" w:rsidRPr="007A6A32" w:rsidRDefault="00847DC6" w:rsidP="00197B9A">
      <w:pPr>
        <w:spacing w:before="0" w:after="0" w:line="0" w:lineRule="atLeast"/>
        <w:jc w:val="both"/>
        <w:rPr>
          <w:rFonts w:eastAsia="Calibri" w:cs="Arial"/>
          <w:color w:val="000000"/>
          <w:sz w:val="22"/>
          <w:szCs w:val="22"/>
          <w:lang w:eastAsia="es-CO"/>
        </w:rPr>
      </w:pPr>
      <w:r w:rsidRPr="007A6A32">
        <w:rPr>
          <w:rFonts w:eastAsia="Calibri" w:cs="Arial"/>
          <w:b/>
          <w:color w:val="000000"/>
          <w:sz w:val="22"/>
          <w:szCs w:val="22"/>
          <w:lang w:eastAsia="es-CO"/>
        </w:rPr>
        <w:t>D</w:t>
      </w:r>
      <w:r w:rsidR="00ED1137" w:rsidRPr="007A6A32">
        <w:rPr>
          <w:rFonts w:eastAsia="Calibri" w:cs="Arial"/>
          <w:b/>
          <w:color w:val="000000"/>
          <w:sz w:val="22"/>
          <w:szCs w:val="22"/>
          <w:lang w:eastAsia="es-CO"/>
        </w:rPr>
        <w:t>écimo</w:t>
      </w:r>
      <w:r w:rsidR="000B2E6E" w:rsidRPr="007A6A32">
        <w:rPr>
          <w:rFonts w:eastAsia="Calibri" w:cs="Arial"/>
          <w:b/>
          <w:color w:val="000000"/>
          <w:sz w:val="22"/>
          <w:szCs w:val="22"/>
          <w:lang w:eastAsia="es-CO"/>
        </w:rPr>
        <w:t xml:space="preserve"> </w:t>
      </w:r>
      <w:r w:rsidR="00103017">
        <w:rPr>
          <w:rFonts w:eastAsia="Calibri" w:cs="Arial"/>
          <w:b/>
          <w:color w:val="000000"/>
          <w:sz w:val="22"/>
          <w:szCs w:val="22"/>
          <w:lang w:eastAsia="es-CO"/>
        </w:rPr>
        <w:t>primero</w:t>
      </w:r>
      <w:r w:rsidR="00C14E1F" w:rsidRPr="007A6A32">
        <w:rPr>
          <w:rFonts w:eastAsia="Calibri" w:cs="Arial"/>
          <w:b/>
          <w:color w:val="000000"/>
          <w:sz w:val="22"/>
          <w:szCs w:val="22"/>
          <w:lang w:eastAsia="es-CO"/>
        </w:rPr>
        <w:t>.</w:t>
      </w:r>
      <w:r w:rsidR="00ED1137" w:rsidRPr="007A6A32">
        <w:rPr>
          <w:rFonts w:eastAsia="Calibri" w:cs="Arial"/>
          <w:b/>
          <w:color w:val="000000"/>
          <w:sz w:val="22"/>
          <w:szCs w:val="22"/>
          <w:lang w:eastAsia="es-CO"/>
        </w:rPr>
        <w:t xml:space="preserve"> </w:t>
      </w:r>
      <w:r w:rsidR="000655DD" w:rsidRPr="007A6A32">
        <w:rPr>
          <w:rFonts w:cs="Arial"/>
          <w:sz w:val="22"/>
          <w:szCs w:val="22"/>
        </w:rPr>
        <w:t xml:space="preserve">Que, el documento con la justificación jurídica y técnica de la presente resolución fue presentado para consideración de la CNCA y discutido en la reunión llevada a cabo el </w:t>
      </w:r>
      <w:r w:rsidR="008E48F9" w:rsidRPr="0082518E">
        <w:rPr>
          <w:rFonts w:cs="Arial"/>
          <w:sz w:val="22"/>
          <w:szCs w:val="22"/>
        </w:rPr>
        <w:t xml:space="preserve">día </w:t>
      </w:r>
      <w:r w:rsidR="00EA5EDD" w:rsidRPr="0082518E">
        <w:rPr>
          <w:rFonts w:cs="Arial"/>
          <w:sz w:val="22"/>
          <w:szCs w:val="22"/>
        </w:rPr>
        <w:t>______</w:t>
      </w:r>
      <w:r w:rsidR="00C422F8" w:rsidRPr="0082518E">
        <w:rPr>
          <w:rFonts w:cs="Arial"/>
          <w:sz w:val="22"/>
          <w:szCs w:val="22"/>
        </w:rPr>
        <w:t xml:space="preserve"> </w:t>
      </w:r>
      <w:r w:rsidR="008E48F9" w:rsidRPr="0082518E">
        <w:rPr>
          <w:rFonts w:cs="Arial"/>
          <w:sz w:val="22"/>
          <w:szCs w:val="22"/>
        </w:rPr>
        <w:t>(</w:t>
      </w:r>
      <w:r w:rsidR="00EA5EDD" w:rsidRPr="0082518E">
        <w:rPr>
          <w:rFonts w:cs="Arial"/>
          <w:sz w:val="22"/>
          <w:szCs w:val="22"/>
        </w:rPr>
        <w:t>__</w:t>
      </w:r>
      <w:r w:rsidR="008E48F9" w:rsidRPr="0082518E">
        <w:rPr>
          <w:rFonts w:cs="Arial"/>
          <w:sz w:val="22"/>
          <w:szCs w:val="22"/>
        </w:rPr>
        <w:t>) de diciembre de 201</w:t>
      </w:r>
      <w:r w:rsidR="00EA5EDD" w:rsidRPr="0082518E">
        <w:rPr>
          <w:rFonts w:cs="Arial"/>
          <w:sz w:val="22"/>
          <w:szCs w:val="22"/>
        </w:rPr>
        <w:t>9</w:t>
      </w:r>
      <w:r w:rsidR="000655DD" w:rsidRPr="0082518E">
        <w:rPr>
          <w:rFonts w:cs="Arial"/>
          <w:sz w:val="22"/>
          <w:szCs w:val="22"/>
        </w:rPr>
        <w:t>.</w:t>
      </w:r>
    </w:p>
    <w:p w14:paraId="6E8986C0" w14:textId="77777777" w:rsidR="00AB5D1E" w:rsidRPr="007A6A32" w:rsidRDefault="00AB5D1E" w:rsidP="00FB4F8E">
      <w:pPr>
        <w:spacing w:before="0" w:after="0" w:line="0" w:lineRule="atLeast"/>
        <w:jc w:val="both"/>
        <w:rPr>
          <w:rFonts w:eastAsia="Calibri" w:cs="Arial"/>
          <w:color w:val="000000"/>
          <w:sz w:val="22"/>
          <w:szCs w:val="22"/>
          <w:lang w:eastAsia="es-CO"/>
        </w:rPr>
      </w:pPr>
    </w:p>
    <w:p w14:paraId="2D035A07" w14:textId="77777777" w:rsidR="00AB5D1E" w:rsidRPr="007A6A32" w:rsidRDefault="00ED1137">
      <w:pPr>
        <w:spacing w:before="0" w:after="0" w:line="0" w:lineRule="atLeast"/>
        <w:jc w:val="both"/>
        <w:rPr>
          <w:rFonts w:eastAsia="Calibri" w:cs="Arial"/>
          <w:color w:val="000000"/>
          <w:sz w:val="22"/>
          <w:szCs w:val="22"/>
          <w:lang w:eastAsia="es-CO"/>
        </w:rPr>
      </w:pPr>
      <w:r w:rsidRPr="007A6A32">
        <w:rPr>
          <w:rFonts w:eastAsia="Calibri" w:cs="Arial"/>
          <w:color w:val="000000"/>
          <w:sz w:val="22"/>
          <w:szCs w:val="22"/>
          <w:lang w:eastAsia="es-CO"/>
        </w:rPr>
        <w:t>E</w:t>
      </w:r>
      <w:r w:rsidR="00A778B6" w:rsidRPr="007A6A32">
        <w:rPr>
          <w:rFonts w:eastAsia="Calibri" w:cs="Arial"/>
          <w:color w:val="000000"/>
          <w:sz w:val="22"/>
          <w:szCs w:val="22"/>
          <w:lang w:eastAsia="es-CO"/>
        </w:rPr>
        <w:t xml:space="preserve">n mérito de lo anterior, </w:t>
      </w:r>
    </w:p>
    <w:p w14:paraId="74A19622" w14:textId="77777777" w:rsidR="00AB5D1E" w:rsidRPr="007A6A32" w:rsidRDefault="00AB5D1E">
      <w:pPr>
        <w:spacing w:before="0" w:after="0" w:line="0" w:lineRule="atLeast"/>
        <w:jc w:val="both"/>
        <w:rPr>
          <w:rFonts w:cs="Arial"/>
          <w:color w:val="000000" w:themeColor="text1"/>
          <w:sz w:val="22"/>
          <w:szCs w:val="22"/>
        </w:rPr>
      </w:pPr>
    </w:p>
    <w:p w14:paraId="76097D26" w14:textId="77777777" w:rsidR="00AB5D1E" w:rsidRPr="007A6A32" w:rsidRDefault="00A778B6">
      <w:pPr>
        <w:spacing w:before="0" w:after="0" w:line="0" w:lineRule="atLeast"/>
        <w:jc w:val="center"/>
        <w:rPr>
          <w:rFonts w:cs="Arial"/>
          <w:b/>
          <w:bCs/>
          <w:color w:val="000000" w:themeColor="text1"/>
          <w:sz w:val="22"/>
          <w:szCs w:val="22"/>
        </w:rPr>
      </w:pPr>
      <w:r w:rsidRPr="007A6A32">
        <w:rPr>
          <w:rFonts w:cs="Arial"/>
          <w:b/>
          <w:bCs/>
          <w:color w:val="000000" w:themeColor="text1"/>
          <w:sz w:val="22"/>
          <w:szCs w:val="22"/>
        </w:rPr>
        <w:t>RESUELVE:</w:t>
      </w:r>
    </w:p>
    <w:p w14:paraId="65132319" w14:textId="77777777" w:rsidR="00AB5D1E" w:rsidRPr="007A6A32" w:rsidRDefault="00AB5D1E">
      <w:pPr>
        <w:spacing w:before="0" w:after="0" w:line="0" w:lineRule="atLeast"/>
        <w:jc w:val="center"/>
        <w:rPr>
          <w:rFonts w:cs="Arial"/>
          <w:b/>
          <w:bCs/>
          <w:color w:val="000000" w:themeColor="text1"/>
          <w:sz w:val="22"/>
          <w:szCs w:val="22"/>
        </w:rPr>
      </w:pPr>
    </w:p>
    <w:p w14:paraId="2A365F82" w14:textId="051E19DD" w:rsidR="00AB5D1E" w:rsidRPr="007A6A32" w:rsidRDefault="00A778B6">
      <w:pPr>
        <w:spacing w:before="0" w:after="0" w:line="0" w:lineRule="atLeast"/>
        <w:jc w:val="both"/>
        <w:rPr>
          <w:rFonts w:cs="Arial"/>
          <w:sz w:val="22"/>
          <w:szCs w:val="22"/>
        </w:rPr>
      </w:pPr>
      <w:r w:rsidRPr="007A6A32">
        <w:rPr>
          <w:rFonts w:cs="Arial"/>
          <w:b/>
          <w:sz w:val="22"/>
          <w:szCs w:val="22"/>
        </w:rPr>
        <w:t>Artículo 1</w:t>
      </w:r>
      <w:r w:rsidR="00ED1137" w:rsidRPr="007A6A32">
        <w:rPr>
          <w:rFonts w:cs="Arial"/>
          <w:b/>
          <w:sz w:val="22"/>
          <w:szCs w:val="22"/>
        </w:rPr>
        <w:t>o</w:t>
      </w:r>
      <w:r w:rsidRPr="007A6A32">
        <w:rPr>
          <w:rFonts w:cs="Arial"/>
          <w:b/>
          <w:sz w:val="22"/>
          <w:szCs w:val="22"/>
        </w:rPr>
        <w:t>. Presupuesto</w:t>
      </w:r>
      <w:r w:rsidRPr="007A6A32">
        <w:rPr>
          <w:rFonts w:cs="Arial"/>
          <w:sz w:val="22"/>
          <w:szCs w:val="22"/>
        </w:rPr>
        <w:t xml:space="preserve">. Aprobar el Plan Anual de Gestión de Riesgos Agropecuarios para el </w:t>
      </w:r>
      <w:r w:rsidR="00F52EA1" w:rsidRPr="007A6A32">
        <w:rPr>
          <w:rFonts w:cs="Arial"/>
          <w:sz w:val="22"/>
          <w:szCs w:val="22"/>
        </w:rPr>
        <w:t xml:space="preserve">Año </w:t>
      </w:r>
      <w:r w:rsidRPr="007A6A32">
        <w:rPr>
          <w:rFonts w:cs="Arial"/>
          <w:sz w:val="22"/>
          <w:szCs w:val="22"/>
        </w:rPr>
        <w:t>20</w:t>
      </w:r>
      <w:r w:rsidR="00436989">
        <w:rPr>
          <w:rFonts w:cs="Arial"/>
          <w:sz w:val="22"/>
          <w:szCs w:val="22"/>
        </w:rPr>
        <w:t>20</w:t>
      </w:r>
      <w:r w:rsidRPr="007A6A32">
        <w:rPr>
          <w:rFonts w:cs="Arial"/>
          <w:sz w:val="22"/>
          <w:szCs w:val="22"/>
        </w:rPr>
        <w:t xml:space="preserve"> en la suma </w:t>
      </w:r>
      <w:r w:rsidRPr="000933DC">
        <w:rPr>
          <w:rFonts w:cs="Arial"/>
          <w:sz w:val="22"/>
          <w:szCs w:val="22"/>
        </w:rPr>
        <w:t xml:space="preserve">de </w:t>
      </w:r>
      <w:r w:rsidR="0095395B" w:rsidRPr="000933DC">
        <w:rPr>
          <w:rFonts w:cs="Arial"/>
          <w:sz w:val="22"/>
          <w:szCs w:val="22"/>
        </w:rPr>
        <w:t xml:space="preserve">SESENTA Y </w:t>
      </w:r>
      <w:r w:rsidR="000933DC">
        <w:rPr>
          <w:rFonts w:cs="Arial"/>
          <w:sz w:val="22"/>
          <w:szCs w:val="22"/>
        </w:rPr>
        <w:t>SIETE</w:t>
      </w:r>
      <w:r w:rsidR="0095395B" w:rsidRPr="000933DC">
        <w:rPr>
          <w:rFonts w:cs="Arial"/>
          <w:sz w:val="22"/>
          <w:szCs w:val="22"/>
        </w:rPr>
        <w:t xml:space="preserve"> MIL </w:t>
      </w:r>
      <w:r w:rsidR="000933DC">
        <w:rPr>
          <w:rFonts w:cs="Arial"/>
          <w:sz w:val="22"/>
          <w:szCs w:val="22"/>
        </w:rPr>
        <w:t>NOVECIENTOS</w:t>
      </w:r>
      <w:r w:rsidR="0095395B" w:rsidRPr="000933DC">
        <w:rPr>
          <w:rFonts w:cs="Arial"/>
          <w:sz w:val="22"/>
          <w:szCs w:val="22"/>
        </w:rPr>
        <w:t xml:space="preserve"> VEINTISIETE </w:t>
      </w:r>
      <w:r w:rsidR="0095395B" w:rsidRPr="000933DC">
        <w:rPr>
          <w:rFonts w:cs="Arial"/>
          <w:sz w:val="22"/>
          <w:szCs w:val="22"/>
        </w:rPr>
        <w:lastRenderedPageBreak/>
        <w:t>MILLONES DE PESOS</w:t>
      </w:r>
      <w:r w:rsidRPr="000933DC">
        <w:rPr>
          <w:rFonts w:cs="Arial"/>
          <w:sz w:val="22"/>
          <w:szCs w:val="22"/>
        </w:rPr>
        <w:t xml:space="preserve"> ($</w:t>
      </w:r>
      <w:r w:rsidR="000933DC">
        <w:rPr>
          <w:rFonts w:cs="Arial"/>
          <w:sz w:val="22"/>
          <w:szCs w:val="22"/>
        </w:rPr>
        <w:t xml:space="preserve"> 67.9</w:t>
      </w:r>
      <w:r w:rsidR="0095395B" w:rsidRPr="000933DC">
        <w:rPr>
          <w:rFonts w:cs="Arial"/>
          <w:sz w:val="22"/>
          <w:szCs w:val="22"/>
        </w:rPr>
        <w:t>27.000.000,oo</w:t>
      </w:r>
      <w:r w:rsidRPr="000933DC">
        <w:rPr>
          <w:rFonts w:cs="Arial"/>
          <w:sz w:val="22"/>
          <w:szCs w:val="22"/>
        </w:rPr>
        <w:t xml:space="preserve">), </w:t>
      </w:r>
      <w:r w:rsidRPr="000933DC">
        <w:rPr>
          <w:rFonts w:cs="Arial"/>
          <w:bCs/>
          <w:sz w:val="22"/>
          <w:szCs w:val="22"/>
        </w:rPr>
        <w:t>sin perjuicio de que el Gobierno Nacional pueda tra</w:t>
      </w:r>
      <w:r w:rsidR="00795602" w:rsidRPr="000933DC">
        <w:rPr>
          <w:rFonts w:cs="Arial"/>
          <w:bCs/>
          <w:sz w:val="22"/>
          <w:szCs w:val="22"/>
        </w:rPr>
        <w:t>n</w:t>
      </w:r>
      <w:r w:rsidRPr="000933DC">
        <w:rPr>
          <w:rFonts w:cs="Arial"/>
          <w:bCs/>
          <w:sz w:val="22"/>
          <w:szCs w:val="22"/>
        </w:rPr>
        <w:t xml:space="preserve">sferir recursos adicionales, bien </w:t>
      </w:r>
      <w:r w:rsidR="00540E07" w:rsidRPr="000933DC">
        <w:rPr>
          <w:rFonts w:cs="Arial"/>
          <w:bCs/>
          <w:sz w:val="22"/>
          <w:szCs w:val="22"/>
        </w:rPr>
        <w:t xml:space="preserve">sea </w:t>
      </w:r>
      <w:r w:rsidRPr="000933DC">
        <w:rPr>
          <w:rFonts w:cs="Arial"/>
          <w:bCs/>
          <w:sz w:val="22"/>
          <w:szCs w:val="22"/>
        </w:rPr>
        <w:t>directamente</w:t>
      </w:r>
      <w:r w:rsidRPr="007A6A32">
        <w:rPr>
          <w:rFonts w:cs="Arial"/>
          <w:bCs/>
          <w:sz w:val="22"/>
          <w:szCs w:val="22"/>
        </w:rPr>
        <w:t xml:space="preserve"> o a través de aportes al Fondo </w:t>
      </w:r>
      <w:r w:rsidRPr="007A6A32">
        <w:rPr>
          <w:rFonts w:cs="Arial"/>
          <w:color w:val="000000" w:themeColor="text1"/>
          <w:sz w:val="22"/>
          <w:szCs w:val="22"/>
          <w:lang w:eastAsia="es-CO"/>
        </w:rPr>
        <w:t xml:space="preserve">Nacional de Riesgos Agropecuarios </w:t>
      </w:r>
      <w:r w:rsidRPr="007A6A32">
        <w:rPr>
          <w:rFonts w:cs="Arial"/>
          <w:i/>
          <w:color w:val="000000" w:themeColor="text1"/>
          <w:sz w:val="22"/>
          <w:szCs w:val="22"/>
          <w:lang w:eastAsia="es-CO"/>
        </w:rPr>
        <w:t xml:space="preserve">- </w:t>
      </w:r>
      <w:r w:rsidRPr="007A6A32">
        <w:rPr>
          <w:rFonts w:cs="Arial"/>
          <w:color w:val="000000" w:themeColor="text1"/>
          <w:sz w:val="22"/>
          <w:szCs w:val="22"/>
          <w:lang w:eastAsia="es-CO"/>
        </w:rPr>
        <w:t>F</w:t>
      </w:r>
      <w:r w:rsidRPr="007A6A32">
        <w:rPr>
          <w:rFonts w:cs="Arial"/>
          <w:bCs/>
          <w:sz w:val="22"/>
          <w:szCs w:val="22"/>
        </w:rPr>
        <w:t xml:space="preserve">NRA, </w:t>
      </w:r>
      <w:r w:rsidR="00A97849" w:rsidRPr="007A6A32">
        <w:rPr>
          <w:rFonts w:cs="Arial"/>
          <w:bCs/>
          <w:sz w:val="22"/>
          <w:szCs w:val="22"/>
        </w:rPr>
        <w:t>de acuerdo con</w:t>
      </w:r>
      <w:r w:rsidRPr="007A6A32">
        <w:rPr>
          <w:rFonts w:cs="Arial"/>
          <w:bCs/>
          <w:sz w:val="22"/>
          <w:szCs w:val="22"/>
        </w:rPr>
        <w:t xml:space="preserve"> la disponibilidad presupuestal. Dichos recursos se cargarán al </w:t>
      </w:r>
      <w:r w:rsidRPr="007A6A32">
        <w:rPr>
          <w:rFonts w:cs="Arial"/>
          <w:sz w:val="22"/>
          <w:szCs w:val="22"/>
        </w:rPr>
        <w:t>Fondo y se distribuirán así:</w:t>
      </w:r>
    </w:p>
    <w:p w14:paraId="02FAC783" w14:textId="77777777" w:rsidR="00AB5D1E" w:rsidRPr="007A6A32" w:rsidRDefault="00AB5D1E">
      <w:pPr>
        <w:spacing w:before="0" w:after="0" w:line="0" w:lineRule="atLeast"/>
        <w:jc w:val="both"/>
        <w:rPr>
          <w:rFonts w:cs="Arial"/>
          <w:sz w:val="22"/>
          <w:szCs w:val="22"/>
        </w:rPr>
      </w:pPr>
    </w:p>
    <w:p w14:paraId="69C4926D" w14:textId="751D3AD5" w:rsidR="006A20F8" w:rsidRPr="007A6A32" w:rsidRDefault="00A97849" w:rsidP="006D5285">
      <w:pPr>
        <w:pStyle w:val="Prrafodelista"/>
        <w:numPr>
          <w:ilvl w:val="0"/>
          <w:numId w:val="6"/>
        </w:numPr>
        <w:spacing w:before="0" w:after="0" w:line="0" w:lineRule="atLeast"/>
        <w:jc w:val="both"/>
        <w:rPr>
          <w:rFonts w:cs="Arial"/>
          <w:sz w:val="22"/>
          <w:szCs w:val="22"/>
        </w:rPr>
      </w:pPr>
      <w:r w:rsidRPr="007A6A32">
        <w:rPr>
          <w:rFonts w:cs="Arial"/>
          <w:bCs/>
          <w:color w:val="000000" w:themeColor="text1"/>
          <w:sz w:val="22"/>
          <w:szCs w:val="22"/>
        </w:rPr>
        <w:t xml:space="preserve">Hasta la suma de </w:t>
      </w:r>
      <w:r w:rsidR="000933DC" w:rsidRPr="000933DC">
        <w:rPr>
          <w:rFonts w:cs="Arial"/>
          <w:sz w:val="22"/>
          <w:szCs w:val="22"/>
        </w:rPr>
        <w:t>SESENTA Y SEIS MIL CUATROCIENTOS VEINTISIETE MILLONES DE PESOS ($ 66.427.000.000,oo</w:t>
      </w:r>
      <w:r w:rsidR="000933DC">
        <w:rPr>
          <w:rFonts w:cs="Arial"/>
          <w:sz w:val="22"/>
          <w:szCs w:val="22"/>
        </w:rPr>
        <w:t>)</w:t>
      </w:r>
      <w:r w:rsidRPr="007A6A32">
        <w:rPr>
          <w:rFonts w:cs="Arial"/>
          <w:color w:val="000000" w:themeColor="text1"/>
          <w:sz w:val="22"/>
          <w:szCs w:val="22"/>
        </w:rPr>
        <w:t xml:space="preserve"> p</w:t>
      </w:r>
      <w:r w:rsidR="00A778B6" w:rsidRPr="007A6A32">
        <w:rPr>
          <w:rFonts w:cs="Arial"/>
          <w:sz w:val="22"/>
          <w:szCs w:val="22"/>
        </w:rPr>
        <w:t xml:space="preserve">ara la aplicación del </w:t>
      </w:r>
      <w:r w:rsidR="006730CB" w:rsidRPr="007A6A32">
        <w:rPr>
          <w:rFonts w:cs="Arial"/>
          <w:sz w:val="22"/>
          <w:szCs w:val="22"/>
        </w:rPr>
        <w:t>incentivo</w:t>
      </w:r>
      <w:r w:rsidR="00A778B6" w:rsidRPr="007A6A32">
        <w:rPr>
          <w:rFonts w:cs="Arial"/>
          <w:sz w:val="22"/>
          <w:szCs w:val="22"/>
        </w:rPr>
        <w:t xml:space="preserve"> a las primas</w:t>
      </w:r>
      <w:r w:rsidRPr="007A6A32">
        <w:rPr>
          <w:rFonts w:cs="Arial"/>
          <w:sz w:val="22"/>
          <w:szCs w:val="22"/>
        </w:rPr>
        <w:t>. Este presupuesto</w:t>
      </w:r>
      <w:r w:rsidR="00A778B6" w:rsidRPr="007A6A32">
        <w:rPr>
          <w:rFonts w:cs="Arial"/>
          <w:sz w:val="22"/>
          <w:szCs w:val="22"/>
        </w:rPr>
        <w:t xml:space="preserve"> </w:t>
      </w:r>
      <w:r w:rsidR="001B2E70" w:rsidRPr="007A6A32">
        <w:rPr>
          <w:rFonts w:cs="Arial"/>
          <w:sz w:val="22"/>
          <w:szCs w:val="22"/>
        </w:rPr>
        <w:t xml:space="preserve">se </w:t>
      </w:r>
      <w:r w:rsidRPr="007A6A32">
        <w:rPr>
          <w:rFonts w:cs="Arial"/>
          <w:sz w:val="22"/>
          <w:szCs w:val="22"/>
        </w:rPr>
        <w:t>distribuirá</w:t>
      </w:r>
      <w:r w:rsidR="006A20F8" w:rsidRPr="007A6A32">
        <w:rPr>
          <w:rFonts w:cs="Arial"/>
          <w:sz w:val="22"/>
          <w:szCs w:val="22"/>
        </w:rPr>
        <w:t xml:space="preserve"> por bolsas </w:t>
      </w:r>
      <w:r w:rsidR="00D44C1F" w:rsidRPr="007A6A32">
        <w:rPr>
          <w:rFonts w:cs="Arial"/>
          <w:sz w:val="22"/>
          <w:szCs w:val="22"/>
        </w:rPr>
        <w:t>de la siguiente forma:</w:t>
      </w:r>
    </w:p>
    <w:p w14:paraId="35325563" w14:textId="77777777" w:rsidR="00D44C1F" w:rsidRPr="007A6A32" w:rsidRDefault="00D44C1F">
      <w:pPr>
        <w:pStyle w:val="Prrafodelista"/>
        <w:spacing w:before="0" w:after="0" w:line="0" w:lineRule="atLeast"/>
        <w:ind w:left="360"/>
        <w:jc w:val="both"/>
        <w:rPr>
          <w:rFonts w:cs="Arial"/>
          <w:sz w:val="22"/>
          <w:szCs w:val="22"/>
        </w:rPr>
      </w:pPr>
    </w:p>
    <w:p w14:paraId="6702961F" w14:textId="59149595" w:rsidR="00ED1137" w:rsidRPr="00B90A40" w:rsidRDefault="000824E5" w:rsidP="006D5285">
      <w:pPr>
        <w:pStyle w:val="Prrafodelista"/>
        <w:numPr>
          <w:ilvl w:val="0"/>
          <w:numId w:val="5"/>
        </w:numPr>
        <w:spacing w:before="0" w:after="0" w:line="0" w:lineRule="atLeast"/>
        <w:ind w:left="567" w:hanging="142"/>
        <w:jc w:val="both"/>
        <w:rPr>
          <w:rFonts w:cs="Arial"/>
          <w:sz w:val="22"/>
          <w:szCs w:val="22"/>
        </w:rPr>
      </w:pPr>
      <w:r w:rsidRPr="007A6A32">
        <w:rPr>
          <w:rFonts w:cs="Arial"/>
          <w:b/>
          <w:sz w:val="22"/>
          <w:szCs w:val="22"/>
        </w:rPr>
        <w:t>Bolsa 1.</w:t>
      </w:r>
      <w:r w:rsidRPr="007A6A32">
        <w:rPr>
          <w:rFonts w:cs="Arial"/>
          <w:sz w:val="22"/>
          <w:szCs w:val="22"/>
        </w:rPr>
        <w:t xml:space="preserve"> Pólizas para seguros comerciales tradicionales agrícolas (por rendimiento</w:t>
      </w:r>
      <w:r w:rsidR="00110D15" w:rsidRPr="007A6A32">
        <w:rPr>
          <w:rFonts w:cs="Arial"/>
          <w:sz w:val="22"/>
          <w:szCs w:val="22"/>
        </w:rPr>
        <w:t xml:space="preserve"> garantizado</w:t>
      </w:r>
      <w:r w:rsidRPr="007A6A32">
        <w:rPr>
          <w:rFonts w:cs="Arial"/>
          <w:sz w:val="22"/>
          <w:szCs w:val="22"/>
        </w:rPr>
        <w:t xml:space="preserve">, daño </w:t>
      </w:r>
      <w:r w:rsidR="00110D15" w:rsidRPr="00B90A40">
        <w:rPr>
          <w:rFonts w:cs="Arial"/>
          <w:sz w:val="22"/>
          <w:szCs w:val="22"/>
        </w:rPr>
        <w:t xml:space="preserve">directo </w:t>
      </w:r>
      <w:r w:rsidRPr="00B90A40">
        <w:rPr>
          <w:rFonts w:cs="Arial"/>
          <w:sz w:val="22"/>
          <w:szCs w:val="22"/>
        </w:rPr>
        <w:t xml:space="preserve">a </w:t>
      </w:r>
      <w:r w:rsidR="00110D15" w:rsidRPr="00B90A40">
        <w:rPr>
          <w:rFonts w:cs="Arial"/>
          <w:sz w:val="22"/>
          <w:szCs w:val="22"/>
        </w:rPr>
        <w:t xml:space="preserve">la </w:t>
      </w:r>
      <w:r w:rsidRPr="00B90A40">
        <w:rPr>
          <w:rFonts w:cs="Arial"/>
          <w:sz w:val="22"/>
          <w:szCs w:val="22"/>
        </w:rPr>
        <w:t>planta o combinado</w:t>
      </w:r>
      <w:r w:rsidR="004A1264" w:rsidRPr="00B90A40">
        <w:rPr>
          <w:rFonts w:cs="Arial"/>
          <w:sz w:val="22"/>
          <w:szCs w:val="22"/>
        </w:rPr>
        <w:t>, entre otros</w:t>
      </w:r>
      <w:r w:rsidRPr="00B90A40">
        <w:rPr>
          <w:rFonts w:cs="Arial"/>
          <w:sz w:val="22"/>
          <w:szCs w:val="22"/>
        </w:rPr>
        <w:t xml:space="preserve">) </w:t>
      </w:r>
      <w:r w:rsidR="00A778B6" w:rsidRPr="00B90A40">
        <w:rPr>
          <w:rFonts w:cs="Arial"/>
          <w:sz w:val="22"/>
          <w:szCs w:val="22"/>
        </w:rPr>
        <w:t xml:space="preserve">hasta </w:t>
      </w:r>
      <w:r w:rsidR="00D44C1F" w:rsidRPr="00B90A40">
        <w:rPr>
          <w:rFonts w:cs="Arial"/>
          <w:sz w:val="22"/>
          <w:szCs w:val="22"/>
        </w:rPr>
        <w:t xml:space="preserve">una suma de </w:t>
      </w:r>
      <w:r w:rsidR="008232A7" w:rsidRPr="00B90A40">
        <w:rPr>
          <w:rFonts w:cs="Arial"/>
          <w:sz w:val="22"/>
          <w:szCs w:val="22"/>
        </w:rPr>
        <w:t>CUARENTA Y SEIS MIL CUATROCIENTOS NOVENTA Y NUEVA MILLONES</w:t>
      </w:r>
      <w:r w:rsidR="00107AFD" w:rsidRPr="00B90A40">
        <w:rPr>
          <w:rFonts w:cs="Arial"/>
          <w:sz w:val="22"/>
          <w:szCs w:val="22"/>
        </w:rPr>
        <w:t xml:space="preserve"> </w:t>
      </w:r>
      <w:r w:rsidR="00223658" w:rsidRPr="00B90A40">
        <w:rPr>
          <w:rFonts w:cs="Arial"/>
          <w:sz w:val="22"/>
          <w:szCs w:val="22"/>
        </w:rPr>
        <w:t xml:space="preserve">DE PESOS </w:t>
      </w:r>
      <w:r w:rsidR="00107AFD" w:rsidRPr="00B90A40">
        <w:rPr>
          <w:rFonts w:cs="Arial"/>
          <w:sz w:val="22"/>
          <w:szCs w:val="22"/>
        </w:rPr>
        <w:t>($</w:t>
      </w:r>
      <w:r w:rsidR="008232A7" w:rsidRPr="00B90A40">
        <w:rPr>
          <w:rFonts w:cs="Arial"/>
        </w:rPr>
        <w:t>46.499 .000.000,oo</w:t>
      </w:r>
      <w:r w:rsidR="00107AFD" w:rsidRPr="00B90A40">
        <w:rPr>
          <w:rFonts w:cs="Arial"/>
          <w:sz w:val="22"/>
          <w:szCs w:val="22"/>
        </w:rPr>
        <w:t>)</w:t>
      </w:r>
      <w:r w:rsidR="00A778B6" w:rsidRPr="00B90A40">
        <w:rPr>
          <w:rFonts w:cs="Arial"/>
          <w:bCs/>
          <w:sz w:val="22"/>
          <w:szCs w:val="22"/>
        </w:rPr>
        <w:t>.</w:t>
      </w:r>
    </w:p>
    <w:p w14:paraId="69461753" w14:textId="77777777" w:rsidR="007D37EF" w:rsidRPr="00B90A40" w:rsidRDefault="007D37EF" w:rsidP="00197B9A">
      <w:pPr>
        <w:pStyle w:val="Prrafodelista"/>
        <w:spacing w:before="0" w:after="0" w:line="0" w:lineRule="atLeast"/>
        <w:ind w:left="567"/>
        <w:jc w:val="both"/>
        <w:rPr>
          <w:rFonts w:cs="Arial"/>
          <w:sz w:val="22"/>
          <w:szCs w:val="22"/>
        </w:rPr>
      </w:pPr>
    </w:p>
    <w:p w14:paraId="40F9B2DA" w14:textId="26242F40" w:rsidR="00E103DF" w:rsidRPr="00B90A40" w:rsidRDefault="000824E5" w:rsidP="006D5285">
      <w:pPr>
        <w:pStyle w:val="Prrafodelista"/>
        <w:numPr>
          <w:ilvl w:val="0"/>
          <w:numId w:val="5"/>
        </w:numPr>
        <w:spacing w:before="0" w:after="0" w:line="0" w:lineRule="atLeast"/>
        <w:ind w:left="567" w:hanging="141"/>
        <w:jc w:val="both"/>
        <w:rPr>
          <w:rFonts w:cs="Arial"/>
          <w:sz w:val="22"/>
          <w:szCs w:val="22"/>
        </w:rPr>
      </w:pPr>
      <w:r w:rsidRPr="00B90A40">
        <w:rPr>
          <w:rFonts w:cs="Arial"/>
          <w:b/>
          <w:sz w:val="22"/>
          <w:szCs w:val="22"/>
        </w:rPr>
        <w:t>Bolsa 2.</w:t>
      </w:r>
      <w:r w:rsidRPr="00B90A40">
        <w:rPr>
          <w:rFonts w:cs="Arial"/>
          <w:sz w:val="22"/>
          <w:szCs w:val="22"/>
        </w:rPr>
        <w:t xml:space="preserve"> Pólizas para nuevos modelos de aseguramiento agropecuarios y esquemas de aseguramiento que impliquen un índice o un parámetro</w:t>
      </w:r>
      <w:r w:rsidR="00E103DF" w:rsidRPr="00B90A40">
        <w:rPr>
          <w:rFonts w:cs="Arial"/>
          <w:sz w:val="22"/>
          <w:szCs w:val="22"/>
        </w:rPr>
        <w:t>, hasta por un monto</w:t>
      </w:r>
      <w:r w:rsidRPr="00B90A40">
        <w:rPr>
          <w:rFonts w:cs="Arial"/>
          <w:sz w:val="22"/>
          <w:szCs w:val="22"/>
        </w:rPr>
        <w:t xml:space="preserve"> de </w:t>
      </w:r>
      <w:r w:rsidR="00C530C8" w:rsidRPr="00B90A40">
        <w:rPr>
          <w:rFonts w:cs="Arial"/>
          <w:sz w:val="22"/>
          <w:szCs w:val="22"/>
        </w:rPr>
        <w:t>DIECINUEVE</w:t>
      </w:r>
      <w:r w:rsidR="00223658" w:rsidRPr="00B90A40">
        <w:rPr>
          <w:rFonts w:cs="Arial"/>
          <w:sz w:val="22"/>
          <w:szCs w:val="22"/>
        </w:rPr>
        <w:t xml:space="preserve"> MIL </w:t>
      </w:r>
      <w:r w:rsidR="00C530C8" w:rsidRPr="00B90A40">
        <w:rPr>
          <w:rFonts w:cs="Arial"/>
          <w:sz w:val="22"/>
          <w:szCs w:val="22"/>
        </w:rPr>
        <w:t>NOVECIENTOS</w:t>
      </w:r>
      <w:r w:rsidR="00223658" w:rsidRPr="00B90A40">
        <w:rPr>
          <w:rFonts w:cs="Arial"/>
          <w:sz w:val="22"/>
          <w:szCs w:val="22"/>
        </w:rPr>
        <w:t xml:space="preserve"> VEINTIOCHO MILLONES DE PESOS</w:t>
      </w:r>
      <w:r w:rsidR="00107AFD" w:rsidRPr="00B90A40">
        <w:rPr>
          <w:rFonts w:cs="Arial"/>
          <w:sz w:val="22"/>
          <w:szCs w:val="22"/>
        </w:rPr>
        <w:t xml:space="preserve"> ($</w:t>
      </w:r>
      <w:r w:rsidR="00C530C8" w:rsidRPr="00B90A40">
        <w:rPr>
          <w:rFonts w:cs="Arial"/>
        </w:rPr>
        <w:t>19</w:t>
      </w:r>
      <w:r w:rsidR="008232A7" w:rsidRPr="00B90A40">
        <w:rPr>
          <w:rFonts w:cs="Arial"/>
        </w:rPr>
        <w:t>.</w:t>
      </w:r>
      <w:r w:rsidR="00C530C8" w:rsidRPr="00B90A40">
        <w:rPr>
          <w:rFonts w:cs="Arial"/>
        </w:rPr>
        <w:t>9</w:t>
      </w:r>
      <w:r w:rsidR="008232A7" w:rsidRPr="00B90A40">
        <w:rPr>
          <w:rFonts w:cs="Arial"/>
        </w:rPr>
        <w:t>28.000.000,oo</w:t>
      </w:r>
      <w:r w:rsidR="00107AFD" w:rsidRPr="00B90A40">
        <w:rPr>
          <w:rFonts w:cs="Arial"/>
          <w:sz w:val="22"/>
          <w:szCs w:val="22"/>
        </w:rPr>
        <w:t>)</w:t>
      </w:r>
      <w:r w:rsidR="00E103DF" w:rsidRPr="00B90A40">
        <w:rPr>
          <w:rFonts w:cs="Arial"/>
          <w:sz w:val="22"/>
          <w:szCs w:val="22"/>
        </w:rPr>
        <w:t>.</w:t>
      </w:r>
    </w:p>
    <w:p w14:paraId="464F3E05" w14:textId="77777777" w:rsidR="00051720" w:rsidRPr="00B90A40" w:rsidRDefault="00051720" w:rsidP="00197B9A">
      <w:pPr>
        <w:pStyle w:val="Prrafodelista"/>
        <w:spacing w:before="0" w:after="0" w:line="0" w:lineRule="atLeast"/>
        <w:ind w:left="567"/>
        <w:jc w:val="both"/>
        <w:rPr>
          <w:rFonts w:cs="Arial"/>
          <w:sz w:val="22"/>
          <w:szCs w:val="22"/>
        </w:rPr>
      </w:pPr>
    </w:p>
    <w:p w14:paraId="690B2413" w14:textId="77777777" w:rsidR="00AB5D1E" w:rsidRPr="007A6A32" w:rsidRDefault="00A778B6" w:rsidP="006D5285">
      <w:pPr>
        <w:pStyle w:val="Prrafodelista"/>
        <w:numPr>
          <w:ilvl w:val="0"/>
          <w:numId w:val="6"/>
        </w:numPr>
        <w:spacing w:before="0" w:after="0"/>
        <w:jc w:val="both"/>
        <w:rPr>
          <w:rFonts w:cs="Arial"/>
          <w:sz w:val="22"/>
          <w:szCs w:val="22"/>
        </w:rPr>
      </w:pPr>
      <w:r w:rsidRPr="00B90A40">
        <w:rPr>
          <w:rFonts w:cs="Arial"/>
          <w:sz w:val="22"/>
          <w:szCs w:val="22"/>
        </w:rPr>
        <w:t xml:space="preserve">Hasta la suma de </w:t>
      </w:r>
      <w:r w:rsidR="00CC4E4E" w:rsidRPr="00B90A40">
        <w:rPr>
          <w:rFonts w:cs="Arial"/>
          <w:sz w:val="22"/>
          <w:szCs w:val="22"/>
        </w:rPr>
        <w:t xml:space="preserve">MIL QUINIENTOS </w:t>
      </w:r>
      <w:r w:rsidRPr="00B90A40">
        <w:rPr>
          <w:rFonts w:cs="Arial"/>
          <w:sz w:val="22"/>
          <w:szCs w:val="22"/>
        </w:rPr>
        <w:t>MILLONES DE PESOS ($</w:t>
      </w:r>
      <w:r w:rsidR="00CC4E4E" w:rsidRPr="00B90A40">
        <w:rPr>
          <w:rFonts w:cs="Arial"/>
          <w:sz w:val="22"/>
          <w:szCs w:val="22"/>
        </w:rPr>
        <w:t>1.500.000.000</w:t>
      </w:r>
      <w:r w:rsidRPr="00B90A40">
        <w:rPr>
          <w:rFonts w:cs="Arial"/>
          <w:sz w:val="22"/>
          <w:szCs w:val="22"/>
        </w:rPr>
        <w:t>) para que FINAGRO adelante el programa de fomento a la gestión de riesgos agropecuarios, mediante el cual podrá realizar gestiones</w:t>
      </w:r>
      <w:r w:rsidRPr="0095395B">
        <w:rPr>
          <w:rFonts w:cs="Arial"/>
          <w:sz w:val="22"/>
          <w:szCs w:val="22"/>
        </w:rPr>
        <w:t xml:space="preserve"> tales como: recopilar y efectuar análisis de la información de riesgos agropecuarios, contratar estudios sobre la gestión del</w:t>
      </w:r>
      <w:r w:rsidRPr="007A6A32">
        <w:rPr>
          <w:rFonts w:cs="Arial"/>
          <w:sz w:val="22"/>
          <w:szCs w:val="22"/>
        </w:rPr>
        <w:t xml:space="preserve"> riesgo agropecuario, así como estudios sobre instrumentos de gestión y transferencia de riesgo; y el desarrollo de actividades de capacitación, socialización, divulgación, actualización e intercambio, entre otras, que contribuyan a la generación de capacidades dentro del sector agropecuario, sector asegurador, autoridades de regulación y supervisión</w:t>
      </w:r>
      <w:r w:rsidR="00D05628" w:rsidRPr="007A6A32">
        <w:rPr>
          <w:rFonts w:cs="Arial"/>
          <w:sz w:val="22"/>
          <w:szCs w:val="22"/>
        </w:rPr>
        <w:t>,</w:t>
      </w:r>
      <w:r w:rsidRPr="007A6A32">
        <w:rPr>
          <w:rFonts w:cs="Arial"/>
          <w:sz w:val="22"/>
          <w:szCs w:val="22"/>
        </w:rPr>
        <w:t xml:space="preserve"> y demás actores involucrados.</w:t>
      </w:r>
    </w:p>
    <w:p w14:paraId="6B73DA12" w14:textId="77777777" w:rsidR="00AB5D1E" w:rsidRPr="007A6A32" w:rsidRDefault="00AB5D1E" w:rsidP="00FB4F8E">
      <w:pPr>
        <w:spacing w:before="0" w:after="0" w:line="0" w:lineRule="atLeast"/>
        <w:jc w:val="both"/>
        <w:rPr>
          <w:rFonts w:cs="Arial"/>
          <w:bCs/>
          <w:color w:val="000000" w:themeColor="text1"/>
          <w:sz w:val="22"/>
          <w:szCs w:val="22"/>
        </w:rPr>
      </w:pPr>
    </w:p>
    <w:p w14:paraId="5681D754" w14:textId="77777777" w:rsidR="00AB5D1E" w:rsidRPr="007A6A32" w:rsidRDefault="00A778B6">
      <w:pPr>
        <w:spacing w:before="0" w:after="0" w:line="0" w:lineRule="atLeast"/>
        <w:jc w:val="both"/>
        <w:rPr>
          <w:rFonts w:cs="Arial"/>
          <w:color w:val="000000" w:themeColor="text1"/>
          <w:sz w:val="22"/>
          <w:szCs w:val="22"/>
        </w:rPr>
      </w:pPr>
      <w:r w:rsidRPr="007A6A32">
        <w:rPr>
          <w:rFonts w:cs="Arial"/>
          <w:bCs/>
          <w:color w:val="000000" w:themeColor="text1"/>
          <w:sz w:val="22"/>
          <w:szCs w:val="22"/>
        </w:rPr>
        <w:t>En todo caso, estos valores no podrán exceder el monto de recursos disponibles en el</w:t>
      </w:r>
      <w:r w:rsidRPr="007A6A32">
        <w:rPr>
          <w:rFonts w:cs="Arial"/>
          <w:i/>
          <w:color w:val="000000" w:themeColor="text1"/>
          <w:sz w:val="22"/>
          <w:szCs w:val="22"/>
          <w:lang w:eastAsia="es-CO"/>
        </w:rPr>
        <w:t xml:space="preserve"> </w:t>
      </w:r>
      <w:r w:rsidRPr="007A6A32">
        <w:rPr>
          <w:rFonts w:cs="Arial"/>
          <w:bCs/>
          <w:color w:val="000000" w:themeColor="text1"/>
          <w:sz w:val="22"/>
          <w:szCs w:val="22"/>
        </w:rPr>
        <w:t xml:space="preserve">FNRA. </w:t>
      </w:r>
    </w:p>
    <w:p w14:paraId="4E2E95D8" w14:textId="77777777" w:rsidR="00AB5D1E" w:rsidRPr="007A6A32" w:rsidRDefault="00AB5D1E">
      <w:pPr>
        <w:spacing w:before="0" w:after="0" w:line="0" w:lineRule="atLeast"/>
        <w:jc w:val="both"/>
        <w:rPr>
          <w:rFonts w:cs="Arial"/>
          <w:color w:val="000000" w:themeColor="text1"/>
          <w:sz w:val="22"/>
          <w:szCs w:val="22"/>
        </w:rPr>
      </w:pPr>
    </w:p>
    <w:p w14:paraId="6C37619F" w14:textId="77777777" w:rsidR="000824E5" w:rsidRPr="007A6A32" w:rsidRDefault="000824E5">
      <w:pPr>
        <w:spacing w:before="0" w:after="0" w:line="0" w:lineRule="atLeast"/>
        <w:jc w:val="both"/>
        <w:rPr>
          <w:rFonts w:cs="Arial"/>
          <w:color w:val="000000" w:themeColor="text1"/>
          <w:sz w:val="22"/>
          <w:szCs w:val="22"/>
        </w:rPr>
      </w:pPr>
      <w:r w:rsidRPr="007A6A32">
        <w:rPr>
          <w:rFonts w:cs="Arial"/>
          <w:b/>
          <w:color w:val="000000" w:themeColor="text1"/>
          <w:sz w:val="22"/>
          <w:szCs w:val="22"/>
        </w:rPr>
        <w:t xml:space="preserve">Parágrafo </w:t>
      </w:r>
      <w:r w:rsidR="003249AF" w:rsidRPr="007A6A32">
        <w:rPr>
          <w:rFonts w:cs="Arial"/>
          <w:b/>
          <w:color w:val="000000" w:themeColor="text1"/>
          <w:sz w:val="22"/>
          <w:szCs w:val="22"/>
        </w:rPr>
        <w:t>p</w:t>
      </w:r>
      <w:r w:rsidR="00ED1137" w:rsidRPr="007A6A32">
        <w:rPr>
          <w:rFonts w:cs="Arial"/>
          <w:b/>
          <w:color w:val="000000" w:themeColor="text1"/>
          <w:sz w:val="22"/>
          <w:szCs w:val="22"/>
        </w:rPr>
        <w:t>rimero</w:t>
      </w:r>
      <w:r w:rsidR="00C14E1F" w:rsidRPr="007A6A32">
        <w:rPr>
          <w:rFonts w:cs="Arial"/>
          <w:color w:val="000000" w:themeColor="text1"/>
          <w:sz w:val="22"/>
          <w:szCs w:val="22"/>
        </w:rPr>
        <w:t>.</w:t>
      </w:r>
      <w:r w:rsidRPr="007A6A32">
        <w:rPr>
          <w:rFonts w:cs="Arial"/>
          <w:color w:val="000000" w:themeColor="text1"/>
          <w:sz w:val="22"/>
          <w:szCs w:val="22"/>
        </w:rPr>
        <w:t xml:space="preserve"> Cuando la ejecución de alguna de las dos bolsas planteadas para el incentivo supere el 70%, se dispondrá una bolsa única a la cual </w:t>
      </w:r>
      <w:r w:rsidR="001B2E70" w:rsidRPr="007A6A32">
        <w:rPr>
          <w:rFonts w:cs="Arial"/>
          <w:color w:val="000000" w:themeColor="text1"/>
          <w:sz w:val="22"/>
          <w:szCs w:val="22"/>
        </w:rPr>
        <w:t>podrán entrar todas las pólizas.</w:t>
      </w:r>
    </w:p>
    <w:p w14:paraId="23A90F05" w14:textId="77777777" w:rsidR="00446A0E" w:rsidRPr="007A6A32" w:rsidRDefault="00446A0E">
      <w:pPr>
        <w:spacing w:before="0" w:after="0" w:line="0" w:lineRule="atLeast"/>
        <w:jc w:val="both"/>
        <w:rPr>
          <w:rFonts w:cs="Arial"/>
          <w:b/>
          <w:color w:val="000000" w:themeColor="text1"/>
          <w:sz w:val="22"/>
          <w:szCs w:val="22"/>
        </w:rPr>
      </w:pPr>
    </w:p>
    <w:p w14:paraId="27B1E8D7" w14:textId="1F576F57" w:rsidR="000824E5" w:rsidRPr="007A6A32" w:rsidRDefault="000824E5">
      <w:pPr>
        <w:spacing w:before="0" w:after="0" w:line="0" w:lineRule="atLeast"/>
        <w:jc w:val="both"/>
        <w:rPr>
          <w:rFonts w:cs="Arial"/>
          <w:color w:val="000000" w:themeColor="text1"/>
          <w:sz w:val="22"/>
          <w:szCs w:val="22"/>
        </w:rPr>
      </w:pPr>
      <w:r w:rsidRPr="007A6A32">
        <w:rPr>
          <w:rFonts w:cs="Arial"/>
          <w:b/>
          <w:color w:val="000000" w:themeColor="text1"/>
          <w:sz w:val="22"/>
          <w:szCs w:val="22"/>
        </w:rPr>
        <w:t xml:space="preserve">Parágrafo </w:t>
      </w:r>
      <w:r w:rsidR="003249AF" w:rsidRPr="007A6A32">
        <w:rPr>
          <w:rFonts w:cs="Arial"/>
          <w:b/>
          <w:color w:val="000000" w:themeColor="text1"/>
          <w:sz w:val="22"/>
          <w:szCs w:val="22"/>
        </w:rPr>
        <w:t>s</w:t>
      </w:r>
      <w:r w:rsidR="00ED1137" w:rsidRPr="007A6A32">
        <w:rPr>
          <w:rFonts w:cs="Arial"/>
          <w:b/>
          <w:color w:val="000000" w:themeColor="text1"/>
          <w:sz w:val="22"/>
          <w:szCs w:val="22"/>
        </w:rPr>
        <w:t>egundo</w:t>
      </w:r>
      <w:r w:rsidR="00C14E1F" w:rsidRPr="007A6A32">
        <w:rPr>
          <w:rFonts w:cs="Arial"/>
          <w:color w:val="000000" w:themeColor="text1"/>
          <w:sz w:val="22"/>
          <w:szCs w:val="22"/>
        </w:rPr>
        <w:t>.</w:t>
      </w:r>
      <w:r w:rsidRPr="007A6A32">
        <w:rPr>
          <w:rFonts w:cs="Arial"/>
          <w:color w:val="000000" w:themeColor="text1"/>
          <w:sz w:val="22"/>
          <w:szCs w:val="22"/>
        </w:rPr>
        <w:t xml:space="preserve"> </w:t>
      </w:r>
      <w:r w:rsidRPr="007A6A32">
        <w:rPr>
          <w:rFonts w:cs="Arial"/>
          <w:bCs/>
          <w:color w:val="000000" w:themeColor="text1"/>
          <w:sz w:val="22"/>
          <w:szCs w:val="22"/>
        </w:rPr>
        <w:t xml:space="preserve">El FNRA reconocerá por </w:t>
      </w:r>
      <w:r w:rsidRPr="002151F8">
        <w:rPr>
          <w:rFonts w:cs="Arial"/>
          <w:bCs/>
          <w:color w:val="000000" w:themeColor="text1"/>
          <w:sz w:val="22"/>
          <w:szCs w:val="22"/>
        </w:rPr>
        <w:t xml:space="preserve">concepto de administración a FINAGRO </w:t>
      </w:r>
      <w:r w:rsidRPr="002151F8">
        <w:rPr>
          <w:rFonts w:cs="Arial"/>
          <w:color w:val="000000" w:themeColor="text1"/>
          <w:sz w:val="22"/>
          <w:szCs w:val="22"/>
        </w:rPr>
        <w:t>el 1,5% sobre los recursos ejecutados del mencionado Plan.</w:t>
      </w:r>
    </w:p>
    <w:p w14:paraId="6F3E5885" w14:textId="77777777" w:rsidR="00AB5D1E" w:rsidRPr="007A6A32" w:rsidRDefault="00AB5D1E">
      <w:pPr>
        <w:spacing w:before="0" w:after="0" w:line="0" w:lineRule="atLeast"/>
        <w:jc w:val="both"/>
        <w:rPr>
          <w:rFonts w:cs="Arial"/>
          <w:color w:val="000000" w:themeColor="text1"/>
          <w:sz w:val="22"/>
          <w:szCs w:val="22"/>
        </w:rPr>
      </w:pPr>
    </w:p>
    <w:p w14:paraId="45D6CD0B" w14:textId="77777777" w:rsidR="00AB5D1E" w:rsidRPr="007A6A32" w:rsidRDefault="00A778B6">
      <w:pPr>
        <w:spacing w:before="0" w:after="0" w:line="0" w:lineRule="atLeast"/>
        <w:jc w:val="both"/>
        <w:rPr>
          <w:rFonts w:cs="Arial"/>
          <w:color w:val="000000" w:themeColor="text1"/>
          <w:sz w:val="22"/>
          <w:szCs w:val="22"/>
        </w:rPr>
      </w:pPr>
      <w:r w:rsidRPr="007A6A32">
        <w:rPr>
          <w:rFonts w:cs="Arial"/>
          <w:b/>
          <w:color w:val="000000" w:themeColor="text1"/>
          <w:sz w:val="22"/>
          <w:szCs w:val="22"/>
        </w:rPr>
        <w:t>Artículo</w:t>
      </w:r>
      <w:r w:rsidRPr="007A6A32">
        <w:rPr>
          <w:rFonts w:cs="Arial"/>
          <w:b/>
          <w:bCs/>
          <w:color w:val="000000" w:themeColor="text1"/>
          <w:sz w:val="22"/>
          <w:szCs w:val="22"/>
        </w:rPr>
        <w:t xml:space="preserve"> </w:t>
      </w:r>
      <w:r w:rsidR="00ED1137" w:rsidRPr="007A6A32">
        <w:rPr>
          <w:rFonts w:cs="Arial"/>
          <w:b/>
          <w:bCs/>
          <w:color w:val="000000" w:themeColor="text1"/>
          <w:sz w:val="22"/>
          <w:szCs w:val="22"/>
        </w:rPr>
        <w:t>2o</w:t>
      </w:r>
      <w:r w:rsidRPr="007A6A32">
        <w:rPr>
          <w:rFonts w:cs="Arial"/>
          <w:b/>
          <w:bCs/>
          <w:color w:val="000000" w:themeColor="text1"/>
          <w:sz w:val="22"/>
          <w:szCs w:val="22"/>
        </w:rPr>
        <w:t>.</w:t>
      </w:r>
      <w:r w:rsidRPr="007A6A32">
        <w:rPr>
          <w:rFonts w:cs="Arial"/>
          <w:color w:val="000000" w:themeColor="text1"/>
          <w:sz w:val="22"/>
          <w:szCs w:val="22"/>
        </w:rPr>
        <w:t xml:space="preserve"> </w:t>
      </w:r>
      <w:r w:rsidRPr="007A6A32">
        <w:rPr>
          <w:rFonts w:cs="Arial"/>
          <w:b/>
          <w:color w:val="000000" w:themeColor="text1"/>
          <w:sz w:val="22"/>
          <w:szCs w:val="22"/>
        </w:rPr>
        <w:t>Ámbito de aplicación</w:t>
      </w:r>
      <w:r w:rsidRPr="007A6A32">
        <w:rPr>
          <w:rFonts w:cs="Arial"/>
          <w:color w:val="000000" w:themeColor="text1"/>
          <w:sz w:val="22"/>
          <w:szCs w:val="22"/>
        </w:rPr>
        <w:t>. El ámbito de aplicación del seguro agropecuario será todo el Territorio Nacional.</w:t>
      </w:r>
    </w:p>
    <w:p w14:paraId="5C84FA08" w14:textId="77777777" w:rsidR="00AB5D1E" w:rsidRPr="007A6A32" w:rsidRDefault="00AB5D1E">
      <w:pPr>
        <w:spacing w:before="0" w:after="0"/>
        <w:jc w:val="both"/>
        <w:rPr>
          <w:rFonts w:cs="Arial"/>
          <w:color w:val="000000" w:themeColor="text1"/>
          <w:sz w:val="22"/>
          <w:szCs w:val="22"/>
        </w:rPr>
      </w:pPr>
    </w:p>
    <w:p w14:paraId="7478F958" w14:textId="77777777" w:rsidR="00AB5D1E" w:rsidRPr="007A6A32" w:rsidRDefault="00A778B6">
      <w:pPr>
        <w:spacing w:before="0" w:after="0"/>
        <w:jc w:val="both"/>
        <w:rPr>
          <w:rFonts w:cs="Arial"/>
          <w:bCs/>
          <w:color w:val="000000" w:themeColor="text1"/>
          <w:sz w:val="22"/>
          <w:szCs w:val="22"/>
        </w:rPr>
      </w:pPr>
      <w:r w:rsidRPr="007A6A32">
        <w:rPr>
          <w:rFonts w:cs="Arial"/>
          <w:b/>
          <w:color w:val="000000" w:themeColor="text1"/>
          <w:sz w:val="22"/>
          <w:szCs w:val="22"/>
        </w:rPr>
        <w:t xml:space="preserve">Artículo </w:t>
      </w:r>
      <w:r w:rsidRPr="007A6A32">
        <w:rPr>
          <w:rFonts w:cs="Arial"/>
          <w:b/>
          <w:bCs/>
          <w:color w:val="000000" w:themeColor="text1"/>
          <w:sz w:val="22"/>
          <w:szCs w:val="22"/>
        </w:rPr>
        <w:t>3</w:t>
      </w:r>
      <w:r w:rsidR="00ED1137" w:rsidRPr="007A6A32">
        <w:rPr>
          <w:rFonts w:cs="Arial"/>
          <w:b/>
          <w:bCs/>
          <w:color w:val="000000" w:themeColor="text1"/>
          <w:sz w:val="22"/>
          <w:szCs w:val="22"/>
        </w:rPr>
        <w:t>o</w:t>
      </w:r>
      <w:r w:rsidRPr="007A6A32">
        <w:rPr>
          <w:rFonts w:cs="Arial"/>
          <w:b/>
          <w:bCs/>
          <w:color w:val="000000" w:themeColor="text1"/>
          <w:sz w:val="22"/>
          <w:szCs w:val="22"/>
        </w:rPr>
        <w:t xml:space="preserve">. </w:t>
      </w:r>
      <w:r w:rsidRPr="007A6A32">
        <w:rPr>
          <w:rFonts w:cs="Arial"/>
          <w:b/>
          <w:color w:val="000000" w:themeColor="text1"/>
          <w:sz w:val="22"/>
          <w:szCs w:val="22"/>
        </w:rPr>
        <w:t>Actividades sujetas a incentivo</w:t>
      </w:r>
      <w:r w:rsidRPr="007A6A32">
        <w:rPr>
          <w:rFonts w:cs="Arial"/>
          <w:color w:val="000000" w:themeColor="text1"/>
          <w:sz w:val="22"/>
          <w:szCs w:val="22"/>
        </w:rPr>
        <w:t xml:space="preserve">. Se podrán asegurar con el beneficio del </w:t>
      </w:r>
      <w:r w:rsidR="006730CB" w:rsidRPr="007A6A32">
        <w:rPr>
          <w:rFonts w:cs="Arial"/>
          <w:color w:val="000000" w:themeColor="text1"/>
          <w:sz w:val="22"/>
          <w:szCs w:val="22"/>
        </w:rPr>
        <w:t>incentivo</w:t>
      </w:r>
      <w:r w:rsidRPr="007A6A32">
        <w:rPr>
          <w:rFonts w:cs="Arial"/>
          <w:color w:val="000000" w:themeColor="text1"/>
          <w:sz w:val="22"/>
          <w:szCs w:val="22"/>
        </w:rPr>
        <w:t xml:space="preserve"> al seguro agropecuario los cultivos agrícolas, las pasturas, las plantaciones forestales atendiendo lo establecido en el Decreto 1071 de 2015; así como las </w:t>
      </w:r>
      <w:r w:rsidRPr="007A6A32">
        <w:rPr>
          <w:rFonts w:cs="Arial"/>
          <w:bCs/>
          <w:color w:val="000000" w:themeColor="text1"/>
          <w:sz w:val="22"/>
          <w:szCs w:val="22"/>
        </w:rPr>
        <w:t xml:space="preserve">actividades pecuarias (incluidas las silvopastoriles), </w:t>
      </w:r>
      <w:r w:rsidRPr="007A6A32">
        <w:rPr>
          <w:rFonts w:cs="Arial"/>
          <w:bCs/>
          <w:sz w:val="22"/>
          <w:szCs w:val="22"/>
        </w:rPr>
        <w:t xml:space="preserve">piscícolas y acuícolas (incluida la camaronicultura). </w:t>
      </w:r>
      <w:r w:rsidRPr="007A6A32">
        <w:rPr>
          <w:rFonts w:cs="Arial"/>
          <w:bCs/>
          <w:color w:val="000000" w:themeColor="text1"/>
          <w:sz w:val="22"/>
          <w:szCs w:val="22"/>
        </w:rPr>
        <w:t xml:space="preserve">El Ministerio de Agricultura y Desarrollo Rural </w:t>
      </w:r>
      <w:r w:rsidR="00224E4F" w:rsidRPr="007A6A32">
        <w:rPr>
          <w:rFonts w:cs="Arial"/>
          <w:bCs/>
          <w:color w:val="000000" w:themeColor="text1"/>
          <w:sz w:val="22"/>
          <w:szCs w:val="22"/>
        </w:rPr>
        <w:t xml:space="preserve">– MADR, </w:t>
      </w:r>
      <w:r w:rsidRPr="007A6A32">
        <w:rPr>
          <w:rFonts w:cs="Arial"/>
          <w:bCs/>
          <w:color w:val="000000" w:themeColor="text1"/>
          <w:sz w:val="22"/>
          <w:szCs w:val="22"/>
        </w:rPr>
        <w:t>determinará el valor máximo a asegurar para estas actividades.</w:t>
      </w:r>
    </w:p>
    <w:p w14:paraId="60028925" w14:textId="77777777" w:rsidR="00AB5D1E" w:rsidRPr="007A6A32" w:rsidRDefault="00AB5D1E">
      <w:pPr>
        <w:spacing w:before="0" w:after="0"/>
        <w:jc w:val="both"/>
        <w:rPr>
          <w:rFonts w:cs="Arial"/>
          <w:bCs/>
          <w:color w:val="000000" w:themeColor="text1"/>
          <w:sz w:val="22"/>
          <w:szCs w:val="22"/>
        </w:rPr>
      </w:pPr>
    </w:p>
    <w:p w14:paraId="5C544B19" w14:textId="6EB02BCC" w:rsidR="00AB5D1E" w:rsidRPr="007A6A32" w:rsidRDefault="00A778B6">
      <w:pPr>
        <w:spacing w:before="0" w:after="0" w:line="0" w:lineRule="atLeast"/>
        <w:jc w:val="both"/>
        <w:rPr>
          <w:rFonts w:cs="Arial"/>
          <w:b/>
          <w:bCs/>
          <w:color w:val="000000" w:themeColor="text1"/>
          <w:sz w:val="22"/>
          <w:szCs w:val="22"/>
        </w:rPr>
      </w:pPr>
      <w:r w:rsidRPr="007A6A32">
        <w:rPr>
          <w:rFonts w:cs="Arial"/>
          <w:b/>
          <w:color w:val="000000" w:themeColor="text1"/>
          <w:sz w:val="22"/>
          <w:szCs w:val="22"/>
        </w:rPr>
        <w:lastRenderedPageBreak/>
        <w:t>Parágrafo</w:t>
      </w:r>
      <w:r w:rsidR="00C14E1F" w:rsidRPr="007A6A32">
        <w:rPr>
          <w:rFonts w:cs="Arial"/>
          <w:b/>
          <w:color w:val="000000" w:themeColor="text1"/>
          <w:sz w:val="22"/>
          <w:szCs w:val="22"/>
        </w:rPr>
        <w:t>.</w:t>
      </w:r>
      <w:r w:rsidRPr="007A6A32">
        <w:rPr>
          <w:rFonts w:cs="Arial"/>
          <w:b/>
          <w:color w:val="000000" w:themeColor="text1"/>
          <w:sz w:val="22"/>
          <w:szCs w:val="22"/>
        </w:rPr>
        <w:t xml:space="preserve"> </w:t>
      </w:r>
      <w:r w:rsidRPr="007A6A32">
        <w:rPr>
          <w:rFonts w:cs="Arial"/>
          <w:color w:val="000000" w:themeColor="text1"/>
          <w:sz w:val="22"/>
          <w:szCs w:val="22"/>
        </w:rPr>
        <w:t>Para</w:t>
      </w:r>
      <w:r w:rsidR="00D300C2">
        <w:rPr>
          <w:rFonts w:cs="Arial"/>
          <w:sz w:val="22"/>
          <w:szCs w:val="22"/>
        </w:rPr>
        <w:t xml:space="preserve"> aquellas actividades agropecuarias donde no se cuente con el valor máximo a asegurar</w:t>
      </w:r>
      <w:r w:rsidRPr="007A6A32">
        <w:rPr>
          <w:rFonts w:cs="Arial"/>
          <w:sz w:val="22"/>
          <w:szCs w:val="22"/>
        </w:rPr>
        <w:t>, las compañías aseguradoras deberán contar con el sustento técnico que justifique los criterios para la dete</w:t>
      </w:r>
      <w:r w:rsidR="000824E5" w:rsidRPr="007A6A32">
        <w:rPr>
          <w:rFonts w:cs="Arial"/>
          <w:sz w:val="22"/>
          <w:szCs w:val="22"/>
        </w:rPr>
        <w:t xml:space="preserve">rminación del valor asegurado. </w:t>
      </w:r>
      <w:r w:rsidR="00D05628" w:rsidRPr="007A6A32">
        <w:rPr>
          <w:rFonts w:cs="Arial"/>
          <w:sz w:val="22"/>
          <w:szCs w:val="22"/>
        </w:rPr>
        <w:t>É</w:t>
      </w:r>
      <w:r w:rsidR="000824E5" w:rsidRPr="007A6A32">
        <w:rPr>
          <w:rFonts w:cs="Arial"/>
          <w:sz w:val="22"/>
          <w:szCs w:val="22"/>
        </w:rPr>
        <w:t xml:space="preserve">ste </w:t>
      </w:r>
      <w:r w:rsidRPr="007A6A32">
        <w:rPr>
          <w:rFonts w:cs="Arial"/>
          <w:sz w:val="22"/>
          <w:szCs w:val="22"/>
        </w:rPr>
        <w:t>deberá</w:t>
      </w:r>
      <w:r w:rsidR="000824E5" w:rsidRPr="007A6A32">
        <w:rPr>
          <w:rFonts w:cs="Arial"/>
          <w:sz w:val="22"/>
          <w:szCs w:val="22"/>
        </w:rPr>
        <w:t xml:space="preserve"> ser</w:t>
      </w:r>
      <w:r w:rsidRPr="007A6A32">
        <w:rPr>
          <w:rFonts w:cs="Arial"/>
          <w:sz w:val="22"/>
          <w:szCs w:val="22"/>
        </w:rPr>
        <w:t xml:space="preserve"> envia</w:t>
      </w:r>
      <w:r w:rsidR="000824E5" w:rsidRPr="007A6A32">
        <w:rPr>
          <w:rFonts w:cs="Arial"/>
          <w:sz w:val="22"/>
          <w:szCs w:val="22"/>
        </w:rPr>
        <w:t>do</w:t>
      </w:r>
      <w:r w:rsidRPr="007A6A32">
        <w:rPr>
          <w:rFonts w:cs="Arial"/>
          <w:sz w:val="22"/>
          <w:szCs w:val="22"/>
        </w:rPr>
        <w:t xml:space="preserve"> a FINAGRO </w:t>
      </w:r>
      <w:r w:rsidR="00C465CA" w:rsidRPr="007A6A32">
        <w:rPr>
          <w:rFonts w:cs="Arial"/>
          <w:color w:val="000000" w:themeColor="text1"/>
          <w:sz w:val="22"/>
          <w:szCs w:val="22"/>
        </w:rPr>
        <w:t>para su análisis</w:t>
      </w:r>
      <w:r w:rsidR="00540E07" w:rsidRPr="007A6A32">
        <w:rPr>
          <w:rFonts w:cs="Arial"/>
          <w:color w:val="000000" w:themeColor="text1"/>
          <w:sz w:val="22"/>
          <w:szCs w:val="22"/>
        </w:rPr>
        <w:t>,</w:t>
      </w:r>
      <w:r w:rsidR="00C465CA" w:rsidRPr="007A6A32">
        <w:rPr>
          <w:rFonts w:cs="Arial"/>
          <w:color w:val="000000" w:themeColor="text1"/>
          <w:sz w:val="22"/>
          <w:szCs w:val="22"/>
        </w:rPr>
        <w:t xml:space="preserve"> </w:t>
      </w:r>
      <w:r w:rsidR="00540E07" w:rsidRPr="007A6A32">
        <w:rPr>
          <w:rFonts w:cs="Arial"/>
          <w:color w:val="000000" w:themeColor="text1"/>
          <w:sz w:val="22"/>
          <w:szCs w:val="22"/>
        </w:rPr>
        <w:t xml:space="preserve">con </w:t>
      </w:r>
      <w:r w:rsidRPr="007A6A32">
        <w:rPr>
          <w:rFonts w:cs="Arial"/>
          <w:color w:val="000000" w:themeColor="text1"/>
          <w:sz w:val="22"/>
          <w:szCs w:val="22"/>
        </w:rPr>
        <w:t xml:space="preserve">base en </w:t>
      </w:r>
      <w:r w:rsidR="001C3098" w:rsidRPr="007A6A32">
        <w:rPr>
          <w:rFonts w:cs="Arial"/>
          <w:color w:val="000000" w:themeColor="text1"/>
          <w:sz w:val="22"/>
          <w:szCs w:val="22"/>
        </w:rPr>
        <w:t xml:space="preserve">el </w:t>
      </w:r>
      <w:r w:rsidR="00540E07" w:rsidRPr="007A6A32">
        <w:rPr>
          <w:rFonts w:cs="Arial"/>
          <w:color w:val="000000" w:themeColor="text1"/>
          <w:sz w:val="22"/>
          <w:szCs w:val="22"/>
        </w:rPr>
        <w:t xml:space="preserve">cual </w:t>
      </w:r>
      <w:r w:rsidRPr="007A6A32">
        <w:rPr>
          <w:rFonts w:cs="Arial"/>
          <w:color w:val="000000" w:themeColor="text1"/>
          <w:sz w:val="22"/>
          <w:szCs w:val="22"/>
        </w:rPr>
        <w:t>el</w:t>
      </w:r>
      <w:r w:rsidRPr="007A6A32">
        <w:rPr>
          <w:rFonts w:cs="Arial"/>
          <w:bCs/>
          <w:color w:val="000000" w:themeColor="text1"/>
          <w:sz w:val="22"/>
          <w:szCs w:val="22"/>
        </w:rPr>
        <w:t xml:space="preserve"> </w:t>
      </w:r>
      <w:r w:rsidR="00224E4F" w:rsidRPr="007A6A32">
        <w:rPr>
          <w:rFonts w:cs="Arial"/>
          <w:bCs/>
          <w:color w:val="000000" w:themeColor="text1"/>
          <w:sz w:val="22"/>
          <w:szCs w:val="22"/>
        </w:rPr>
        <w:t>MADR</w:t>
      </w:r>
      <w:r w:rsidRPr="007A6A32">
        <w:rPr>
          <w:rFonts w:cs="Arial"/>
          <w:bCs/>
          <w:color w:val="000000" w:themeColor="text1"/>
          <w:sz w:val="22"/>
          <w:szCs w:val="22"/>
        </w:rPr>
        <w:t xml:space="preserve"> fijará el valor máximo de que trata el presente artículo. </w:t>
      </w:r>
    </w:p>
    <w:p w14:paraId="28D1E52F" w14:textId="77777777" w:rsidR="00AB5D1E" w:rsidRPr="007A6A32" w:rsidRDefault="00AB5D1E">
      <w:pPr>
        <w:spacing w:before="0" w:after="0" w:line="0" w:lineRule="atLeast"/>
        <w:jc w:val="both"/>
        <w:rPr>
          <w:rFonts w:cs="Arial"/>
          <w:b/>
          <w:bCs/>
          <w:color w:val="000000" w:themeColor="text1"/>
          <w:sz w:val="22"/>
          <w:szCs w:val="22"/>
        </w:rPr>
      </w:pPr>
    </w:p>
    <w:p w14:paraId="17521385" w14:textId="77777777" w:rsidR="00AB5D1E" w:rsidRPr="007A6A32" w:rsidRDefault="00A778B6">
      <w:pPr>
        <w:spacing w:before="0" w:after="0" w:line="0" w:lineRule="atLeast"/>
        <w:jc w:val="both"/>
        <w:rPr>
          <w:rFonts w:cs="Arial"/>
          <w:color w:val="000000" w:themeColor="text1"/>
          <w:sz w:val="22"/>
          <w:szCs w:val="22"/>
        </w:rPr>
      </w:pPr>
      <w:r w:rsidRPr="007A6A32">
        <w:rPr>
          <w:rFonts w:cs="Arial"/>
          <w:b/>
          <w:color w:val="000000" w:themeColor="text1"/>
          <w:sz w:val="22"/>
          <w:szCs w:val="22"/>
        </w:rPr>
        <w:t>Artículo 4</w:t>
      </w:r>
      <w:r w:rsidR="00533C81" w:rsidRPr="007A6A32">
        <w:rPr>
          <w:rFonts w:cs="Arial"/>
          <w:b/>
          <w:color w:val="000000" w:themeColor="text1"/>
          <w:sz w:val="22"/>
          <w:szCs w:val="22"/>
        </w:rPr>
        <w:t>o</w:t>
      </w:r>
      <w:r w:rsidRPr="007A6A32">
        <w:rPr>
          <w:rFonts w:cs="Arial"/>
          <w:b/>
          <w:color w:val="000000" w:themeColor="text1"/>
          <w:sz w:val="22"/>
          <w:szCs w:val="22"/>
        </w:rPr>
        <w:t>. Amparos sujetos de incentivo</w:t>
      </w:r>
      <w:r w:rsidR="007241F6" w:rsidRPr="007A6A32">
        <w:rPr>
          <w:rFonts w:cs="Arial"/>
          <w:color w:val="000000" w:themeColor="text1"/>
          <w:sz w:val="22"/>
          <w:szCs w:val="22"/>
        </w:rPr>
        <w:t>. El seguro agropecuario ampara</w:t>
      </w:r>
      <w:r w:rsidRPr="007A6A32">
        <w:rPr>
          <w:rFonts w:cs="Arial"/>
          <w:color w:val="000000" w:themeColor="text1"/>
          <w:sz w:val="22"/>
          <w:szCs w:val="22"/>
        </w:rPr>
        <w:t xml:space="preserve"> los perjuicios causados por riesgos naturales y biológicos, ajenos al control del tomador, asegurado o beneficiario que afecten las actividades agropecuarias. El </w:t>
      </w:r>
      <w:r w:rsidR="00224E4F" w:rsidRPr="007A6A32">
        <w:rPr>
          <w:rFonts w:cs="Arial"/>
          <w:color w:val="000000" w:themeColor="text1"/>
          <w:sz w:val="22"/>
          <w:szCs w:val="22"/>
        </w:rPr>
        <w:t xml:space="preserve">MADR </w:t>
      </w:r>
      <w:r w:rsidRPr="007A6A32">
        <w:rPr>
          <w:rFonts w:cs="Arial"/>
          <w:color w:val="000000" w:themeColor="text1"/>
          <w:sz w:val="22"/>
          <w:szCs w:val="22"/>
        </w:rPr>
        <w:t xml:space="preserve">reglamentará la aplicación de esta norma. </w:t>
      </w:r>
    </w:p>
    <w:p w14:paraId="42C387D1" w14:textId="77777777" w:rsidR="00AB5D1E" w:rsidRPr="007A6A32" w:rsidRDefault="00AB5D1E">
      <w:pPr>
        <w:spacing w:before="0" w:after="0" w:line="0" w:lineRule="atLeast"/>
        <w:jc w:val="center"/>
        <w:rPr>
          <w:rFonts w:cs="Arial"/>
          <w:b/>
          <w:bCs/>
          <w:color w:val="000000" w:themeColor="text1"/>
          <w:sz w:val="22"/>
          <w:szCs w:val="22"/>
        </w:rPr>
      </w:pPr>
    </w:p>
    <w:p w14:paraId="623E4719" w14:textId="77777777" w:rsidR="00AB5D1E" w:rsidRPr="007A6A32" w:rsidRDefault="00A778B6">
      <w:pPr>
        <w:spacing w:before="0" w:after="0" w:line="0" w:lineRule="atLeast"/>
        <w:jc w:val="both"/>
        <w:rPr>
          <w:rFonts w:cs="Arial"/>
          <w:color w:val="000000" w:themeColor="text1"/>
          <w:sz w:val="22"/>
          <w:szCs w:val="22"/>
        </w:rPr>
      </w:pPr>
      <w:r w:rsidRPr="007A6A32">
        <w:rPr>
          <w:rFonts w:cs="Arial"/>
          <w:b/>
          <w:color w:val="000000" w:themeColor="text1"/>
          <w:sz w:val="22"/>
          <w:szCs w:val="22"/>
        </w:rPr>
        <w:t xml:space="preserve">Artículo </w:t>
      </w:r>
      <w:r w:rsidRPr="007A6A32">
        <w:rPr>
          <w:rFonts w:cs="Arial"/>
          <w:b/>
          <w:bCs/>
          <w:color w:val="000000" w:themeColor="text1"/>
          <w:sz w:val="22"/>
          <w:szCs w:val="22"/>
        </w:rPr>
        <w:t>5</w:t>
      </w:r>
      <w:r w:rsidR="00533C81" w:rsidRPr="007A6A32">
        <w:rPr>
          <w:rFonts w:cs="Arial"/>
          <w:b/>
          <w:bCs/>
          <w:color w:val="000000" w:themeColor="text1"/>
          <w:sz w:val="22"/>
          <w:szCs w:val="22"/>
        </w:rPr>
        <w:t>o</w:t>
      </w:r>
      <w:r w:rsidRPr="007A6A32">
        <w:rPr>
          <w:rFonts w:cs="Arial"/>
          <w:b/>
          <w:bCs/>
          <w:color w:val="000000" w:themeColor="text1"/>
          <w:sz w:val="22"/>
          <w:szCs w:val="22"/>
        </w:rPr>
        <w:t xml:space="preserve">. </w:t>
      </w:r>
      <w:r w:rsidRPr="007A6A32">
        <w:rPr>
          <w:rFonts w:cs="Arial"/>
          <w:b/>
          <w:bCs/>
          <w:sz w:val="22"/>
          <w:szCs w:val="22"/>
        </w:rPr>
        <w:t>Incentivos</w:t>
      </w:r>
      <w:r w:rsidRPr="007A6A32">
        <w:rPr>
          <w:rFonts w:cs="Arial"/>
          <w:b/>
          <w:bCs/>
          <w:color w:val="000000" w:themeColor="text1"/>
          <w:sz w:val="22"/>
          <w:szCs w:val="22"/>
        </w:rPr>
        <w:t xml:space="preserve">. </w:t>
      </w:r>
      <w:r w:rsidRPr="007A6A32">
        <w:rPr>
          <w:rFonts w:cs="Arial"/>
          <w:bCs/>
          <w:color w:val="000000" w:themeColor="text1"/>
          <w:sz w:val="22"/>
          <w:szCs w:val="22"/>
        </w:rPr>
        <w:t xml:space="preserve">Con cargo a los recursos del FNRA </w:t>
      </w:r>
      <w:r w:rsidRPr="007A6A32">
        <w:rPr>
          <w:rFonts w:cs="Arial"/>
          <w:color w:val="000000" w:themeColor="text1"/>
          <w:sz w:val="22"/>
          <w:szCs w:val="22"/>
        </w:rPr>
        <w:t xml:space="preserve">se establece un </w:t>
      </w:r>
      <w:r w:rsidR="006730CB" w:rsidRPr="007A6A32">
        <w:rPr>
          <w:rFonts w:cs="Arial"/>
          <w:color w:val="000000" w:themeColor="text1"/>
          <w:sz w:val="22"/>
          <w:szCs w:val="22"/>
        </w:rPr>
        <w:t>incentivo</w:t>
      </w:r>
      <w:r w:rsidRPr="007A6A32">
        <w:rPr>
          <w:rFonts w:cs="Arial"/>
          <w:color w:val="000000" w:themeColor="text1"/>
          <w:sz w:val="22"/>
          <w:szCs w:val="22"/>
        </w:rPr>
        <w:t xml:space="preserve"> a l</w:t>
      </w:r>
      <w:r w:rsidR="001B2E70" w:rsidRPr="007A6A32">
        <w:rPr>
          <w:rFonts w:cs="Arial"/>
          <w:color w:val="000000" w:themeColor="text1"/>
          <w:sz w:val="22"/>
          <w:szCs w:val="22"/>
        </w:rPr>
        <w:t>a prima del seguro agropecuario</w:t>
      </w:r>
      <w:r w:rsidR="00D50B5E">
        <w:rPr>
          <w:rFonts w:cs="Arial"/>
          <w:color w:val="000000" w:themeColor="text1"/>
          <w:sz w:val="22"/>
          <w:szCs w:val="22"/>
        </w:rPr>
        <w:t xml:space="preserve"> – ISA, que podrá iniciar desde</w:t>
      </w:r>
      <w:r w:rsidR="00723D04" w:rsidRPr="007A6A32">
        <w:rPr>
          <w:rFonts w:cs="Arial"/>
          <w:color w:val="000000" w:themeColor="text1"/>
          <w:sz w:val="22"/>
          <w:szCs w:val="22"/>
        </w:rPr>
        <w:t xml:space="preserve"> </w:t>
      </w:r>
      <w:r w:rsidR="009408A9" w:rsidRPr="007A6A32">
        <w:rPr>
          <w:rFonts w:cs="Arial"/>
          <w:color w:val="000000" w:themeColor="text1"/>
          <w:sz w:val="22"/>
          <w:szCs w:val="22"/>
        </w:rPr>
        <w:t>5</w:t>
      </w:r>
      <w:r w:rsidR="004E6B65" w:rsidRPr="007A6A32">
        <w:rPr>
          <w:rFonts w:cs="Arial"/>
          <w:color w:val="000000" w:themeColor="text1"/>
          <w:sz w:val="22"/>
          <w:szCs w:val="22"/>
        </w:rPr>
        <w:t>0</w:t>
      </w:r>
      <w:r w:rsidRPr="007A6A32">
        <w:rPr>
          <w:rFonts w:cs="Arial"/>
          <w:color w:val="000000" w:themeColor="text1"/>
          <w:sz w:val="22"/>
          <w:szCs w:val="22"/>
        </w:rPr>
        <w:t xml:space="preserve">% sobre la prima neta </w:t>
      </w:r>
      <w:r w:rsidR="00D50B5E">
        <w:rPr>
          <w:rFonts w:cs="Arial"/>
          <w:color w:val="000000" w:themeColor="text1"/>
          <w:sz w:val="22"/>
          <w:szCs w:val="22"/>
        </w:rPr>
        <w:t xml:space="preserve">y alcanzar un porcentaje de incentivo máximo de </w:t>
      </w:r>
      <w:r w:rsidR="00390367">
        <w:rPr>
          <w:rFonts w:cs="Arial"/>
          <w:color w:val="000000" w:themeColor="text1"/>
          <w:sz w:val="22"/>
          <w:szCs w:val="22"/>
        </w:rPr>
        <w:t>9</w:t>
      </w:r>
      <w:r w:rsidR="00D50B5E">
        <w:rPr>
          <w:rFonts w:cs="Arial"/>
          <w:color w:val="000000" w:themeColor="text1"/>
          <w:sz w:val="22"/>
          <w:szCs w:val="22"/>
        </w:rPr>
        <w:t xml:space="preserve">0% (sujeto a las condiciones establecidas por el MADR) </w:t>
      </w:r>
      <w:r w:rsidRPr="007A6A32">
        <w:rPr>
          <w:rFonts w:cs="Arial"/>
          <w:color w:val="000000" w:themeColor="text1"/>
          <w:sz w:val="22"/>
          <w:szCs w:val="22"/>
        </w:rPr>
        <w:t>que se aplicará en su totalidad al inicio de la vigencia de la póliza.</w:t>
      </w:r>
    </w:p>
    <w:p w14:paraId="0A3A72AF" w14:textId="77777777" w:rsidR="00AB5D1E" w:rsidRPr="007A6A32" w:rsidRDefault="00AB5D1E">
      <w:pPr>
        <w:spacing w:before="0" w:after="0" w:line="0" w:lineRule="atLeast"/>
        <w:jc w:val="both"/>
        <w:rPr>
          <w:rFonts w:cs="Arial"/>
          <w:color w:val="000000" w:themeColor="text1"/>
          <w:sz w:val="22"/>
          <w:szCs w:val="22"/>
        </w:rPr>
      </w:pPr>
    </w:p>
    <w:p w14:paraId="7F4E6CED" w14:textId="77777777" w:rsidR="00D50B5E" w:rsidRDefault="00D50B5E">
      <w:pPr>
        <w:spacing w:before="0" w:after="0" w:line="0" w:lineRule="atLeast"/>
        <w:jc w:val="both"/>
        <w:rPr>
          <w:rFonts w:cs="Arial"/>
          <w:color w:val="000000" w:themeColor="text1"/>
          <w:sz w:val="22"/>
          <w:szCs w:val="22"/>
        </w:rPr>
      </w:pPr>
      <w:r>
        <w:rPr>
          <w:rFonts w:cs="Arial"/>
          <w:color w:val="000000" w:themeColor="text1"/>
          <w:sz w:val="22"/>
          <w:szCs w:val="22"/>
        </w:rPr>
        <w:t>Los porcentajes del incentivo al seguro agropecuario por tipo de productor quedarán de la siguiente forma:</w:t>
      </w:r>
    </w:p>
    <w:p w14:paraId="7EB5B9A1" w14:textId="77777777" w:rsidR="00D50B5E" w:rsidRDefault="00D50B5E">
      <w:pPr>
        <w:spacing w:before="0" w:after="0" w:line="0" w:lineRule="atLeast"/>
        <w:jc w:val="both"/>
        <w:rPr>
          <w:rFonts w:cs="Arial"/>
          <w:color w:val="000000" w:themeColor="text1"/>
          <w:sz w:val="22"/>
          <w:szCs w:val="22"/>
        </w:rPr>
      </w:pPr>
    </w:p>
    <w:p w14:paraId="1C9F474F" w14:textId="77777777" w:rsidR="00D50B5E" w:rsidRDefault="00D50B5E">
      <w:pPr>
        <w:spacing w:before="0" w:after="0" w:line="0" w:lineRule="atLeast"/>
        <w:jc w:val="both"/>
        <w:rPr>
          <w:rFonts w:cs="Arial"/>
          <w:color w:val="000000" w:themeColor="text1"/>
          <w:sz w:val="22"/>
          <w:szCs w:val="22"/>
        </w:rPr>
      </w:pPr>
    </w:p>
    <w:tbl>
      <w:tblPr>
        <w:tblStyle w:val="Tablaconcuadrcula5oscura-nfasis6"/>
        <w:tblW w:w="0" w:type="auto"/>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18"/>
        <w:gridCol w:w="1249"/>
      </w:tblGrid>
      <w:tr w:rsidR="00D50B5E" w14:paraId="4B2E448F" w14:textId="77777777" w:rsidTr="003903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right w:val="none" w:sz="0" w:space="0" w:color="auto"/>
            </w:tcBorders>
            <w:shd w:val="clear" w:color="auto" w:fill="F2F2F2" w:themeFill="background1" w:themeFillShade="F2"/>
          </w:tcPr>
          <w:p w14:paraId="257F51E1" w14:textId="77777777" w:rsidR="00D50B5E" w:rsidRDefault="00D50B5E">
            <w:pPr>
              <w:spacing w:before="0" w:after="0" w:line="0" w:lineRule="atLeast"/>
              <w:jc w:val="center"/>
              <w:rPr>
                <w:rFonts w:cs="Arial"/>
                <w:color w:val="000000" w:themeColor="text1"/>
                <w:sz w:val="22"/>
                <w:szCs w:val="22"/>
              </w:rPr>
            </w:pPr>
            <w:r>
              <w:rPr>
                <w:rFonts w:cs="Arial"/>
                <w:color w:val="000000" w:themeColor="text1"/>
                <w:sz w:val="22"/>
                <w:szCs w:val="22"/>
              </w:rPr>
              <w:t>TIPO DE PRODUCTOR</w:t>
            </w:r>
          </w:p>
        </w:tc>
        <w:tc>
          <w:tcPr>
            <w:tcW w:w="1418" w:type="dxa"/>
            <w:tcBorders>
              <w:top w:val="none" w:sz="0" w:space="0" w:color="auto"/>
              <w:left w:val="none" w:sz="0" w:space="0" w:color="auto"/>
              <w:right w:val="none" w:sz="0" w:space="0" w:color="auto"/>
            </w:tcBorders>
            <w:shd w:val="clear" w:color="auto" w:fill="F2F2F2" w:themeFill="background1" w:themeFillShade="F2"/>
          </w:tcPr>
          <w:p w14:paraId="2074F6B6" w14:textId="77777777" w:rsidR="00D50B5E" w:rsidRDefault="00D50B5E">
            <w:pPr>
              <w:spacing w:before="0" w:after="0" w:line="0" w:lineRule="atLeast"/>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ISA MÍNIMO</w:t>
            </w:r>
          </w:p>
        </w:tc>
        <w:tc>
          <w:tcPr>
            <w:tcW w:w="1249" w:type="dxa"/>
            <w:tcBorders>
              <w:top w:val="none" w:sz="0" w:space="0" w:color="auto"/>
              <w:left w:val="none" w:sz="0" w:space="0" w:color="auto"/>
              <w:right w:val="none" w:sz="0" w:space="0" w:color="auto"/>
            </w:tcBorders>
            <w:shd w:val="clear" w:color="auto" w:fill="F2F2F2" w:themeFill="background1" w:themeFillShade="F2"/>
            <w:vAlign w:val="center"/>
          </w:tcPr>
          <w:p w14:paraId="42297304" w14:textId="77777777" w:rsidR="00D50B5E" w:rsidRDefault="00D50B5E">
            <w:pPr>
              <w:spacing w:before="0" w:after="0" w:line="0" w:lineRule="atLeast"/>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ISA MÁXIMO</w:t>
            </w:r>
          </w:p>
        </w:tc>
      </w:tr>
      <w:tr w:rsidR="00D50B5E" w14:paraId="1D79548F" w14:textId="77777777" w:rsidTr="00390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auto"/>
          </w:tcPr>
          <w:p w14:paraId="4908EF33" w14:textId="77777777" w:rsidR="00D50B5E" w:rsidRDefault="00D50B5E" w:rsidP="00FB4F8E">
            <w:pPr>
              <w:spacing w:before="0" w:after="0" w:line="0" w:lineRule="atLeast"/>
              <w:jc w:val="both"/>
              <w:rPr>
                <w:rFonts w:cs="Arial"/>
                <w:color w:val="000000" w:themeColor="text1"/>
                <w:sz w:val="22"/>
                <w:szCs w:val="22"/>
              </w:rPr>
            </w:pPr>
            <w:r>
              <w:rPr>
                <w:rFonts w:cs="Arial"/>
                <w:color w:val="000000" w:themeColor="text1"/>
                <w:sz w:val="22"/>
                <w:szCs w:val="22"/>
              </w:rPr>
              <w:t>Pequeño productor</w:t>
            </w:r>
          </w:p>
        </w:tc>
        <w:tc>
          <w:tcPr>
            <w:tcW w:w="1418" w:type="dxa"/>
            <w:shd w:val="clear" w:color="auto" w:fill="auto"/>
          </w:tcPr>
          <w:p w14:paraId="76CD5BC7" w14:textId="77777777" w:rsidR="00D50B5E" w:rsidRDefault="00390367">
            <w:pPr>
              <w:spacing w:before="0" w:after="0" w:line="0" w:lineRule="atLeast"/>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7</w:t>
            </w:r>
            <w:r w:rsidR="00D50B5E">
              <w:rPr>
                <w:rFonts w:cs="Arial"/>
                <w:color w:val="000000" w:themeColor="text1"/>
                <w:sz w:val="22"/>
                <w:szCs w:val="22"/>
              </w:rPr>
              <w:t>0%</w:t>
            </w:r>
          </w:p>
        </w:tc>
        <w:tc>
          <w:tcPr>
            <w:tcW w:w="1249" w:type="dxa"/>
            <w:shd w:val="clear" w:color="auto" w:fill="auto"/>
          </w:tcPr>
          <w:p w14:paraId="3F46E2D8" w14:textId="77777777" w:rsidR="00D50B5E" w:rsidRDefault="00390367">
            <w:pPr>
              <w:spacing w:before="0" w:after="0" w:line="0" w:lineRule="atLeast"/>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9</w:t>
            </w:r>
            <w:r w:rsidR="00D50B5E">
              <w:rPr>
                <w:rFonts w:cs="Arial"/>
                <w:color w:val="000000" w:themeColor="text1"/>
                <w:sz w:val="22"/>
                <w:szCs w:val="22"/>
              </w:rPr>
              <w:t>0%</w:t>
            </w:r>
          </w:p>
        </w:tc>
      </w:tr>
      <w:tr w:rsidR="00D50B5E" w14:paraId="20B7876A" w14:textId="77777777" w:rsidTr="00390367">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auto"/>
          </w:tcPr>
          <w:p w14:paraId="52ADAE7E" w14:textId="77777777" w:rsidR="00D50B5E" w:rsidRDefault="00D50B5E" w:rsidP="00FB4F8E">
            <w:pPr>
              <w:spacing w:before="0" w:after="0" w:line="0" w:lineRule="atLeast"/>
              <w:jc w:val="both"/>
              <w:rPr>
                <w:rFonts w:cs="Arial"/>
                <w:color w:val="000000" w:themeColor="text1"/>
                <w:sz w:val="22"/>
                <w:szCs w:val="22"/>
              </w:rPr>
            </w:pPr>
            <w:r>
              <w:rPr>
                <w:rFonts w:cs="Arial"/>
                <w:color w:val="000000" w:themeColor="text1"/>
                <w:sz w:val="22"/>
                <w:szCs w:val="22"/>
              </w:rPr>
              <w:t>Mediano productor</w:t>
            </w:r>
          </w:p>
        </w:tc>
        <w:tc>
          <w:tcPr>
            <w:tcW w:w="1418" w:type="dxa"/>
            <w:shd w:val="clear" w:color="auto" w:fill="auto"/>
          </w:tcPr>
          <w:p w14:paraId="6C0BE89E" w14:textId="77777777" w:rsidR="00D50B5E" w:rsidRDefault="00D50B5E">
            <w:pPr>
              <w:spacing w:before="0" w:after="0" w:line="0" w:lineRule="atLeast"/>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50%</w:t>
            </w:r>
          </w:p>
        </w:tc>
        <w:tc>
          <w:tcPr>
            <w:tcW w:w="1249" w:type="dxa"/>
            <w:shd w:val="clear" w:color="auto" w:fill="auto"/>
          </w:tcPr>
          <w:p w14:paraId="1FE7F53A" w14:textId="77777777" w:rsidR="00D50B5E" w:rsidRDefault="00390367">
            <w:pPr>
              <w:spacing w:before="0" w:after="0" w:line="0" w:lineRule="atLeast"/>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7</w:t>
            </w:r>
            <w:r w:rsidR="00D50B5E">
              <w:rPr>
                <w:rFonts w:cs="Arial"/>
                <w:color w:val="000000" w:themeColor="text1"/>
                <w:sz w:val="22"/>
                <w:szCs w:val="22"/>
              </w:rPr>
              <w:t>0%</w:t>
            </w:r>
          </w:p>
        </w:tc>
      </w:tr>
      <w:tr w:rsidR="00D50B5E" w14:paraId="6B65CCC7" w14:textId="77777777" w:rsidTr="00390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bottom w:val="none" w:sz="0" w:space="0" w:color="auto"/>
            </w:tcBorders>
            <w:shd w:val="clear" w:color="auto" w:fill="auto"/>
          </w:tcPr>
          <w:p w14:paraId="3BD2C314" w14:textId="77777777" w:rsidR="00D50B5E" w:rsidRDefault="00CA3B56" w:rsidP="00FB4F8E">
            <w:pPr>
              <w:spacing w:before="0" w:after="0" w:line="0" w:lineRule="atLeast"/>
              <w:jc w:val="both"/>
              <w:rPr>
                <w:rFonts w:cs="Arial"/>
                <w:color w:val="000000" w:themeColor="text1"/>
                <w:sz w:val="22"/>
                <w:szCs w:val="22"/>
              </w:rPr>
            </w:pPr>
            <w:r>
              <w:rPr>
                <w:rFonts w:cs="Arial"/>
                <w:color w:val="000000" w:themeColor="text1"/>
                <w:sz w:val="22"/>
                <w:szCs w:val="22"/>
              </w:rPr>
              <w:t>Grande productor</w:t>
            </w:r>
          </w:p>
        </w:tc>
        <w:tc>
          <w:tcPr>
            <w:tcW w:w="1418" w:type="dxa"/>
            <w:shd w:val="clear" w:color="auto" w:fill="auto"/>
          </w:tcPr>
          <w:p w14:paraId="1F929A61" w14:textId="77777777" w:rsidR="00D50B5E" w:rsidRDefault="00CA3B56">
            <w:pPr>
              <w:spacing w:before="0" w:after="0" w:line="0" w:lineRule="atLeast"/>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50%</w:t>
            </w:r>
          </w:p>
        </w:tc>
        <w:tc>
          <w:tcPr>
            <w:tcW w:w="1249" w:type="dxa"/>
            <w:shd w:val="clear" w:color="auto" w:fill="auto"/>
          </w:tcPr>
          <w:p w14:paraId="563932FC" w14:textId="77777777" w:rsidR="00D50B5E" w:rsidRDefault="00390367">
            <w:pPr>
              <w:spacing w:before="0" w:after="0" w:line="0" w:lineRule="atLeast"/>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7</w:t>
            </w:r>
            <w:r w:rsidR="00CA3B56">
              <w:rPr>
                <w:rFonts w:cs="Arial"/>
                <w:color w:val="000000" w:themeColor="text1"/>
                <w:sz w:val="22"/>
                <w:szCs w:val="22"/>
              </w:rPr>
              <w:t>0%</w:t>
            </w:r>
          </w:p>
        </w:tc>
      </w:tr>
    </w:tbl>
    <w:p w14:paraId="3B6DE953" w14:textId="77777777" w:rsidR="00D50B5E" w:rsidRDefault="00D50B5E" w:rsidP="00FB4F8E">
      <w:pPr>
        <w:spacing w:before="0" w:after="0" w:line="0" w:lineRule="atLeast"/>
        <w:jc w:val="both"/>
        <w:rPr>
          <w:rFonts w:cs="Arial"/>
          <w:color w:val="000000" w:themeColor="text1"/>
          <w:sz w:val="22"/>
          <w:szCs w:val="22"/>
        </w:rPr>
      </w:pPr>
    </w:p>
    <w:p w14:paraId="029CF8E3" w14:textId="02960FF8" w:rsidR="00CA3B56" w:rsidRPr="00B90A40" w:rsidRDefault="00CA3B56">
      <w:pPr>
        <w:spacing w:before="0" w:after="0" w:line="0" w:lineRule="atLeast"/>
        <w:jc w:val="both"/>
        <w:rPr>
          <w:rFonts w:cs="Arial"/>
          <w:color w:val="000000" w:themeColor="text1"/>
          <w:sz w:val="22"/>
          <w:szCs w:val="22"/>
        </w:rPr>
      </w:pPr>
      <w:r>
        <w:rPr>
          <w:rFonts w:cs="Arial"/>
          <w:color w:val="000000" w:themeColor="text1"/>
          <w:sz w:val="22"/>
          <w:szCs w:val="22"/>
        </w:rPr>
        <w:t xml:space="preserve">El </w:t>
      </w:r>
      <w:r w:rsidRPr="00B90A40">
        <w:rPr>
          <w:rFonts w:cs="Arial"/>
          <w:color w:val="000000" w:themeColor="text1"/>
          <w:sz w:val="22"/>
          <w:szCs w:val="22"/>
        </w:rPr>
        <w:t xml:space="preserve">MADR mediante resolución de carácter general señalará, dentro de los límites establecidos en el presente artículo, las condiciones que deben acreditarse para el otorgamiento del incentivo adicional a la prima del seguro agropecuario. Para este efecto, el MADR </w:t>
      </w:r>
      <w:r w:rsidR="00F84235" w:rsidRPr="00B90A40">
        <w:rPr>
          <w:rFonts w:cs="Arial"/>
          <w:color w:val="000000" w:themeColor="text1"/>
          <w:sz w:val="22"/>
          <w:szCs w:val="22"/>
        </w:rPr>
        <w:t>deberá</w:t>
      </w:r>
      <w:r w:rsidRPr="00B90A40">
        <w:rPr>
          <w:rFonts w:cs="Arial"/>
          <w:color w:val="000000" w:themeColor="text1"/>
          <w:sz w:val="22"/>
          <w:szCs w:val="22"/>
        </w:rPr>
        <w:t xml:space="preserve"> tener en cuenta</w:t>
      </w:r>
      <w:r w:rsidR="00390367" w:rsidRPr="00B90A40">
        <w:rPr>
          <w:rFonts w:cs="Arial"/>
          <w:color w:val="000000" w:themeColor="text1"/>
          <w:sz w:val="22"/>
          <w:szCs w:val="22"/>
        </w:rPr>
        <w:t xml:space="preserve">: </w:t>
      </w:r>
      <w:r w:rsidR="00E778AE" w:rsidRPr="00B90A40">
        <w:rPr>
          <w:rFonts w:cs="Arial"/>
          <w:color w:val="000000" w:themeColor="text1"/>
          <w:sz w:val="22"/>
          <w:szCs w:val="22"/>
        </w:rPr>
        <w:t>la ampliación de actividades objeto de seguro agropecuario</w:t>
      </w:r>
      <w:r w:rsidR="00E778AE" w:rsidRPr="00B90A40">
        <w:rPr>
          <w:rFonts w:cs="Arial"/>
        </w:rPr>
        <w:t>,</w:t>
      </w:r>
      <w:r w:rsidR="00E778AE" w:rsidRPr="00B90A40">
        <w:rPr>
          <w:rFonts w:cs="Arial"/>
          <w:color w:val="000000" w:themeColor="text1"/>
          <w:sz w:val="22"/>
          <w:szCs w:val="22"/>
        </w:rPr>
        <w:t xml:space="preserve"> </w:t>
      </w:r>
      <w:r w:rsidRPr="00B90A40">
        <w:rPr>
          <w:rFonts w:cs="Arial"/>
          <w:color w:val="000000" w:themeColor="text1"/>
          <w:sz w:val="22"/>
          <w:szCs w:val="22"/>
        </w:rPr>
        <w:t>la inclusión de nuevos usuarios; el uso del esqu</w:t>
      </w:r>
      <w:r w:rsidR="00390367" w:rsidRPr="00B90A40">
        <w:rPr>
          <w:rFonts w:cs="Arial"/>
          <w:color w:val="000000" w:themeColor="text1"/>
          <w:sz w:val="22"/>
          <w:szCs w:val="22"/>
        </w:rPr>
        <w:t>ema de agricultura por contrato,</w:t>
      </w:r>
      <w:r w:rsidRPr="00B90A40">
        <w:rPr>
          <w:rFonts w:cs="Arial"/>
          <w:color w:val="000000" w:themeColor="text1"/>
          <w:sz w:val="22"/>
          <w:szCs w:val="22"/>
        </w:rPr>
        <w:t xml:space="preserve"> los clústeres productivos defin</w:t>
      </w:r>
      <w:r w:rsidR="00B95624" w:rsidRPr="00B90A40">
        <w:rPr>
          <w:rFonts w:cs="Arial"/>
          <w:color w:val="000000" w:themeColor="text1"/>
          <w:sz w:val="22"/>
          <w:szCs w:val="22"/>
        </w:rPr>
        <w:t>i</w:t>
      </w:r>
      <w:r w:rsidRPr="00B90A40">
        <w:rPr>
          <w:rFonts w:cs="Arial"/>
          <w:color w:val="000000" w:themeColor="text1"/>
          <w:sz w:val="22"/>
          <w:szCs w:val="22"/>
        </w:rPr>
        <w:t>dos por la Unidad de Planific</w:t>
      </w:r>
      <w:r w:rsidR="00390367" w:rsidRPr="00B90A40">
        <w:rPr>
          <w:rFonts w:cs="Arial"/>
          <w:color w:val="000000" w:themeColor="text1"/>
          <w:sz w:val="22"/>
          <w:szCs w:val="22"/>
        </w:rPr>
        <w:t xml:space="preserve">ación Rural Agropecuaria – UPRA; </w:t>
      </w:r>
      <w:r w:rsidR="00556BE5" w:rsidRPr="00B90A40">
        <w:rPr>
          <w:rFonts w:cs="Arial"/>
          <w:color w:val="000000" w:themeColor="text1"/>
          <w:sz w:val="22"/>
          <w:szCs w:val="22"/>
        </w:rPr>
        <w:t>el cumplimiento de los protocolos de bioseguridad especificados por el ICA</w:t>
      </w:r>
      <w:r w:rsidR="00390367" w:rsidRPr="00B90A40">
        <w:rPr>
          <w:rFonts w:cs="Arial"/>
          <w:color w:val="000000" w:themeColor="text1"/>
          <w:sz w:val="22"/>
          <w:szCs w:val="22"/>
        </w:rPr>
        <w:t xml:space="preserve"> y la situación geográfica de los mismos dentro de municipios catalogados como PDET o ZOMAC.</w:t>
      </w:r>
    </w:p>
    <w:p w14:paraId="5B04C6DF" w14:textId="77777777" w:rsidR="00D50B5E" w:rsidRPr="00B90A40" w:rsidRDefault="00D50B5E">
      <w:pPr>
        <w:spacing w:before="0" w:after="0" w:line="0" w:lineRule="atLeast"/>
        <w:jc w:val="both"/>
        <w:rPr>
          <w:rFonts w:cs="Arial"/>
          <w:color w:val="000000" w:themeColor="text1"/>
          <w:sz w:val="22"/>
          <w:szCs w:val="22"/>
        </w:rPr>
      </w:pPr>
    </w:p>
    <w:p w14:paraId="614E51DF" w14:textId="77777777" w:rsidR="00AB5D1E" w:rsidRPr="007A6A32" w:rsidRDefault="00A778B6">
      <w:pPr>
        <w:spacing w:before="0" w:after="0" w:line="0" w:lineRule="atLeast"/>
        <w:jc w:val="both"/>
        <w:rPr>
          <w:rFonts w:cs="Arial"/>
          <w:color w:val="000000" w:themeColor="text1"/>
          <w:sz w:val="22"/>
          <w:szCs w:val="22"/>
        </w:rPr>
      </w:pPr>
      <w:r w:rsidRPr="00B90A40">
        <w:rPr>
          <w:rFonts w:cs="Arial"/>
          <w:b/>
          <w:color w:val="000000" w:themeColor="text1"/>
          <w:sz w:val="22"/>
          <w:szCs w:val="22"/>
        </w:rPr>
        <w:t xml:space="preserve">Artículo </w:t>
      </w:r>
      <w:r w:rsidRPr="00B90A40">
        <w:rPr>
          <w:rFonts w:cs="Arial"/>
          <w:b/>
          <w:bCs/>
          <w:color w:val="000000" w:themeColor="text1"/>
          <w:sz w:val="22"/>
          <w:szCs w:val="22"/>
        </w:rPr>
        <w:t>6</w:t>
      </w:r>
      <w:r w:rsidR="003249AF" w:rsidRPr="00B90A40">
        <w:rPr>
          <w:rFonts w:cs="Arial"/>
          <w:b/>
          <w:color w:val="000000" w:themeColor="text1"/>
          <w:sz w:val="22"/>
          <w:szCs w:val="22"/>
        </w:rPr>
        <w:t>o</w:t>
      </w:r>
      <w:r w:rsidRPr="00B90A40">
        <w:rPr>
          <w:rFonts w:cs="Arial"/>
          <w:b/>
          <w:bCs/>
          <w:color w:val="000000" w:themeColor="text1"/>
          <w:sz w:val="22"/>
          <w:szCs w:val="22"/>
        </w:rPr>
        <w:t xml:space="preserve">. Costos asumidos por el productor. </w:t>
      </w:r>
      <w:r w:rsidRPr="00B90A40">
        <w:rPr>
          <w:rFonts w:cs="Arial"/>
          <w:iCs/>
          <w:color w:val="000000" w:themeColor="text1"/>
          <w:sz w:val="22"/>
          <w:szCs w:val="22"/>
        </w:rPr>
        <w:t>Los productores agropecuarios pagarán a la entidad aseguradora el porcentaje del valor de la prima a su cargo, incluyendo el Impuesto al Valor Agregado – IVA</w:t>
      </w:r>
      <w:r w:rsidRPr="007A6A32">
        <w:rPr>
          <w:rFonts w:cs="Arial"/>
          <w:iCs/>
          <w:color w:val="000000" w:themeColor="text1"/>
          <w:sz w:val="22"/>
          <w:szCs w:val="22"/>
        </w:rPr>
        <w:t xml:space="preserve"> que se genere como producto de la suscripción de la póliza. </w:t>
      </w:r>
    </w:p>
    <w:p w14:paraId="14A7C855" w14:textId="77777777" w:rsidR="00AB5D1E" w:rsidRPr="007A6A32" w:rsidRDefault="00AB5D1E">
      <w:pPr>
        <w:spacing w:before="0" w:after="0" w:line="0" w:lineRule="atLeast"/>
        <w:jc w:val="both"/>
        <w:rPr>
          <w:rFonts w:cs="Arial"/>
          <w:b/>
          <w:color w:val="000000" w:themeColor="text1"/>
          <w:sz w:val="22"/>
          <w:szCs w:val="22"/>
        </w:rPr>
      </w:pPr>
    </w:p>
    <w:p w14:paraId="03BD2313" w14:textId="131E9444" w:rsidR="00AB5D1E" w:rsidRDefault="00A778B6">
      <w:pPr>
        <w:spacing w:before="0" w:after="0" w:line="0" w:lineRule="atLeast"/>
        <w:jc w:val="both"/>
        <w:rPr>
          <w:rFonts w:cs="Arial"/>
          <w:i/>
          <w:iCs/>
          <w:color w:val="000000" w:themeColor="text1"/>
          <w:sz w:val="22"/>
          <w:szCs w:val="22"/>
        </w:rPr>
      </w:pPr>
      <w:r w:rsidRPr="007A6A32">
        <w:rPr>
          <w:rFonts w:cs="Arial"/>
          <w:b/>
          <w:color w:val="000000" w:themeColor="text1"/>
          <w:sz w:val="22"/>
          <w:szCs w:val="22"/>
        </w:rPr>
        <w:t>Parágrafo</w:t>
      </w:r>
      <w:r w:rsidR="00C35F71" w:rsidRPr="007A6A32">
        <w:rPr>
          <w:rFonts w:cs="Arial"/>
          <w:b/>
          <w:color w:val="000000" w:themeColor="text1"/>
          <w:sz w:val="22"/>
          <w:szCs w:val="22"/>
        </w:rPr>
        <w:t>.</w:t>
      </w:r>
      <w:r w:rsidRPr="007A6A32">
        <w:rPr>
          <w:rFonts w:cs="Arial"/>
          <w:b/>
          <w:color w:val="000000" w:themeColor="text1"/>
          <w:sz w:val="22"/>
          <w:szCs w:val="22"/>
        </w:rPr>
        <w:t xml:space="preserve"> </w:t>
      </w:r>
      <w:r w:rsidRPr="007A6A32">
        <w:rPr>
          <w:rFonts w:cs="Arial"/>
          <w:iCs/>
          <w:color w:val="000000" w:themeColor="text1"/>
          <w:sz w:val="22"/>
          <w:szCs w:val="22"/>
        </w:rPr>
        <w:t xml:space="preserve">El FNRA pagará el porcentaje correspondiente al </w:t>
      </w:r>
      <w:r w:rsidR="006730CB" w:rsidRPr="007A6A32">
        <w:rPr>
          <w:rFonts w:cs="Arial"/>
          <w:iCs/>
          <w:color w:val="000000" w:themeColor="text1"/>
          <w:sz w:val="22"/>
          <w:szCs w:val="22"/>
        </w:rPr>
        <w:t>incentivo</w:t>
      </w:r>
      <w:r w:rsidRPr="007A6A32">
        <w:rPr>
          <w:rFonts w:cs="Arial"/>
          <w:iCs/>
          <w:color w:val="000000" w:themeColor="text1"/>
          <w:sz w:val="22"/>
          <w:szCs w:val="22"/>
        </w:rPr>
        <w:t xml:space="preserve"> del valor de la prima, antes del Impuesto al Valor Agregado – IVA, el cual será abonado directamente por FINAGRO a </w:t>
      </w:r>
      <w:r w:rsidRPr="002151F8">
        <w:rPr>
          <w:rFonts w:cs="Arial"/>
          <w:iCs/>
          <w:color w:val="000000" w:themeColor="text1"/>
          <w:sz w:val="22"/>
          <w:szCs w:val="22"/>
        </w:rPr>
        <w:t xml:space="preserve">la entidad aseguradora o aquellas entidades autorizadas por la Superintendencia Financiera a través del Registro de Entidades Aseguradoras e Intermediarios de Seguro Agropecuario del Exterior (RAISAX), una vez el tomador haya </w:t>
      </w:r>
      <w:r w:rsidR="00A20F01" w:rsidRPr="002151F8">
        <w:rPr>
          <w:rFonts w:cs="Arial"/>
          <w:iCs/>
          <w:color w:val="000000" w:themeColor="text1"/>
          <w:sz w:val="22"/>
          <w:szCs w:val="22"/>
        </w:rPr>
        <w:t xml:space="preserve">pagado </w:t>
      </w:r>
      <w:r w:rsidRPr="002151F8">
        <w:rPr>
          <w:rFonts w:cs="Arial"/>
          <w:iCs/>
          <w:color w:val="000000" w:themeColor="text1"/>
          <w:sz w:val="22"/>
          <w:szCs w:val="22"/>
        </w:rPr>
        <w:t>el porcentaje de la prima que le corresponde</w:t>
      </w:r>
      <w:r w:rsidRPr="002151F8">
        <w:rPr>
          <w:rFonts w:cs="Arial"/>
          <w:i/>
          <w:iCs/>
          <w:color w:val="000000" w:themeColor="text1"/>
          <w:sz w:val="22"/>
          <w:szCs w:val="22"/>
        </w:rPr>
        <w:t>.</w:t>
      </w:r>
    </w:p>
    <w:p w14:paraId="172A9FDD" w14:textId="5943ACBD" w:rsidR="00291BB1" w:rsidRDefault="00291BB1">
      <w:pPr>
        <w:spacing w:before="0" w:after="0" w:line="0" w:lineRule="atLeast"/>
        <w:jc w:val="both"/>
        <w:rPr>
          <w:rFonts w:cs="Arial"/>
          <w:i/>
          <w:iCs/>
          <w:color w:val="000000" w:themeColor="text1"/>
          <w:sz w:val="22"/>
          <w:szCs w:val="22"/>
        </w:rPr>
      </w:pPr>
    </w:p>
    <w:p w14:paraId="1446A521" w14:textId="74F85CCD" w:rsidR="00291BB1" w:rsidRPr="002151F8" w:rsidRDefault="00291BB1">
      <w:pPr>
        <w:spacing w:before="0" w:after="0" w:line="0" w:lineRule="atLeast"/>
        <w:jc w:val="both"/>
        <w:rPr>
          <w:rFonts w:cs="Arial"/>
          <w:i/>
          <w:iCs/>
          <w:color w:val="000000" w:themeColor="text1"/>
          <w:sz w:val="22"/>
          <w:szCs w:val="22"/>
        </w:rPr>
      </w:pPr>
      <w:r w:rsidRPr="002151F8">
        <w:rPr>
          <w:rFonts w:cs="Arial"/>
          <w:b/>
          <w:color w:val="000000" w:themeColor="text1"/>
          <w:sz w:val="22"/>
          <w:szCs w:val="22"/>
        </w:rPr>
        <w:t>Artículo 7o</w:t>
      </w:r>
      <w:r w:rsidRPr="002151F8">
        <w:rPr>
          <w:rFonts w:cs="Arial"/>
          <w:color w:val="000000" w:themeColor="text1"/>
          <w:sz w:val="22"/>
          <w:szCs w:val="22"/>
        </w:rPr>
        <w:t xml:space="preserve">. </w:t>
      </w:r>
      <w:r w:rsidRPr="00291BB1">
        <w:rPr>
          <w:rFonts w:cs="Arial"/>
          <w:b/>
          <w:color w:val="000000" w:themeColor="text1"/>
          <w:sz w:val="22"/>
          <w:szCs w:val="22"/>
        </w:rPr>
        <w:t>Comité Consultivo</w:t>
      </w:r>
      <w:r>
        <w:rPr>
          <w:rFonts w:cs="Arial"/>
          <w:color w:val="000000" w:themeColor="text1"/>
          <w:sz w:val="22"/>
          <w:szCs w:val="22"/>
        </w:rPr>
        <w:t>. Créase</w:t>
      </w:r>
      <w:r w:rsidRPr="00291BB1">
        <w:rPr>
          <w:rFonts w:cs="Arial"/>
          <w:color w:val="000000" w:themeColor="text1"/>
          <w:sz w:val="22"/>
          <w:szCs w:val="22"/>
        </w:rPr>
        <w:t xml:space="preserve"> de un Comité Consultivo para la G</w:t>
      </w:r>
      <w:r>
        <w:rPr>
          <w:rFonts w:cs="Arial"/>
          <w:color w:val="000000" w:themeColor="text1"/>
          <w:sz w:val="22"/>
          <w:szCs w:val="22"/>
        </w:rPr>
        <w:t>estión de Riesgos Agropecuarios</w:t>
      </w:r>
      <w:r w:rsidRPr="00291BB1">
        <w:rPr>
          <w:rFonts w:cs="Arial"/>
          <w:color w:val="000000" w:themeColor="text1"/>
          <w:sz w:val="22"/>
          <w:szCs w:val="22"/>
        </w:rPr>
        <w:t xml:space="preserve"> integrado por representantes y/o delegados de cada uno de los </w:t>
      </w:r>
      <w:r w:rsidRPr="00291BB1">
        <w:rPr>
          <w:rFonts w:cs="Arial"/>
          <w:color w:val="000000" w:themeColor="text1"/>
          <w:sz w:val="22"/>
          <w:szCs w:val="22"/>
        </w:rPr>
        <w:lastRenderedPageBreak/>
        <w:t xml:space="preserve">miembros de la Comisión Nacional de Crédito Agropecuario, así como de los Presidentes/Directores y sus delegados de la Federación de Aseguradores Colombianos (FASECOLDA), del Instituto de Hidrología, Meteorología y Estudios Ambientales de Colombia (IDEAM), el Instituto Geográfico Agustín Codazzi (IGAC), el Instituto Colombiano Agropecuario (ICA), la Unidad de </w:t>
      </w:r>
      <w:r w:rsidRPr="00B90A40">
        <w:rPr>
          <w:rFonts w:cs="Arial"/>
          <w:color w:val="000000" w:themeColor="text1"/>
          <w:sz w:val="22"/>
          <w:szCs w:val="22"/>
        </w:rPr>
        <w:t xml:space="preserve">Planificación Rural Agropecuaria (UPRA), la Corporación Colombiana de Investigación Agropecuaria (AGROSAVIA),  la Unidad Nacional para la Gestión del Riesgo de Desastres (UNGRD), la Sociedad de Agricultores de Colombia (SAC) y el Banco Agrario de Colombia (BAC). </w:t>
      </w:r>
      <w:r w:rsidR="007E3715" w:rsidRPr="00B90A40">
        <w:rPr>
          <w:rFonts w:cs="Arial"/>
          <w:color w:val="000000" w:themeColor="text1"/>
          <w:sz w:val="22"/>
          <w:szCs w:val="22"/>
        </w:rPr>
        <w:t xml:space="preserve">La secretaría técnica de dicho Comité será realizada por el Secretario Técnico de la CNCA. </w:t>
      </w:r>
      <w:r w:rsidRPr="00B90A40">
        <w:rPr>
          <w:rFonts w:cs="Arial"/>
          <w:color w:val="000000" w:themeColor="text1"/>
          <w:sz w:val="22"/>
          <w:szCs w:val="22"/>
        </w:rPr>
        <w:t>Este Comité podrá presentar propuestas a la CNCA tendientes a la profundización del seguro agropecuario como mecanismo de la gestión de riesgos, competitividad y productividad del sector</w:t>
      </w:r>
      <w:r w:rsidRPr="00291BB1">
        <w:rPr>
          <w:rFonts w:cs="Arial"/>
          <w:color w:val="000000" w:themeColor="text1"/>
          <w:sz w:val="22"/>
          <w:szCs w:val="22"/>
        </w:rPr>
        <w:t xml:space="preserve"> agropecuario.</w:t>
      </w:r>
      <w:r w:rsidR="007E3715">
        <w:rPr>
          <w:rFonts w:cs="Arial"/>
          <w:color w:val="000000" w:themeColor="text1"/>
          <w:sz w:val="22"/>
          <w:szCs w:val="22"/>
        </w:rPr>
        <w:t xml:space="preserve"> </w:t>
      </w:r>
    </w:p>
    <w:p w14:paraId="09F73A3E" w14:textId="77777777" w:rsidR="00AB5D1E" w:rsidRPr="002151F8" w:rsidRDefault="00AB5D1E">
      <w:pPr>
        <w:spacing w:before="0" w:after="0" w:line="0" w:lineRule="atLeast"/>
        <w:jc w:val="both"/>
        <w:rPr>
          <w:rFonts w:cs="Arial"/>
          <w:color w:val="000000" w:themeColor="text1"/>
          <w:sz w:val="22"/>
          <w:szCs w:val="22"/>
        </w:rPr>
      </w:pPr>
    </w:p>
    <w:p w14:paraId="6C8201AF" w14:textId="6A7DE24C" w:rsidR="00AB5D1E" w:rsidRPr="007A6A32" w:rsidRDefault="00291BB1">
      <w:pPr>
        <w:spacing w:before="0" w:after="0" w:line="0" w:lineRule="atLeast"/>
        <w:jc w:val="both"/>
        <w:rPr>
          <w:color w:val="000000" w:themeColor="text1"/>
          <w:sz w:val="22"/>
          <w:szCs w:val="22"/>
        </w:rPr>
      </w:pPr>
      <w:r>
        <w:rPr>
          <w:rFonts w:cs="Arial"/>
          <w:b/>
          <w:color w:val="000000" w:themeColor="text1"/>
          <w:sz w:val="22"/>
          <w:szCs w:val="22"/>
        </w:rPr>
        <w:t>Artículo 8</w:t>
      </w:r>
      <w:r w:rsidR="003249AF" w:rsidRPr="002151F8">
        <w:rPr>
          <w:rFonts w:cs="Arial"/>
          <w:b/>
          <w:color w:val="000000" w:themeColor="text1"/>
          <w:sz w:val="22"/>
          <w:szCs w:val="22"/>
        </w:rPr>
        <w:t>o</w:t>
      </w:r>
      <w:r w:rsidR="00A778B6" w:rsidRPr="002151F8">
        <w:rPr>
          <w:rFonts w:cs="Arial"/>
          <w:color w:val="000000" w:themeColor="text1"/>
          <w:sz w:val="22"/>
          <w:szCs w:val="22"/>
        </w:rPr>
        <w:t xml:space="preserve">. </w:t>
      </w:r>
      <w:r w:rsidR="00A778B6" w:rsidRPr="007A6A32">
        <w:rPr>
          <w:b/>
          <w:bCs/>
          <w:color w:val="000000" w:themeColor="text1"/>
          <w:spacing w:val="-3"/>
          <w:sz w:val="22"/>
          <w:szCs w:val="22"/>
        </w:rPr>
        <w:t>Responsabilidad de las compañías aseguradoras</w:t>
      </w:r>
      <w:r w:rsidR="00A778B6" w:rsidRPr="007A6A32">
        <w:rPr>
          <w:bCs/>
          <w:color w:val="000000" w:themeColor="text1"/>
          <w:spacing w:val="-3"/>
          <w:sz w:val="22"/>
          <w:szCs w:val="22"/>
        </w:rPr>
        <w:t xml:space="preserve">. </w:t>
      </w:r>
      <w:r w:rsidR="00A778B6" w:rsidRPr="007A6A32">
        <w:rPr>
          <w:color w:val="000000" w:themeColor="text1"/>
          <w:sz w:val="22"/>
          <w:szCs w:val="22"/>
        </w:rPr>
        <w:t xml:space="preserve">Sin perjuicio de las facultades de la Superintendencia Financiera de Colombia, al solicitar el reconocimiento del </w:t>
      </w:r>
      <w:r w:rsidR="006730CB" w:rsidRPr="007A6A32">
        <w:rPr>
          <w:color w:val="000000" w:themeColor="text1"/>
          <w:sz w:val="22"/>
          <w:szCs w:val="22"/>
        </w:rPr>
        <w:t>incentivo</w:t>
      </w:r>
      <w:r w:rsidR="00A778B6" w:rsidRPr="007A6A32">
        <w:rPr>
          <w:color w:val="000000" w:themeColor="text1"/>
          <w:sz w:val="22"/>
          <w:szCs w:val="22"/>
        </w:rPr>
        <w:t xml:space="preserve"> a la prima del seguro agropecuario, la respectiva compañía aseguradora </w:t>
      </w:r>
      <w:r w:rsidR="00A778B6" w:rsidRPr="007A6A32">
        <w:rPr>
          <w:iCs/>
          <w:color w:val="000000" w:themeColor="text1"/>
          <w:sz w:val="22"/>
          <w:szCs w:val="22"/>
        </w:rPr>
        <w:t xml:space="preserve">o aquellas entidades autorizadas por la Superintendencia Financiera a través del </w:t>
      </w:r>
      <w:r w:rsidR="00C65CB1" w:rsidRPr="007A6A32">
        <w:rPr>
          <w:iCs/>
          <w:color w:val="000000" w:themeColor="text1"/>
          <w:sz w:val="22"/>
          <w:szCs w:val="22"/>
        </w:rPr>
        <w:t>RAISAX</w:t>
      </w:r>
      <w:r w:rsidR="00A778B6" w:rsidRPr="007A6A32">
        <w:rPr>
          <w:color w:val="000000" w:themeColor="text1"/>
          <w:sz w:val="22"/>
          <w:szCs w:val="22"/>
        </w:rPr>
        <w:t xml:space="preserve"> asume la obligación de entregar a FINAGRO, un reporte de los siniestros reclamados, de las pólizas vigentes y canceladas y de las indemnizaciones pagadas, objetadas y en estudio, indicando el motivo del siniestro, del no pago de la indemnización de ser el caso y los valores pagados correspondientes, entre otros. FINAGRO reglamentará la forma de entrega de la información.</w:t>
      </w:r>
    </w:p>
    <w:p w14:paraId="52879A5F" w14:textId="77777777" w:rsidR="00AB5D1E" w:rsidRPr="007A6A32" w:rsidRDefault="00AB5D1E">
      <w:pPr>
        <w:spacing w:before="0" w:after="0" w:line="0" w:lineRule="atLeast"/>
        <w:jc w:val="both"/>
        <w:rPr>
          <w:rFonts w:cs="Arial"/>
          <w:color w:val="000000" w:themeColor="text1"/>
          <w:sz w:val="22"/>
          <w:szCs w:val="22"/>
        </w:rPr>
      </w:pPr>
    </w:p>
    <w:p w14:paraId="373A1BD5" w14:textId="0FF48BA8" w:rsidR="00AB5D1E" w:rsidRPr="00B100AB" w:rsidRDefault="00A778B6">
      <w:pPr>
        <w:spacing w:before="0" w:after="0" w:line="0" w:lineRule="atLeast"/>
        <w:jc w:val="both"/>
        <w:rPr>
          <w:rFonts w:cs="Arial"/>
          <w:sz w:val="22"/>
          <w:szCs w:val="22"/>
        </w:rPr>
      </w:pPr>
      <w:r w:rsidRPr="00B100AB">
        <w:rPr>
          <w:rFonts w:cs="Arial"/>
          <w:b/>
          <w:sz w:val="22"/>
          <w:szCs w:val="22"/>
        </w:rPr>
        <w:t xml:space="preserve">Artículo </w:t>
      </w:r>
      <w:r w:rsidR="00291BB1">
        <w:rPr>
          <w:rFonts w:cs="Arial"/>
          <w:b/>
          <w:sz w:val="22"/>
          <w:szCs w:val="22"/>
        </w:rPr>
        <w:t>9</w:t>
      </w:r>
      <w:r w:rsidR="003249AF" w:rsidRPr="00B100AB">
        <w:rPr>
          <w:rFonts w:cs="Arial"/>
          <w:b/>
          <w:sz w:val="22"/>
          <w:szCs w:val="22"/>
        </w:rPr>
        <w:t>o</w:t>
      </w:r>
      <w:r w:rsidRPr="00B100AB">
        <w:rPr>
          <w:rFonts w:cs="Arial"/>
          <w:b/>
          <w:sz w:val="22"/>
          <w:szCs w:val="22"/>
        </w:rPr>
        <w:t>. Reglamentación adicional</w:t>
      </w:r>
      <w:r w:rsidRPr="00B100AB">
        <w:rPr>
          <w:rFonts w:cs="Arial"/>
          <w:sz w:val="22"/>
          <w:szCs w:val="22"/>
        </w:rPr>
        <w:t xml:space="preserve">. FINAGRO </w:t>
      </w:r>
      <w:r w:rsidR="00822377" w:rsidRPr="00B100AB">
        <w:rPr>
          <w:rFonts w:cs="Arial"/>
          <w:sz w:val="22"/>
          <w:szCs w:val="22"/>
        </w:rPr>
        <w:t>adoptará</w:t>
      </w:r>
      <w:r w:rsidRPr="00B100AB">
        <w:rPr>
          <w:rFonts w:cs="Arial"/>
          <w:sz w:val="22"/>
          <w:szCs w:val="22"/>
        </w:rPr>
        <w:t xml:space="preserve"> los procedimientos y medidas necesarias para </w:t>
      </w:r>
      <w:r w:rsidR="00822377" w:rsidRPr="00B100AB">
        <w:rPr>
          <w:rFonts w:cs="Arial"/>
          <w:sz w:val="22"/>
          <w:szCs w:val="22"/>
        </w:rPr>
        <w:t>el</w:t>
      </w:r>
      <w:r w:rsidRPr="00B100AB">
        <w:rPr>
          <w:rFonts w:cs="Arial"/>
          <w:sz w:val="22"/>
          <w:szCs w:val="22"/>
        </w:rPr>
        <w:t xml:space="preserve"> desarrollo y aplicación</w:t>
      </w:r>
      <w:r w:rsidR="00822377" w:rsidRPr="00B100AB">
        <w:rPr>
          <w:rFonts w:cs="Arial"/>
          <w:sz w:val="22"/>
          <w:szCs w:val="22"/>
        </w:rPr>
        <w:t xml:space="preserve"> de la presente resolución</w:t>
      </w:r>
      <w:r w:rsidR="008D7D0B" w:rsidRPr="00B100AB">
        <w:rPr>
          <w:rFonts w:cs="Arial"/>
          <w:sz w:val="22"/>
          <w:szCs w:val="22"/>
        </w:rPr>
        <w:t xml:space="preserve"> y señalará mediante la circular respectiva el procedimiento para la aplicación de los incentivos antes señalados.</w:t>
      </w:r>
      <w:r w:rsidRPr="00B100AB">
        <w:rPr>
          <w:rFonts w:cs="Arial"/>
          <w:sz w:val="22"/>
          <w:szCs w:val="22"/>
        </w:rPr>
        <w:t xml:space="preserve"> </w:t>
      </w:r>
    </w:p>
    <w:p w14:paraId="4B4A94BE" w14:textId="77777777" w:rsidR="00AB5D1E" w:rsidRPr="007A6A32" w:rsidRDefault="00AB5D1E">
      <w:pPr>
        <w:spacing w:before="0" w:after="0" w:line="0" w:lineRule="atLeast"/>
        <w:jc w:val="both"/>
        <w:rPr>
          <w:rFonts w:cs="Arial"/>
          <w:color w:val="000000" w:themeColor="text1"/>
          <w:sz w:val="22"/>
          <w:szCs w:val="22"/>
        </w:rPr>
      </w:pPr>
    </w:p>
    <w:p w14:paraId="0739191D" w14:textId="36BCEE06" w:rsidR="00AB5D1E" w:rsidRPr="007A6A32" w:rsidRDefault="00A778B6">
      <w:pPr>
        <w:spacing w:before="0" w:after="0" w:line="0" w:lineRule="atLeast"/>
        <w:jc w:val="both"/>
        <w:rPr>
          <w:rFonts w:cs="Arial"/>
          <w:spacing w:val="-3"/>
          <w:sz w:val="22"/>
          <w:szCs w:val="22"/>
        </w:rPr>
      </w:pPr>
      <w:r w:rsidRPr="007A6A32">
        <w:rPr>
          <w:rFonts w:cs="Arial"/>
          <w:b/>
          <w:sz w:val="22"/>
          <w:szCs w:val="22"/>
        </w:rPr>
        <w:t xml:space="preserve">Artículo </w:t>
      </w:r>
      <w:r w:rsidR="00291BB1">
        <w:rPr>
          <w:rFonts w:cs="Arial"/>
          <w:b/>
          <w:sz w:val="22"/>
          <w:szCs w:val="22"/>
        </w:rPr>
        <w:t>10</w:t>
      </w:r>
      <w:r w:rsidR="003249AF" w:rsidRPr="007A6A32">
        <w:rPr>
          <w:rFonts w:cs="Arial"/>
          <w:b/>
          <w:sz w:val="22"/>
          <w:szCs w:val="22"/>
        </w:rPr>
        <w:t>o</w:t>
      </w:r>
      <w:r w:rsidRPr="007A6A32">
        <w:rPr>
          <w:rFonts w:cs="Arial"/>
          <w:b/>
          <w:sz w:val="22"/>
          <w:szCs w:val="22"/>
        </w:rPr>
        <w:t xml:space="preserve">. Vigencia. </w:t>
      </w:r>
      <w:r w:rsidRPr="007A6A32">
        <w:rPr>
          <w:rFonts w:cs="Arial"/>
          <w:sz w:val="22"/>
          <w:szCs w:val="22"/>
        </w:rPr>
        <w:t xml:space="preserve">La presente </w:t>
      </w:r>
      <w:r w:rsidR="00822377" w:rsidRPr="007A6A32">
        <w:rPr>
          <w:rFonts w:cs="Arial"/>
          <w:sz w:val="22"/>
          <w:szCs w:val="22"/>
        </w:rPr>
        <w:t>r</w:t>
      </w:r>
      <w:r w:rsidRPr="007A6A32">
        <w:rPr>
          <w:rFonts w:cs="Arial"/>
          <w:sz w:val="22"/>
          <w:szCs w:val="22"/>
        </w:rPr>
        <w:t xml:space="preserve">esolución rige a partir de su publicación en el Diario Oficial, deroga las disposiciones que le sean contrarias y aplicará para las pólizas expedidas </w:t>
      </w:r>
      <w:r w:rsidR="001B2E70" w:rsidRPr="007A6A32">
        <w:rPr>
          <w:rFonts w:cs="Arial"/>
          <w:sz w:val="22"/>
          <w:szCs w:val="22"/>
        </w:rPr>
        <w:t xml:space="preserve">a partir del </w:t>
      </w:r>
      <w:r w:rsidR="004110CD" w:rsidRPr="007A6A32">
        <w:rPr>
          <w:rFonts w:cs="Arial"/>
          <w:sz w:val="22"/>
          <w:szCs w:val="22"/>
        </w:rPr>
        <w:t>primero (</w:t>
      </w:r>
      <w:r w:rsidR="001B2E70" w:rsidRPr="007A6A32">
        <w:rPr>
          <w:rFonts w:cs="Arial"/>
          <w:sz w:val="22"/>
          <w:szCs w:val="22"/>
        </w:rPr>
        <w:t>1</w:t>
      </w:r>
      <w:r w:rsidR="004110CD" w:rsidRPr="007A6A32">
        <w:rPr>
          <w:rFonts w:cs="Arial"/>
          <w:sz w:val="22"/>
          <w:szCs w:val="22"/>
        </w:rPr>
        <w:t>o.)</w:t>
      </w:r>
      <w:r w:rsidR="001B2E70" w:rsidRPr="007A6A32">
        <w:rPr>
          <w:rFonts w:cs="Arial"/>
          <w:sz w:val="22"/>
          <w:szCs w:val="22"/>
        </w:rPr>
        <w:t xml:space="preserve"> de enero de 20</w:t>
      </w:r>
      <w:r w:rsidR="00B100AB">
        <w:rPr>
          <w:rFonts w:cs="Arial"/>
          <w:sz w:val="22"/>
          <w:szCs w:val="22"/>
        </w:rPr>
        <w:t>20</w:t>
      </w:r>
      <w:r w:rsidRPr="007A6A32">
        <w:rPr>
          <w:rFonts w:cs="Arial"/>
          <w:sz w:val="22"/>
          <w:szCs w:val="22"/>
        </w:rPr>
        <w:t>.</w:t>
      </w:r>
      <w:r w:rsidRPr="007A6A32">
        <w:rPr>
          <w:rFonts w:cs="Arial"/>
          <w:spacing w:val="-3"/>
          <w:sz w:val="22"/>
          <w:szCs w:val="22"/>
        </w:rPr>
        <w:t xml:space="preserve"> </w:t>
      </w:r>
    </w:p>
    <w:p w14:paraId="34852A14" w14:textId="77777777" w:rsidR="008D7D0B" w:rsidRPr="007A6A32" w:rsidRDefault="008D7D0B">
      <w:pPr>
        <w:spacing w:before="0" w:after="0" w:line="0" w:lineRule="atLeast"/>
        <w:jc w:val="both"/>
        <w:rPr>
          <w:rFonts w:cs="Arial"/>
          <w:spacing w:val="-3"/>
          <w:sz w:val="22"/>
          <w:szCs w:val="22"/>
        </w:rPr>
      </w:pPr>
    </w:p>
    <w:p w14:paraId="73AC121C" w14:textId="77777777" w:rsidR="00AB5D1E" w:rsidRPr="007A6A32" w:rsidRDefault="00A778B6" w:rsidP="00291BB1">
      <w:pPr>
        <w:autoSpaceDE w:val="0"/>
        <w:autoSpaceDN w:val="0"/>
        <w:adjustRightInd w:val="0"/>
        <w:spacing w:before="0" w:after="0" w:line="0" w:lineRule="atLeast"/>
        <w:jc w:val="both"/>
        <w:rPr>
          <w:rFonts w:cs="Arial"/>
          <w:sz w:val="22"/>
          <w:szCs w:val="22"/>
        </w:rPr>
      </w:pPr>
      <w:r w:rsidRPr="007A6A32">
        <w:rPr>
          <w:rFonts w:cs="Arial"/>
          <w:sz w:val="22"/>
          <w:szCs w:val="22"/>
        </w:rPr>
        <w:t>Dada en Bog</w:t>
      </w:r>
      <w:r w:rsidRPr="0082518E">
        <w:rPr>
          <w:rFonts w:cs="Arial"/>
          <w:sz w:val="22"/>
          <w:szCs w:val="22"/>
        </w:rPr>
        <w:t xml:space="preserve">otá D.C., </w:t>
      </w:r>
      <w:r w:rsidR="00AF7794" w:rsidRPr="0082518E">
        <w:rPr>
          <w:rFonts w:cs="Arial"/>
          <w:sz w:val="22"/>
          <w:szCs w:val="22"/>
        </w:rPr>
        <w:t xml:space="preserve">el día </w:t>
      </w:r>
      <w:r w:rsidR="00B100AB" w:rsidRPr="0082518E">
        <w:rPr>
          <w:rFonts w:cs="Arial"/>
          <w:sz w:val="22"/>
          <w:szCs w:val="22"/>
        </w:rPr>
        <w:t>______</w:t>
      </w:r>
      <w:r w:rsidR="00AF7794" w:rsidRPr="0082518E">
        <w:rPr>
          <w:rFonts w:cs="Arial"/>
          <w:sz w:val="22"/>
          <w:szCs w:val="22"/>
        </w:rPr>
        <w:t xml:space="preserve"> (</w:t>
      </w:r>
      <w:r w:rsidR="00B100AB" w:rsidRPr="0082518E">
        <w:rPr>
          <w:rFonts w:cs="Arial"/>
          <w:sz w:val="22"/>
          <w:szCs w:val="22"/>
        </w:rPr>
        <w:t>___</w:t>
      </w:r>
      <w:r w:rsidR="00AF7794" w:rsidRPr="0082518E">
        <w:rPr>
          <w:rFonts w:cs="Arial"/>
          <w:sz w:val="22"/>
          <w:szCs w:val="22"/>
        </w:rPr>
        <w:t>) de</w:t>
      </w:r>
      <w:r w:rsidR="00AF7794" w:rsidRPr="007A6A32">
        <w:rPr>
          <w:rFonts w:cs="Arial"/>
          <w:sz w:val="22"/>
          <w:szCs w:val="22"/>
        </w:rPr>
        <w:t xml:space="preserve"> diciembre de 201</w:t>
      </w:r>
      <w:r w:rsidR="00B100AB">
        <w:rPr>
          <w:rFonts w:cs="Arial"/>
          <w:sz w:val="22"/>
          <w:szCs w:val="22"/>
        </w:rPr>
        <w:t>9</w:t>
      </w:r>
      <w:r w:rsidR="00AF7794" w:rsidRPr="007A6A32">
        <w:rPr>
          <w:rFonts w:cs="Arial"/>
          <w:sz w:val="22"/>
          <w:szCs w:val="22"/>
        </w:rPr>
        <w:t>.</w:t>
      </w:r>
    </w:p>
    <w:p w14:paraId="2B3FBC00" w14:textId="77777777" w:rsidR="00514B17" w:rsidRPr="007A6A32" w:rsidRDefault="00514B17" w:rsidP="00291BB1">
      <w:pPr>
        <w:autoSpaceDE w:val="0"/>
        <w:autoSpaceDN w:val="0"/>
        <w:adjustRightInd w:val="0"/>
        <w:spacing w:before="0" w:after="0" w:line="0" w:lineRule="atLeast"/>
        <w:jc w:val="both"/>
        <w:rPr>
          <w:rFonts w:cs="Arial"/>
          <w:sz w:val="22"/>
          <w:szCs w:val="22"/>
        </w:rPr>
      </w:pPr>
    </w:p>
    <w:p w14:paraId="471C2158" w14:textId="77777777" w:rsidR="00AB5D1E" w:rsidRPr="007A6A32" w:rsidRDefault="00AB5D1E" w:rsidP="00FB4F8E">
      <w:pPr>
        <w:widowControl w:val="0"/>
        <w:autoSpaceDE w:val="0"/>
        <w:autoSpaceDN w:val="0"/>
        <w:adjustRightInd w:val="0"/>
        <w:spacing w:before="0" w:after="0" w:line="0" w:lineRule="atLeast"/>
        <w:jc w:val="both"/>
        <w:rPr>
          <w:rFonts w:cs="Arial"/>
          <w:sz w:val="22"/>
          <w:szCs w:val="22"/>
        </w:rPr>
      </w:pPr>
    </w:p>
    <w:p w14:paraId="1D38028A" w14:textId="59B34F54" w:rsidR="00AB5D1E" w:rsidRDefault="00AB5D1E">
      <w:pPr>
        <w:spacing w:before="0" w:after="0" w:line="0" w:lineRule="atLeast"/>
        <w:jc w:val="both"/>
        <w:rPr>
          <w:rFonts w:cs="Arial"/>
          <w:bCs/>
          <w:sz w:val="22"/>
          <w:szCs w:val="22"/>
        </w:rPr>
      </w:pPr>
    </w:p>
    <w:p w14:paraId="4EF7387C" w14:textId="7D3EC742" w:rsidR="00291BB1" w:rsidRDefault="00291BB1">
      <w:pPr>
        <w:spacing w:before="0" w:after="0" w:line="0" w:lineRule="atLeast"/>
        <w:jc w:val="both"/>
        <w:rPr>
          <w:rFonts w:cs="Arial"/>
          <w:bCs/>
          <w:sz w:val="22"/>
          <w:szCs w:val="22"/>
        </w:rPr>
      </w:pPr>
    </w:p>
    <w:p w14:paraId="6C6F237D" w14:textId="7EB15DA1" w:rsidR="00291BB1" w:rsidRDefault="00291BB1">
      <w:pPr>
        <w:spacing w:before="0" w:after="0" w:line="0" w:lineRule="atLeast"/>
        <w:jc w:val="both"/>
        <w:rPr>
          <w:rFonts w:cs="Arial"/>
          <w:bCs/>
          <w:sz w:val="22"/>
          <w:szCs w:val="22"/>
        </w:rPr>
      </w:pPr>
    </w:p>
    <w:p w14:paraId="7561E6FE" w14:textId="47E781B4" w:rsidR="00291BB1" w:rsidRDefault="00291BB1">
      <w:pPr>
        <w:spacing w:before="0" w:after="0" w:line="0" w:lineRule="atLeast"/>
        <w:jc w:val="both"/>
        <w:rPr>
          <w:rFonts w:cs="Arial"/>
          <w:bCs/>
          <w:sz w:val="22"/>
          <w:szCs w:val="22"/>
        </w:rPr>
      </w:pPr>
    </w:p>
    <w:p w14:paraId="1767B1BB" w14:textId="77777777" w:rsidR="00291BB1" w:rsidRPr="007A6A32" w:rsidRDefault="00291BB1">
      <w:pPr>
        <w:spacing w:before="0" w:after="0" w:line="0" w:lineRule="atLeast"/>
        <w:jc w:val="both"/>
        <w:rPr>
          <w:rFonts w:cs="Arial"/>
          <w:bCs/>
          <w:sz w:val="22"/>
          <w:szCs w:val="22"/>
        </w:rPr>
      </w:pPr>
    </w:p>
    <w:p w14:paraId="08C62C3F" w14:textId="77777777" w:rsidR="00AB5D1E" w:rsidRPr="007A6A32" w:rsidRDefault="00A405D0">
      <w:pPr>
        <w:spacing w:before="0" w:after="0" w:line="0" w:lineRule="atLeast"/>
        <w:jc w:val="both"/>
        <w:rPr>
          <w:rFonts w:cs="Arial"/>
          <w:bCs/>
          <w:sz w:val="22"/>
          <w:szCs w:val="22"/>
        </w:rPr>
      </w:pPr>
      <w:r w:rsidRPr="007A6A32">
        <w:rPr>
          <w:rFonts w:cs="Arial"/>
          <w:b/>
          <w:bCs/>
          <w:sz w:val="22"/>
          <w:szCs w:val="22"/>
        </w:rPr>
        <w:t>ANDRÉS VALENCIA PINZÓN</w:t>
      </w:r>
      <w:r w:rsidRPr="007A6A32">
        <w:rPr>
          <w:rFonts w:cs="Arial"/>
          <w:b/>
          <w:bCs/>
          <w:sz w:val="22"/>
          <w:szCs w:val="22"/>
        </w:rPr>
        <w:tab/>
      </w:r>
      <w:r w:rsidR="00A778B6" w:rsidRPr="007A6A32">
        <w:rPr>
          <w:rFonts w:cs="Arial"/>
          <w:b/>
          <w:bCs/>
          <w:sz w:val="22"/>
          <w:szCs w:val="22"/>
        </w:rPr>
        <w:tab/>
      </w:r>
      <w:r w:rsidR="00A778B6" w:rsidRPr="007A6A32">
        <w:rPr>
          <w:rFonts w:cs="Arial"/>
          <w:b/>
          <w:bCs/>
          <w:sz w:val="22"/>
          <w:szCs w:val="22"/>
        </w:rPr>
        <w:tab/>
      </w:r>
      <w:r w:rsidR="00870BCF">
        <w:rPr>
          <w:rFonts w:cs="Arial"/>
          <w:b/>
          <w:bCs/>
          <w:sz w:val="22"/>
          <w:szCs w:val="22"/>
        </w:rPr>
        <w:t>ANDRÉS LOZANO KARANAUSKAS</w:t>
      </w:r>
    </w:p>
    <w:p w14:paraId="359C24A2" w14:textId="27A756A2" w:rsidR="00AB5D1E" w:rsidRPr="007A6A32" w:rsidRDefault="00A778B6" w:rsidP="00291BB1">
      <w:pPr>
        <w:spacing w:before="0" w:after="0" w:line="0" w:lineRule="atLeast"/>
        <w:jc w:val="center"/>
        <w:rPr>
          <w:rFonts w:cs="Arial"/>
          <w:i/>
          <w:sz w:val="22"/>
          <w:szCs w:val="22"/>
        </w:rPr>
      </w:pPr>
      <w:r w:rsidRPr="007A6A32">
        <w:rPr>
          <w:rFonts w:cs="Arial"/>
          <w:bCs/>
          <w:sz w:val="22"/>
          <w:szCs w:val="22"/>
        </w:rPr>
        <w:t>Presidente</w:t>
      </w:r>
      <w:r w:rsidRPr="007A6A32">
        <w:rPr>
          <w:rFonts w:cs="Arial"/>
          <w:bCs/>
          <w:sz w:val="22"/>
          <w:szCs w:val="22"/>
        </w:rPr>
        <w:tab/>
      </w:r>
      <w:r w:rsidRPr="007A6A32">
        <w:rPr>
          <w:rFonts w:cs="Arial"/>
          <w:bCs/>
          <w:sz w:val="22"/>
          <w:szCs w:val="22"/>
        </w:rPr>
        <w:tab/>
      </w:r>
      <w:r w:rsidRPr="007A6A32">
        <w:rPr>
          <w:rFonts w:cs="Arial"/>
          <w:bCs/>
          <w:sz w:val="22"/>
          <w:szCs w:val="22"/>
        </w:rPr>
        <w:tab/>
      </w:r>
      <w:r w:rsidRPr="007A6A32">
        <w:rPr>
          <w:rFonts w:cs="Arial"/>
          <w:bCs/>
          <w:sz w:val="22"/>
          <w:szCs w:val="22"/>
        </w:rPr>
        <w:tab/>
      </w:r>
      <w:r w:rsidRPr="007A6A32">
        <w:rPr>
          <w:rFonts w:cs="Arial"/>
          <w:bCs/>
          <w:sz w:val="22"/>
          <w:szCs w:val="22"/>
        </w:rPr>
        <w:tab/>
      </w:r>
      <w:r w:rsidRPr="007A6A32">
        <w:rPr>
          <w:rFonts w:cs="Arial"/>
          <w:bCs/>
          <w:sz w:val="22"/>
          <w:szCs w:val="22"/>
        </w:rPr>
        <w:tab/>
        <w:t>Secretario Técnico</w:t>
      </w:r>
    </w:p>
    <w:sectPr w:rsidR="00AB5D1E" w:rsidRPr="007A6A32" w:rsidSect="00B90A40">
      <w:footerReference w:type="even" r:id="rId9"/>
      <w:footerReference w:type="default" r:id="rId10"/>
      <w:pgSz w:w="12242" w:h="15842" w:code="1"/>
      <w:pgMar w:top="1418" w:right="1701" w:bottom="1418" w:left="1701" w:header="851" w:footer="709" w:gutter="0"/>
      <w:paperSrc w:first="11" w:other="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9FB04" w14:textId="77777777" w:rsidR="00177FA9" w:rsidRDefault="00177FA9">
      <w:r>
        <w:separator/>
      </w:r>
    </w:p>
  </w:endnote>
  <w:endnote w:type="continuationSeparator" w:id="0">
    <w:p w14:paraId="16EB76E3" w14:textId="77777777" w:rsidR="00177FA9" w:rsidRDefault="0017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62D9" w14:textId="77777777" w:rsidR="00AB5D1E" w:rsidRDefault="00A778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4A191D" w14:textId="77777777" w:rsidR="00AB5D1E" w:rsidRDefault="00AB5D1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CE2A6" w14:textId="77777777" w:rsidR="00AB5D1E" w:rsidRDefault="00AB5D1E">
    <w:pPr>
      <w:pStyle w:val="Piedepgina"/>
      <w:jc w:val="right"/>
      <w:rPr>
        <w:sz w:val="20"/>
        <w:szCs w:val="20"/>
      </w:rPr>
    </w:pPr>
  </w:p>
  <w:p w14:paraId="27BFFEA1" w14:textId="77777777" w:rsidR="00AB5D1E" w:rsidRDefault="00AB5D1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59C36" w14:textId="77777777" w:rsidR="00177FA9" w:rsidRDefault="00177FA9">
      <w:r>
        <w:separator/>
      </w:r>
    </w:p>
  </w:footnote>
  <w:footnote w:type="continuationSeparator" w:id="0">
    <w:p w14:paraId="16A937BA" w14:textId="77777777" w:rsidR="00177FA9" w:rsidRDefault="00177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447CE"/>
    <w:multiLevelType w:val="hybridMultilevel"/>
    <w:tmpl w:val="B714FAA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F4F4704"/>
    <w:multiLevelType w:val="hybridMultilevel"/>
    <w:tmpl w:val="6FB03E3E"/>
    <w:lvl w:ilvl="0" w:tplc="BA108B38">
      <w:start w:val="1"/>
      <w:numFmt w:val="upperRoman"/>
      <w:pStyle w:val="Ttulo2"/>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314B38FD"/>
    <w:multiLevelType w:val="hybridMultilevel"/>
    <w:tmpl w:val="831A0AA6"/>
    <w:lvl w:ilvl="0" w:tplc="240A001B">
      <w:start w:val="1"/>
      <w:numFmt w:val="lowerRoman"/>
      <w:lvlText w:val="%1."/>
      <w:lvlJc w:val="right"/>
      <w:pPr>
        <w:ind w:left="1145" w:hanging="72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3" w15:restartNumberingAfterBreak="0">
    <w:nsid w:val="4CD423DE"/>
    <w:multiLevelType w:val="multilevel"/>
    <w:tmpl w:val="28885D64"/>
    <w:lvl w:ilvl="0">
      <w:start w:val="1"/>
      <w:numFmt w:val="decimal"/>
      <w:pStyle w:val="Ttulo1"/>
      <w:lvlText w:val="%1."/>
      <w:lvlJc w:val="left"/>
      <w:pPr>
        <w:ind w:left="720" w:hanging="360"/>
      </w:pPr>
    </w:lvl>
    <w:lvl w:ilvl="1">
      <w:start w:val="2"/>
      <w:numFmt w:val="decimal"/>
      <w:isLgl/>
      <w:lvlText w:val="%1.%2"/>
      <w:lvlJc w:val="left"/>
      <w:pPr>
        <w:ind w:left="1056" w:hanging="48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4" w15:restartNumberingAfterBreak="0">
    <w:nsid w:val="58690AEB"/>
    <w:multiLevelType w:val="hybridMultilevel"/>
    <w:tmpl w:val="01543DBE"/>
    <w:lvl w:ilvl="0" w:tplc="3460BFFE">
      <w:start w:val="1"/>
      <w:numFmt w:val="decimal"/>
      <w:pStyle w:val="Ttulo3"/>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8A65B08"/>
    <w:multiLevelType w:val="hybridMultilevel"/>
    <w:tmpl w:val="A69ACE5A"/>
    <w:lvl w:ilvl="0" w:tplc="D270AD7E">
      <w:start w:val="1"/>
      <w:numFmt w:val="decimal"/>
      <w:pStyle w:val="Titulo2"/>
      <w:lvlText w:val="%1)"/>
      <w:lvlJc w:val="left"/>
      <w:pPr>
        <w:ind w:left="360" w:hanging="360"/>
      </w:pPr>
      <w:rPr>
        <w:color w:val="7B7B7B" w:themeColor="accent3" w:themeShade="B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1E"/>
    <w:rsid w:val="00012A4C"/>
    <w:rsid w:val="0002368A"/>
    <w:rsid w:val="000252CF"/>
    <w:rsid w:val="0002693F"/>
    <w:rsid w:val="0003511C"/>
    <w:rsid w:val="00050C29"/>
    <w:rsid w:val="00051720"/>
    <w:rsid w:val="00051F0D"/>
    <w:rsid w:val="000613FB"/>
    <w:rsid w:val="000655DD"/>
    <w:rsid w:val="0008117E"/>
    <w:rsid w:val="000824E5"/>
    <w:rsid w:val="000850EC"/>
    <w:rsid w:val="00090FEE"/>
    <w:rsid w:val="00091024"/>
    <w:rsid w:val="000933DC"/>
    <w:rsid w:val="000B2E6E"/>
    <w:rsid w:val="001020D9"/>
    <w:rsid w:val="00103017"/>
    <w:rsid w:val="00103AB0"/>
    <w:rsid w:val="00107AFD"/>
    <w:rsid w:val="00110D15"/>
    <w:rsid w:val="00116C8C"/>
    <w:rsid w:val="00116CB6"/>
    <w:rsid w:val="00120A8D"/>
    <w:rsid w:val="001239DC"/>
    <w:rsid w:val="00124861"/>
    <w:rsid w:val="00127536"/>
    <w:rsid w:val="0013290B"/>
    <w:rsid w:val="00133FB6"/>
    <w:rsid w:val="001355C2"/>
    <w:rsid w:val="001465AC"/>
    <w:rsid w:val="00151238"/>
    <w:rsid w:val="001533EF"/>
    <w:rsid w:val="001636A4"/>
    <w:rsid w:val="00175B65"/>
    <w:rsid w:val="00177FA9"/>
    <w:rsid w:val="00187141"/>
    <w:rsid w:val="00194E46"/>
    <w:rsid w:val="00197B9A"/>
    <w:rsid w:val="001A11C9"/>
    <w:rsid w:val="001A7B49"/>
    <w:rsid w:val="001B2E70"/>
    <w:rsid w:val="001C14A4"/>
    <w:rsid w:val="001C3098"/>
    <w:rsid w:val="001D4DFB"/>
    <w:rsid w:val="001D62A9"/>
    <w:rsid w:val="001D6A4A"/>
    <w:rsid w:val="001E32B1"/>
    <w:rsid w:val="001E3B47"/>
    <w:rsid w:val="001F1825"/>
    <w:rsid w:val="002004DC"/>
    <w:rsid w:val="002073D0"/>
    <w:rsid w:val="00213619"/>
    <w:rsid w:val="002151F8"/>
    <w:rsid w:val="00223658"/>
    <w:rsid w:val="00224E4F"/>
    <w:rsid w:val="002270F6"/>
    <w:rsid w:val="0023530A"/>
    <w:rsid w:val="00241894"/>
    <w:rsid w:val="00244655"/>
    <w:rsid w:val="00245DBB"/>
    <w:rsid w:val="00246E30"/>
    <w:rsid w:val="002600E2"/>
    <w:rsid w:val="00264838"/>
    <w:rsid w:val="0026750C"/>
    <w:rsid w:val="002826C3"/>
    <w:rsid w:val="00291BB1"/>
    <w:rsid w:val="00296C46"/>
    <w:rsid w:val="002A1A1A"/>
    <w:rsid w:val="002C3431"/>
    <w:rsid w:val="002C5411"/>
    <w:rsid w:val="002E101F"/>
    <w:rsid w:val="002E34AF"/>
    <w:rsid w:val="002F3E37"/>
    <w:rsid w:val="00300453"/>
    <w:rsid w:val="00305D7F"/>
    <w:rsid w:val="003071CA"/>
    <w:rsid w:val="00307818"/>
    <w:rsid w:val="003122E0"/>
    <w:rsid w:val="00317310"/>
    <w:rsid w:val="003249AF"/>
    <w:rsid w:val="00325734"/>
    <w:rsid w:val="00326992"/>
    <w:rsid w:val="00335F01"/>
    <w:rsid w:val="00367859"/>
    <w:rsid w:val="00367BFB"/>
    <w:rsid w:val="00390367"/>
    <w:rsid w:val="0039462B"/>
    <w:rsid w:val="00394E21"/>
    <w:rsid w:val="00395037"/>
    <w:rsid w:val="00396C94"/>
    <w:rsid w:val="003974CF"/>
    <w:rsid w:val="003B1267"/>
    <w:rsid w:val="003C36A4"/>
    <w:rsid w:val="003F3D7D"/>
    <w:rsid w:val="0040244E"/>
    <w:rsid w:val="00402DB3"/>
    <w:rsid w:val="00406077"/>
    <w:rsid w:val="004110CD"/>
    <w:rsid w:val="00436989"/>
    <w:rsid w:val="00437060"/>
    <w:rsid w:val="00446A0E"/>
    <w:rsid w:val="004543CD"/>
    <w:rsid w:val="0048475E"/>
    <w:rsid w:val="004A1264"/>
    <w:rsid w:val="004D040D"/>
    <w:rsid w:val="004E1CF0"/>
    <w:rsid w:val="004E2AB7"/>
    <w:rsid w:val="004E3A72"/>
    <w:rsid w:val="004E6B65"/>
    <w:rsid w:val="004E7BD6"/>
    <w:rsid w:val="004F1AFC"/>
    <w:rsid w:val="004F1C84"/>
    <w:rsid w:val="004F68FF"/>
    <w:rsid w:val="005117CC"/>
    <w:rsid w:val="00514B17"/>
    <w:rsid w:val="00523F25"/>
    <w:rsid w:val="00533C81"/>
    <w:rsid w:val="00534464"/>
    <w:rsid w:val="00537EA6"/>
    <w:rsid w:val="00540E07"/>
    <w:rsid w:val="00543B41"/>
    <w:rsid w:val="00556BE5"/>
    <w:rsid w:val="005638F0"/>
    <w:rsid w:val="005709FD"/>
    <w:rsid w:val="005715F1"/>
    <w:rsid w:val="00576CA6"/>
    <w:rsid w:val="00591A23"/>
    <w:rsid w:val="005A0067"/>
    <w:rsid w:val="005A2BA2"/>
    <w:rsid w:val="005B56F2"/>
    <w:rsid w:val="005B7242"/>
    <w:rsid w:val="005B7613"/>
    <w:rsid w:val="005C68CD"/>
    <w:rsid w:val="005D7A70"/>
    <w:rsid w:val="005E1686"/>
    <w:rsid w:val="005F07D4"/>
    <w:rsid w:val="005F2F29"/>
    <w:rsid w:val="005F5A4C"/>
    <w:rsid w:val="005F5FD5"/>
    <w:rsid w:val="005F67D8"/>
    <w:rsid w:val="0062154B"/>
    <w:rsid w:val="00644B56"/>
    <w:rsid w:val="00645859"/>
    <w:rsid w:val="006631A2"/>
    <w:rsid w:val="00667D5F"/>
    <w:rsid w:val="006730CB"/>
    <w:rsid w:val="00673F0A"/>
    <w:rsid w:val="00675B0A"/>
    <w:rsid w:val="0069133A"/>
    <w:rsid w:val="006A20F8"/>
    <w:rsid w:val="006B5133"/>
    <w:rsid w:val="006C61E1"/>
    <w:rsid w:val="006D5285"/>
    <w:rsid w:val="006D5E30"/>
    <w:rsid w:val="006F478A"/>
    <w:rsid w:val="00707EF0"/>
    <w:rsid w:val="00720133"/>
    <w:rsid w:val="00723375"/>
    <w:rsid w:val="00723D04"/>
    <w:rsid w:val="007241F6"/>
    <w:rsid w:val="00724E19"/>
    <w:rsid w:val="00726A8E"/>
    <w:rsid w:val="0073004B"/>
    <w:rsid w:val="007367E4"/>
    <w:rsid w:val="00740B87"/>
    <w:rsid w:val="00741E4E"/>
    <w:rsid w:val="0076739B"/>
    <w:rsid w:val="00774095"/>
    <w:rsid w:val="00795602"/>
    <w:rsid w:val="007A0296"/>
    <w:rsid w:val="007A06BF"/>
    <w:rsid w:val="007A6A32"/>
    <w:rsid w:val="007C0B6C"/>
    <w:rsid w:val="007C4F04"/>
    <w:rsid w:val="007C72F9"/>
    <w:rsid w:val="007D37EF"/>
    <w:rsid w:val="007D5877"/>
    <w:rsid w:val="007D6D45"/>
    <w:rsid w:val="007E1987"/>
    <w:rsid w:val="007E3715"/>
    <w:rsid w:val="007E46BB"/>
    <w:rsid w:val="007E55D6"/>
    <w:rsid w:val="007E7629"/>
    <w:rsid w:val="007F06B5"/>
    <w:rsid w:val="008140CB"/>
    <w:rsid w:val="008143ED"/>
    <w:rsid w:val="00816299"/>
    <w:rsid w:val="00822377"/>
    <w:rsid w:val="008232A7"/>
    <w:rsid w:val="008248CD"/>
    <w:rsid w:val="0082518E"/>
    <w:rsid w:val="00831E9A"/>
    <w:rsid w:val="00833DB6"/>
    <w:rsid w:val="00835A6B"/>
    <w:rsid w:val="008363E9"/>
    <w:rsid w:val="00847DC6"/>
    <w:rsid w:val="00870BCF"/>
    <w:rsid w:val="00896AAC"/>
    <w:rsid w:val="008A24AD"/>
    <w:rsid w:val="008B08DD"/>
    <w:rsid w:val="008D3199"/>
    <w:rsid w:val="008D35BA"/>
    <w:rsid w:val="008D7D0B"/>
    <w:rsid w:val="008E48F9"/>
    <w:rsid w:val="008E6226"/>
    <w:rsid w:val="008F0D33"/>
    <w:rsid w:val="00907E83"/>
    <w:rsid w:val="009117C5"/>
    <w:rsid w:val="009272D7"/>
    <w:rsid w:val="009329CC"/>
    <w:rsid w:val="0093412B"/>
    <w:rsid w:val="009408A9"/>
    <w:rsid w:val="0094678A"/>
    <w:rsid w:val="00952096"/>
    <w:rsid w:val="009529AE"/>
    <w:rsid w:val="009535C7"/>
    <w:rsid w:val="0095395B"/>
    <w:rsid w:val="00962B70"/>
    <w:rsid w:val="00981448"/>
    <w:rsid w:val="00983875"/>
    <w:rsid w:val="009847BE"/>
    <w:rsid w:val="009870FD"/>
    <w:rsid w:val="009928E2"/>
    <w:rsid w:val="009950C8"/>
    <w:rsid w:val="009A753E"/>
    <w:rsid w:val="009C5A37"/>
    <w:rsid w:val="009D364C"/>
    <w:rsid w:val="009E0BCC"/>
    <w:rsid w:val="009E1573"/>
    <w:rsid w:val="009E1D85"/>
    <w:rsid w:val="009F1422"/>
    <w:rsid w:val="00A03A10"/>
    <w:rsid w:val="00A20F01"/>
    <w:rsid w:val="00A2750B"/>
    <w:rsid w:val="00A33971"/>
    <w:rsid w:val="00A405D0"/>
    <w:rsid w:val="00A456D0"/>
    <w:rsid w:val="00A542F3"/>
    <w:rsid w:val="00A54B26"/>
    <w:rsid w:val="00A57EA2"/>
    <w:rsid w:val="00A60FD4"/>
    <w:rsid w:val="00A778B6"/>
    <w:rsid w:val="00A965BE"/>
    <w:rsid w:val="00A96CF4"/>
    <w:rsid w:val="00A9710C"/>
    <w:rsid w:val="00A97754"/>
    <w:rsid w:val="00A97849"/>
    <w:rsid w:val="00AB18A3"/>
    <w:rsid w:val="00AB460F"/>
    <w:rsid w:val="00AB5D1E"/>
    <w:rsid w:val="00AC72D6"/>
    <w:rsid w:val="00AD62DA"/>
    <w:rsid w:val="00AE4A35"/>
    <w:rsid w:val="00AF5AB7"/>
    <w:rsid w:val="00AF7794"/>
    <w:rsid w:val="00B0581D"/>
    <w:rsid w:val="00B100AB"/>
    <w:rsid w:val="00B16CE1"/>
    <w:rsid w:val="00B20A5A"/>
    <w:rsid w:val="00B26A89"/>
    <w:rsid w:val="00B36D7D"/>
    <w:rsid w:val="00B40855"/>
    <w:rsid w:val="00B44BB1"/>
    <w:rsid w:val="00B460A5"/>
    <w:rsid w:val="00B54B6F"/>
    <w:rsid w:val="00B66203"/>
    <w:rsid w:val="00B67217"/>
    <w:rsid w:val="00B90A40"/>
    <w:rsid w:val="00B95624"/>
    <w:rsid w:val="00BA3EC5"/>
    <w:rsid w:val="00BA7F16"/>
    <w:rsid w:val="00BD2070"/>
    <w:rsid w:val="00BD7073"/>
    <w:rsid w:val="00BE56B2"/>
    <w:rsid w:val="00BF125E"/>
    <w:rsid w:val="00BF63A9"/>
    <w:rsid w:val="00C02020"/>
    <w:rsid w:val="00C10B6F"/>
    <w:rsid w:val="00C14E1F"/>
    <w:rsid w:val="00C202E7"/>
    <w:rsid w:val="00C35F71"/>
    <w:rsid w:val="00C41CC6"/>
    <w:rsid w:val="00C422F8"/>
    <w:rsid w:val="00C445BF"/>
    <w:rsid w:val="00C465CA"/>
    <w:rsid w:val="00C530C8"/>
    <w:rsid w:val="00C65CB1"/>
    <w:rsid w:val="00C7134B"/>
    <w:rsid w:val="00C85E71"/>
    <w:rsid w:val="00C91156"/>
    <w:rsid w:val="00C97F2C"/>
    <w:rsid w:val="00CA08B5"/>
    <w:rsid w:val="00CA328C"/>
    <w:rsid w:val="00CA3B56"/>
    <w:rsid w:val="00CA5456"/>
    <w:rsid w:val="00CC4E4E"/>
    <w:rsid w:val="00CD403B"/>
    <w:rsid w:val="00CE3B60"/>
    <w:rsid w:val="00CF6912"/>
    <w:rsid w:val="00D0044C"/>
    <w:rsid w:val="00D05628"/>
    <w:rsid w:val="00D104B5"/>
    <w:rsid w:val="00D1186D"/>
    <w:rsid w:val="00D120F5"/>
    <w:rsid w:val="00D12C34"/>
    <w:rsid w:val="00D16F9E"/>
    <w:rsid w:val="00D300C2"/>
    <w:rsid w:val="00D3659E"/>
    <w:rsid w:val="00D43AE5"/>
    <w:rsid w:val="00D44C1F"/>
    <w:rsid w:val="00D500E5"/>
    <w:rsid w:val="00D50B5E"/>
    <w:rsid w:val="00D53C7D"/>
    <w:rsid w:val="00D545E3"/>
    <w:rsid w:val="00D606A5"/>
    <w:rsid w:val="00D609CD"/>
    <w:rsid w:val="00D60CA0"/>
    <w:rsid w:val="00D61C3B"/>
    <w:rsid w:val="00D6485D"/>
    <w:rsid w:val="00D76856"/>
    <w:rsid w:val="00D873D7"/>
    <w:rsid w:val="00D92845"/>
    <w:rsid w:val="00DB0B48"/>
    <w:rsid w:val="00DD22C5"/>
    <w:rsid w:val="00DD2D46"/>
    <w:rsid w:val="00DD4789"/>
    <w:rsid w:val="00DD72CA"/>
    <w:rsid w:val="00DE3880"/>
    <w:rsid w:val="00DE55BD"/>
    <w:rsid w:val="00DF26BF"/>
    <w:rsid w:val="00DF74D8"/>
    <w:rsid w:val="00E028A5"/>
    <w:rsid w:val="00E03AFE"/>
    <w:rsid w:val="00E103DF"/>
    <w:rsid w:val="00E26682"/>
    <w:rsid w:val="00E32071"/>
    <w:rsid w:val="00E37DA6"/>
    <w:rsid w:val="00E439F8"/>
    <w:rsid w:val="00E4709A"/>
    <w:rsid w:val="00E52378"/>
    <w:rsid w:val="00E60629"/>
    <w:rsid w:val="00E623E5"/>
    <w:rsid w:val="00E629B4"/>
    <w:rsid w:val="00E70B23"/>
    <w:rsid w:val="00E71F10"/>
    <w:rsid w:val="00E75F04"/>
    <w:rsid w:val="00E778AE"/>
    <w:rsid w:val="00E804B6"/>
    <w:rsid w:val="00EA25F5"/>
    <w:rsid w:val="00EA4E42"/>
    <w:rsid w:val="00EA5EDD"/>
    <w:rsid w:val="00EA6CDE"/>
    <w:rsid w:val="00ED1137"/>
    <w:rsid w:val="00EE6D79"/>
    <w:rsid w:val="00EF0CF9"/>
    <w:rsid w:val="00EF1559"/>
    <w:rsid w:val="00F23C32"/>
    <w:rsid w:val="00F335EF"/>
    <w:rsid w:val="00F37748"/>
    <w:rsid w:val="00F44E73"/>
    <w:rsid w:val="00F52EA1"/>
    <w:rsid w:val="00F578BF"/>
    <w:rsid w:val="00F826CD"/>
    <w:rsid w:val="00F84235"/>
    <w:rsid w:val="00F866FA"/>
    <w:rsid w:val="00F9032A"/>
    <w:rsid w:val="00F931A3"/>
    <w:rsid w:val="00FA1D3F"/>
    <w:rsid w:val="00FA26C0"/>
    <w:rsid w:val="00FB4F8E"/>
    <w:rsid w:val="00FB7F4E"/>
    <w:rsid w:val="00FC6EA9"/>
    <w:rsid w:val="00FF1A3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0689"/>
  <w15:docId w15:val="{99295E3D-D943-44F8-BCC5-7221D8A0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Arial" w:eastAsia="Times New Roman" w:hAnsi="Arial"/>
      <w:sz w:val="24"/>
      <w:szCs w:val="24"/>
      <w:lang w:eastAsia="es-ES"/>
    </w:rPr>
  </w:style>
  <w:style w:type="paragraph" w:styleId="Ttulo1">
    <w:name w:val="heading 1"/>
    <w:basedOn w:val="Normal"/>
    <w:next w:val="Normal"/>
    <w:link w:val="Ttulo1Car"/>
    <w:qFormat/>
    <w:pPr>
      <w:keepNext/>
      <w:numPr>
        <w:numId w:val="1"/>
      </w:numPr>
      <w:spacing w:before="240" w:after="240"/>
      <w:jc w:val="both"/>
      <w:outlineLvl w:val="0"/>
    </w:pPr>
    <w:rPr>
      <w:b/>
      <w:bCs/>
      <w:lang w:val="es-ES"/>
    </w:rPr>
  </w:style>
  <w:style w:type="paragraph" w:styleId="Ttulo2">
    <w:name w:val="heading 2"/>
    <w:basedOn w:val="Normal"/>
    <w:next w:val="Normal"/>
    <w:link w:val="Ttulo2Car"/>
    <w:autoRedefine/>
    <w:unhideWhenUsed/>
    <w:qFormat/>
    <w:pPr>
      <w:keepNext/>
      <w:keepLines/>
      <w:numPr>
        <w:numId w:val="4"/>
      </w:numPr>
      <w:spacing w:before="280" w:after="260" w:line="276" w:lineRule="auto"/>
      <w:ind w:right="335"/>
      <w:jc w:val="both"/>
      <w:outlineLvl w:val="1"/>
    </w:pPr>
    <w:rPr>
      <w:rFonts w:cs="Arial"/>
      <w:b/>
      <w:bCs/>
      <w:sz w:val="22"/>
      <w:szCs w:val="22"/>
    </w:rPr>
  </w:style>
  <w:style w:type="paragraph" w:styleId="Ttulo3">
    <w:name w:val="heading 3"/>
    <w:basedOn w:val="Normal"/>
    <w:next w:val="Normal"/>
    <w:link w:val="Ttulo3Car"/>
    <w:autoRedefine/>
    <w:uiPriority w:val="9"/>
    <w:unhideWhenUsed/>
    <w:qFormat/>
    <w:pPr>
      <w:keepNext/>
      <w:keepLines/>
      <w:numPr>
        <w:numId w:val="2"/>
      </w:numPr>
      <w:spacing w:before="320" w:after="240"/>
      <w:jc w:val="both"/>
      <w:outlineLvl w:val="2"/>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Times New Roman" w:hAnsi="Arial"/>
      <w:b/>
      <w:bCs/>
      <w:sz w:val="24"/>
      <w:szCs w:val="24"/>
      <w:lang w:val="es-ES" w:eastAsia="es-ES"/>
    </w:rPr>
  </w:style>
  <w:style w:type="paragraph" w:styleId="Textoindependiente2">
    <w:name w:val="Body Text 2"/>
    <w:basedOn w:val="Normal"/>
    <w:link w:val="Textoindependiente2Car"/>
    <w:pPr>
      <w:jc w:val="center"/>
    </w:pPr>
    <w:rPr>
      <w:lang w:val="es-ES"/>
    </w:rPr>
  </w:style>
  <w:style w:type="character" w:customStyle="1" w:styleId="Textoindependiente2Car">
    <w:name w:val="Texto independiente 2 Car"/>
    <w:link w:val="Textoindependiente2"/>
    <w:rPr>
      <w:rFonts w:ascii="Arial" w:eastAsia="Times New Roman" w:hAnsi="Arial" w:cs="Times New Roman"/>
      <w:sz w:val="24"/>
      <w:szCs w:val="24"/>
      <w:lang w:val="es-ES"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Pr>
      <w:rFonts w:ascii="Arial" w:eastAsia="Times New Roman" w:hAnsi="Arial" w:cs="Times New Roman"/>
      <w:sz w:val="24"/>
      <w:szCs w:val="24"/>
      <w:lang w:eastAsia="es-ES"/>
    </w:rPr>
  </w:style>
  <w:style w:type="character" w:styleId="Nmerodepgina">
    <w:name w:val="page number"/>
    <w:basedOn w:val="Fuentedeprrafopredete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rPr>
      <w:rFonts w:ascii="Arial" w:eastAsia="Times New Roman" w:hAnsi="Arial" w:cs="Times New Roman"/>
      <w:sz w:val="24"/>
      <w:szCs w:val="24"/>
      <w:lang w:eastAsia="es-ES"/>
    </w:rPr>
  </w:style>
  <w:style w:type="paragraph" w:customStyle="1" w:styleId="cuerpotexto">
    <w:name w:val="cuerpotexto"/>
    <w:basedOn w:val="Normal"/>
    <w:pPr>
      <w:autoSpaceDE w:val="0"/>
      <w:autoSpaceDN w:val="0"/>
      <w:spacing w:before="45" w:after="45" w:line="240" w:lineRule="atLeast"/>
      <w:ind w:firstLine="283"/>
      <w:jc w:val="both"/>
    </w:pPr>
    <w:rPr>
      <w:rFonts w:ascii="Times" w:hAnsi="Times" w:cs="Times"/>
      <w:color w:val="000000"/>
      <w:sz w:val="22"/>
      <w:szCs w:val="22"/>
      <w:lang w:val="es-ES"/>
    </w:rPr>
  </w:style>
  <w:style w:type="paragraph" w:styleId="Textoindependiente">
    <w:name w:val="Body Text"/>
    <w:basedOn w:val="Normal"/>
    <w:link w:val="TextoindependienteCar"/>
    <w:uiPriority w:val="99"/>
    <w:unhideWhenUsed/>
  </w:style>
  <w:style w:type="character" w:customStyle="1" w:styleId="TextoindependienteCar">
    <w:name w:val="Texto independiente Car"/>
    <w:link w:val="Textoindependiente"/>
    <w:uiPriority w:val="99"/>
    <w:rPr>
      <w:rFonts w:ascii="Arial" w:eastAsia="Times New Roman" w:hAnsi="Arial" w:cs="Times New Roman"/>
      <w:sz w:val="24"/>
      <w:szCs w:val="24"/>
      <w:lang w:eastAsia="es-ES"/>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uiPriority w:val="34"/>
    <w:qFormat/>
    <w:pPr>
      <w:ind w:left="708"/>
    </w:p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eastAsia="es-ES"/>
    </w:rPr>
  </w:style>
  <w:style w:type="paragraph" w:styleId="NormalWeb">
    <w:name w:val="Normal (Web)"/>
    <w:basedOn w:val="Normal"/>
    <w:uiPriority w:val="99"/>
    <w:unhideWhenUsed/>
    <w:pPr>
      <w:spacing w:before="100" w:beforeAutospacing="1" w:after="100" w:afterAutospacing="1"/>
    </w:pPr>
    <w:rPr>
      <w:rFonts w:ascii="Times New Roman" w:hAnsi="Times New Roman"/>
      <w:lang w:eastAsia="es-CO"/>
    </w:rPr>
  </w:style>
  <w:style w:type="character" w:customStyle="1" w:styleId="apple-converted-space">
    <w:name w:val="apple-converted-space"/>
    <w:basedOn w:val="Fuentedeprrafopredete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link w:val="Textocomentario"/>
    <w:uiPriority w:val="99"/>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rFonts w:ascii="Arial" w:eastAsia="Times New Roman" w:hAnsi="Arial" w:cs="Times New Roman"/>
      <w:b/>
      <w:bCs/>
      <w:sz w:val="20"/>
      <w:szCs w:val="20"/>
      <w:lang w:eastAsia="es-ES"/>
    </w:rPr>
  </w:style>
  <w:style w:type="paragraph" w:customStyle="1" w:styleId="p2">
    <w:name w:val="p2"/>
    <w:basedOn w:val="Normal"/>
    <w:pPr>
      <w:widowControl w:val="0"/>
      <w:tabs>
        <w:tab w:val="left" w:pos="170"/>
      </w:tabs>
      <w:autoSpaceDE w:val="0"/>
      <w:autoSpaceDN w:val="0"/>
      <w:adjustRightInd w:val="0"/>
      <w:spacing w:line="240" w:lineRule="atLeast"/>
      <w:ind w:left="754"/>
      <w:jc w:val="both"/>
    </w:pPr>
    <w:rPr>
      <w:rFonts w:ascii="Times New Roman" w:hAnsi="Times New Roman"/>
      <w:lang w:val="en-US"/>
    </w:rPr>
  </w:style>
  <w:style w:type="character" w:customStyle="1" w:styleId="Ttulo2Car">
    <w:name w:val="Título 2 Car"/>
    <w:link w:val="Ttulo2"/>
    <w:rPr>
      <w:rFonts w:ascii="Arial" w:eastAsia="Times New Roman" w:hAnsi="Arial" w:cs="Arial"/>
      <w:b/>
      <w:bCs/>
      <w:sz w:val="22"/>
      <w:szCs w:val="22"/>
      <w:lang w:eastAsia="es-ES"/>
    </w:rPr>
  </w:style>
  <w:style w:type="character" w:customStyle="1" w:styleId="Ttulo3Car">
    <w:name w:val="Título 3 Car"/>
    <w:link w:val="Ttulo3"/>
    <w:uiPriority w:val="9"/>
    <w:rPr>
      <w:rFonts w:ascii="Arial" w:eastAsia="Times New Roman" w:hAnsi="Arial"/>
      <w:b/>
      <w:bCs/>
      <w:sz w:val="22"/>
      <w:szCs w:val="24"/>
      <w:lang w:eastAsia="es-ES"/>
    </w:rPr>
  </w:style>
  <w:style w:type="paragraph" w:customStyle="1" w:styleId="Epgrafe1">
    <w:name w:val="Epígrafe1"/>
    <w:basedOn w:val="Normal"/>
    <w:next w:val="Normal"/>
    <w:autoRedefine/>
    <w:uiPriority w:val="35"/>
    <w:qFormat/>
    <w:pPr>
      <w:shd w:val="clear" w:color="auto" w:fill="FFFFFF"/>
      <w:spacing w:before="0" w:after="0" w:line="0" w:lineRule="atLeast"/>
      <w:ind w:left="18"/>
      <w:jc w:val="center"/>
    </w:pPr>
    <w:rPr>
      <w:rFonts w:ascii="Calibri" w:hAnsi="Calibri" w:cs="Arial"/>
      <w:b/>
      <w:bCs/>
      <w:color w:val="000000"/>
      <w:spacing w:val="-8"/>
      <w:sz w:val="20"/>
      <w:szCs w:val="20"/>
      <w:lang w:val="es-ES_tradnl"/>
    </w:rPr>
  </w:style>
  <w:style w:type="paragraph" w:styleId="Textonotapie">
    <w:name w:val="footnote text"/>
    <w:basedOn w:val="Normal"/>
    <w:link w:val="TextonotapieCar"/>
    <w:autoRedefine/>
    <w:uiPriority w:val="99"/>
    <w:pPr>
      <w:spacing w:before="100"/>
      <w:jc w:val="both"/>
    </w:pPr>
    <w:rPr>
      <w:rFonts w:eastAsia="Calibri" w:cs="Arial"/>
      <w:sz w:val="20"/>
      <w:szCs w:val="22"/>
      <w:lang w:val="es-ES_tradnl"/>
    </w:rPr>
  </w:style>
  <w:style w:type="character" w:customStyle="1" w:styleId="TextonotapieCar">
    <w:name w:val="Texto nota pie Car"/>
    <w:link w:val="Textonotapie"/>
    <w:uiPriority w:val="99"/>
    <w:rPr>
      <w:rFonts w:ascii="Arial" w:hAnsi="Arial" w:cs="Arial"/>
      <w:szCs w:val="22"/>
      <w:lang w:val="es-ES_tradnl" w:eastAsia="es-ES"/>
    </w:rPr>
  </w:style>
  <w:style w:type="paragraph" w:styleId="TtuloTDC">
    <w:name w:val="TOC Heading"/>
    <w:basedOn w:val="Ttulo1"/>
    <w:next w:val="Normal"/>
    <w:uiPriority w:val="39"/>
    <w:unhideWhenUsed/>
    <w:qFormat/>
    <w:pPr>
      <w:keepLines/>
      <w:spacing w:before="480" w:line="276" w:lineRule="auto"/>
      <w:jc w:val="left"/>
      <w:outlineLvl w:val="9"/>
    </w:pPr>
    <w:rPr>
      <w:rFonts w:ascii="Cambria" w:hAnsi="Cambria"/>
      <w:color w:val="365F91"/>
      <w:sz w:val="28"/>
      <w:szCs w:val="28"/>
      <w:lang w:val="es-CO" w:eastAsia="es-CO"/>
    </w:rPr>
  </w:style>
  <w:style w:type="paragraph" w:styleId="TDC1">
    <w:name w:val="toc 1"/>
    <w:basedOn w:val="Normal"/>
    <w:next w:val="Normal"/>
    <w:autoRedefine/>
    <w:uiPriority w:val="39"/>
    <w:unhideWhenUsed/>
    <w:pPr>
      <w:spacing w:before="100" w:after="100"/>
      <w:jc w:val="both"/>
    </w:pPr>
    <w:rPr>
      <w:rFonts w:ascii="Calibri" w:hAnsi="Calibri"/>
      <w:szCs w:val="20"/>
      <w:lang w:val="es-ES_tradnl"/>
    </w:rPr>
  </w:style>
  <w:style w:type="paragraph" w:styleId="TDC2">
    <w:name w:val="toc 2"/>
    <w:basedOn w:val="Normal"/>
    <w:next w:val="Normal"/>
    <w:autoRedefine/>
    <w:uiPriority w:val="39"/>
    <w:unhideWhenUsed/>
    <w:pPr>
      <w:spacing w:before="100" w:after="100"/>
      <w:ind w:left="240"/>
      <w:jc w:val="both"/>
    </w:pPr>
    <w:rPr>
      <w:rFonts w:ascii="Calibri" w:hAnsi="Calibri"/>
      <w:szCs w:val="20"/>
      <w:lang w:val="es-ES_tradnl"/>
    </w:rPr>
  </w:style>
  <w:style w:type="character" w:styleId="Hipervnculo">
    <w:name w:val="Hyperlink"/>
    <w:uiPriority w:val="99"/>
    <w:unhideWhenUsed/>
    <w:rPr>
      <w:color w:val="0000FF"/>
      <w:u w:val="single"/>
    </w:rPr>
  </w:style>
  <w:style w:type="character" w:styleId="Refdenotaalpie">
    <w:name w:val="footnote reference"/>
    <w:uiPriority w:val="99"/>
    <w:unhideWhenUsed/>
    <w:rPr>
      <w:vertAlign w:val="superscript"/>
    </w:rPr>
  </w:style>
  <w:style w:type="paragraph" w:customStyle="1" w:styleId="c5">
    <w:name w:val="c5"/>
    <w:basedOn w:val="Normal"/>
    <w:pPr>
      <w:autoSpaceDE w:val="0"/>
      <w:autoSpaceDN w:val="0"/>
      <w:spacing w:line="240" w:lineRule="atLeast"/>
      <w:jc w:val="center"/>
    </w:pPr>
    <w:rPr>
      <w:rFonts w:ascii="Times New Roman" w:hAnsi="Times New Roman"/>
      <w:sz w:val="22"/>
      <w:lang w:val="es-ES"/>
    </w:rPr>
  </w:style>
  <w:style w:type="paragraph" w:styleId="TDC3">
    <w:name w:val="toc 3"/>
    <w:basedOn w:val="Normal"/>
    <w:next w:val="Normal"/>
    <w:autoRedefine/>
    <w:uiPriority w:val="39"/>
    <w:unhideWhenUsed/>
    <w:pPr>
      <w:spacing w:after="100"/>
      <w:ind w:left="440"/>
      <w:jc w:val="both"/>
    </w:pPr>
    <w:rPr>
      <w:sz w:val="22"/>
      <w:lang w:val="es-ES"/>
    </w:rPr>
  </w:style>
  <w:style w:type="table" w:customStyle="1" w:styleId="Tabladelista7concolores-nfasis61">
    <w:name w:val="Tabla de lista 7 con colores - Énfasis 61"/>
    <w:basedOn w:val="Tablanormal"/>
    <w:uiPriority w:val="52"/>
    <w:rPr>
      <w:color w:val="538135"/>
      <w:sz w:val="22"/>
      <w:szCs w:val="22"/>
      <w:lang w:eastAsia="en-US"/>
    </w:rPr>
    <w:tblPr>
      <w:tblStyleRowBandSize w:val="1"/>
      <w:tblStyleColBandSize w:val="1"/>
    </w:tblPr>
    <w:tblStylePr w:type="firstRow">
      <w:rPr>
        <w:rFonts w:ascii="+mn-ea" w:eastAsia="Times New Roman" w:hAnsi="+mn-ea" w:cs="Times New Roman"/>
        <w:i/>
        <w:iCs/>
        <w:sz w:val="26"/>
      </w:rPr>
      <w:tblPr/>
      <w:tcPr>
        <w:tcBorders>
          <w:bottom w:val="single" w:sz="4" w:space="0" w:color="70AD47"/>
        </w:tcBorders>
        <w:shd w:val="clear" w:color="auto" w:fill="FFFFFF"/>
      </w:tcPr>
    </w:tblStylePr>
    <w:tblStylePr w:type="lastRow">
      <w:rPr>
        <w:rFonts w:ascii="+mn-ea" w:eastAsia="Times New Roman" w:hAnsi="+mn-ea" w:cs="Times New Roman"/>
        <w:i/>
        <w:iCs/>
        <w:sz w:val="26"/>
      </w:rPr>
      <w:tblPr/>
      <w:tcPr>
        <w:tcBorders>
          <w:top w:val="single" w:sz="4" w:space="0" w:color="70AD47"/>
        </w:tcBorders>
        <w:shd w:val="clear" w:color="auto" w:fill="FFFFFF"/>
      </w:tcPr>
    </w:tblStylePr>
    <w:tblStylePr w:type="firstCol">
      <w:pPr>
        <w:jc w:val="right"/>
      </w:pPr>
      <w:rPr>
        <w:rFonts w:ascii="+mn-ea" w:eastAsia="Times New Roman" w:hAnsi="+mn-ea" w:cs="Times New Roman"/>
        <w:i/>
        <w:iCs/>
        <w:sz w:val="26"/>
      </w:rPr>
      <w:tblPr/>
      <w:tcPr>
        <w:tcBorders>
          <w:right w:val="single" w:sz="4" w:space="0" w:color="70AD47"/>
        </w:tcBorders>
        <w:shd w:val="clear" w:color="auto" w:fill="FFFFFF"/>
      </w:tcPr>
    </w:tblStylePr>
    <w:tblStylePr w:type="lastCol">
      <w:rPr>
        <w:rFonts w:ascii="+mn-ea" w:eastAsia="Times New Roman" w:hAnsi="+mn-ea"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n">
    <w:name w:val="Revision"/>
    <w:hidden/>
    <w:uiPriority w:val="99"/>
    <w:semiHidden/>
    <w:rPr>
      <w:rFonts w:ascii="Arial" w:eastAsia="Times New Roman" w:hAnsi="Arial"/>
      <w:sz w:val="24"/>
      <w:szCs w:val="24"/>
      <w:lang w:eastAsia="es-ES"/>
    </w:rPr>
  </w:style>
  <w:style w:type="paragraph" w:customStyle="1" w:styleId="CM18">
    <w:name w:val="CM18"/>
    <w:basedOn w:val="Default"/>
    <w:next w:val="Default"/>
    <w:uiPriority w:val="99"/>
    <w:rPr>
      <w:color w:val="auto"/>
      <w:lang w:eastAsia="es-CO"/>
    </w:rPr>
  </w:style>
  <w:style w:type="paragraph" w:styleId="Descripcin">
    <w:name w:val="caption"/>
    <w:basedOn w:val="Normal"/>
    <w:next w:val="Normal"/>
    <w:autoRedefine/>
    <w:uiPriority w:val="35"/>
    <w:qFormat/>
    <w:pPr>
      <w:shd w:val="clear" w:color="auto" w:fill="FFFFFF"/>
      <w:spacing w:after="360"/>
      <w:ind w:left="17"/>
      <w:jc w:val="center"/>
    </w:pPr>
    <w:rPr>
      <w:rFonts w:ascii="Calibri" w:hAnsi="Calibri" w:cs="Arial"/>
      <w:b/>
      <w:bCs/>
      <w:color w:val="000000"/>
      <w:spacing w:val="-8"/>
      <w:sz w:val="20"/>
      <w:szCs w:val="20"/>
      <w:lang w:val="es-ES_tradnl"/>
    </w:rPr>
  </w:style>
  <w:style w:type="paragraph" w:customStyle="1" w:styleId="Titulo2">
    <w:name w:val="Titulo2"/>
    <w:basedOn w:val="Ttulo2"/>
    <w:qFormat/>
    <w:pPr>
      <w:numPr>
        <w:numId w:val="3"/>
      </w:numPr>
      <w:spacing w:before="0" w:after="0" w:line="240" w:lineRule="auto"/>
      <w:ind w:left="720"/>
      <w:jc w:val="left"/>
    </w:pPr>
    <w:rPr>
      <w:rFonts w:ascii="Calibri Light" w:hAnsi="Calibri Light" w:cs="Times New Roman"/>
      <w:color w:val="76923C"/>
      <w:sz w:val="24"/>
      <w:szCs w:val="26"/>
      <w:lang w:val="es-ES"/>
    </w:rPr>
  </w:style>
  <w:style w:type="table" w:styleId="Tablaconcuadrcula">
    <w:name w:val="Table Grid"/>
    <w:basedOn w:val="Tablanormal"/>
    <w:uiPriority w:val="59"/>
    <w:rsid w:val="00D50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sid w:val="00194E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6742">
      <w:bodyDiv w:val="1"/>
      <w:marLeft w:val="0"/>
      <w:marRight w:val="0"/>
      <w:marTop w:val="0"/>
      <w:marBottom w:val="0"/>
      <w:divBdr>
        <w:top w:val="none" w:sz="0" w:space="0" w:color="auto"/>
        <w:left w:val="none" w:sz="0" w:space="0" w:color="auto"/>
        <w:bottom w:val="none" w:sz="0" w:space="0" w:color="auto"/>
        <w:right w:val="none" w:sz="0" w:space="0" w:color="auto"/>
      </w:divBdr>
    </w:div>
    <w:div w:id="159783464">
      <w:bodyDiv w:val="1"/>
      <w:marLeft w:val="0"/>
      <w:marRight w:val="0"/>
      <w:marTop w:val="0"/>
      <w:marBottom w:val="0"/>
      <w:divBdr>
        <w:top w:val="none" w:sz="0" w:space="0" w:color="auto"/>
        <w:left w:val="none" w:sz="0" w:space="0" w:color="auto"/>
        <w:bottom w:val="none" w:sz="0" w:space="0" w:color="auto"/>
        <w:right w:val="none" w:sz="0" w:space="0" w:color="auto"/>
      </w:divBdr>
    </w:div>
    <w:div w:id="174534561">
      <w:bodyDiv w:val="1"/>
      <w:marLeft w:val="0"/>
      <w:marRight w:val="0"/>
      <w:marTop w:val="0"/>
      <w:marBottom w:val="0"/>
      <w:divBdr>
        <w:top w:val="none" w:sz="0" w:space="0" w:color="auto"/>
        <w:left w:val="none" w:sz="0" w:space="0" w:color="auto"/>
        <w:bottom w:val="none" w:sz="0" w:space="0" w:color="auto"/>
        <w:right w:val="none" w:sz="0" w:space="0" w:color="auto"/>
      </w:divBdr>
    </w:div>
    <w:div w:id="209155239">
      <w:bodyDiv w:val="1"/>
      <w:marLeft w:val="0"/>
      <w:marRight w:val="0"/>
      <w:marTop w:val="0"/>
      <w:marBottom w:val="0"/>
      <w:divBdr>
        <w:top w:val="none" w:sz="0" w:space="0" w:color="auto"/>
        <w:left w:val="none" w:sz="0" w:space="0" w:color="auto"/>
        <w:bottom w:val="none" w:sz="0" w:space="0" w:color="auto"/>
        <w:right w:val="none" w:sz="0" w:space="0" w:color="auto"/>
      </w:divBdr>
    </w:div>
    <w:div w:id="296692630">
      <w:bodyDiv w:val="1"/>
      <w:marLeft w:val="0"/>
      <w:marRight w:val="0"/>
      <w:marTop w:val="0"/>
      <w:marBottom w:val="0"/>
      <w:divBdr>
        <w:top w:val="none" w:sz="0" w:space="0" w:color="auto"/>
        <w:left w:val="none" w:sz="0" w:space="0" w:color="auto"/>
        <w:bottom w:val="none" w:sz="0" w:space="0" w:color="auto"/>
        <w:right w:val="none" w:sz="0" w:space="0" w:color="auto"/>
      </w:divBdr>
    </w:div>
    <w:div w:id="315379459">
      <w:bodyDiv w:val="1"/>
      <w:marLeft w:val="0"/>
      <w:marRight w:val="0"/>
      <w:marTop w:val="0"/>
      <w:marBottom w:val="0"/>
      <w:divBdr>
        <w:top w:val="none" w:sz="0" w:space="0" w:color="auto"/>
        <w:left w:val="none" w:sz="0" w:space="0" w:color="auto"/>
        <w:bottom w:val="none" w:sz="0" w:space="0" w:color="auto"/>
        <w:right w:val="none" w:sz="0" w:space="0" w:color="auto"/>
      </w:divBdr>
    </w:div>
    <w:div w:id="363795144">
      <w:bodyDiv w:val="1"/>
      <w:marLeft w:val="0"/>
      <w:marRight w:val="0"/>
      <w:marTop w:val="0"/>
      <w:marBottom w:val="0"/>
      <w:divBdr>
        <w:top w:val="none" w:sz="0" w:space="0" w:color="auto"/>
        <w:left w:val="none" w:sz="0" w:space="0" w:color="auto"/>
        <w:bottom w:val="none" w:sz="0" w:space="0" w:color="auto"/>
        <w:right w:val="none" w:sz="0" w:space="0" w:color="auto"/>
      </w:divBdr>
    </w:div>
    <w:div w:id="426460199">
      <w:bodyDiv w:val="1"/>
      <w:marLeft w:val="0"/>
      <w:marRight w:val="0"/>
      <w:marTop w:val="0"/>
      <w:marBottom w:val="0"/>
      <w:divBdr>
        <w:top w:val="none" w:sz="0" w:space="0" w:color="auto"/>
        <w:left w:val="none" w:sz="0" w:space="0" w:color="auto"/>
        <w:bottom w:val="none" w:sz="0" w:space="0" w:color="auto"/>
        <w:right w:val="none" w:sz="0" w:space="0" w:color="auto"/>
      </w:divBdr>
    </w:div>
    <w:div w:id="465240268">
      <w:bodyDiv w:val="1"/>
      <w:marLeft w:val="0"/>
      <w:marRight w:val="0"/>
      <w:marTop w:val="0"/>
      <w:marBottom w:val="0"/>
      <w:divBdr>
        <w:top w:val="none" w:sz="0" w:space="0" w:color="auto"/>
        <w:left w:val="none" w:sz="0" w:space="0" w:color="auto"/>
        <w:bottom w:val="none" w:sz="0" w:space="0" w:color="auto"/>
        <w:right w:val="none" w:sz="0" w:space="0" w:color="auto"/>
      </w:divBdr>
    </w:div>
    <w:div w:id="511921205">
      <w:bodyDiv w:val="1"/>
      <w:marLeft w:val="0"/>
      <w:marRight w:val="0"/>
      <w:marTop w:val="0"/>
      <w:marBottom w:val="0"/>
      <w:divBdr>
        <w:top w:val="none" w:sz="0" w:space="0" w:color="auto"/>
        <w:left w:val="none" w:sz="0" w:space="0" w:color="auto"/>
        <w:bottom w:val="none" w:sz="0" w:space="0" w:color="auto"/>
        <w:right w:val="none" w:sz="0" w:space="0" w:color="auto"/>
      </w:divBdr>
    </w:div>
    <w:div w:id="713584114">
      <w:bodyDiv w:val="1"/>
      <w:marLeft w:val="0"/>
      <w:marRight w:val="0"/>
      <w:marTop w:val="0"/>
      <w:marBottom w:val="0"/>
      <w:divBdr>
        <w:top w:val="none" w:sz="0" w:space="0" w:color="auto"/>
        <w:left w:val="none" w:sz="0" w:space="0" w:color="auto"/>
        <w:bottom w:val="none" w:sz="0" w:space="0" w:color="auto"/>
        <w:right w:val="none" w:sz="0" w:space="0" w:color="auto"/>
      </w:divBdr>
    </w:div>
    <w:div w:id="1117020748">
      <w:bodyDiv w:val="1"/>
      <w:marLeft w:val="0"/>
      <w:marRight w:val="0"/>
      <w:marTop w:val="0"/>
      <w:marBottom w:val="0"/>
      <w:divBdr>
        <w:top w:val="none" w:sz="0" w:space="0" w:color="auto"/>
        <w:left w:val="none" w:sz="0" w:space="0" w:color="auto"/>
        <w:bottom w:val="none" w:sz="0" w:space="0" w:color="auto"/>
        <w:right w:val="none" w:sz="0" w:space="0" w:color="auto"/>
      </w:divBdr>
      <w:divsChild>
        <w:div w:id="44916638">
          <w:marLeft w:val="446"/>
          <w:marRight w:val="0"/>
          <w:marTop w:val="0"/>
          <w:marBottom w:val="0"/>
          <w:divBdr>
            <w:top w:val="none" w:sz="0" w:space="0" w:color="auto"/>
            <w:left w:val="none" w:sz="0" w:space="0" w:color="auto"/>
            <w:bottom w:val="none" w:sz="0" w:space="0" w:color="auto"/>
            <w:right w:val="none" w:sz="0" w:space="0" w:color="auto"/>
          </w:divBdr>
        </w:div>
        <w:div w:id="716393856">
          <w:marLeft w:val="446"/>
          <w:marRight w:val="0"/>
          <w:marTop w:val="0"/>
          <w:marBottom w:val="0"/>
          <w:divBdr>
            <w:top w:val="none" w:sz="0" w:space="0" w:color="auto"/>
            <w:left w:val="none" w:sz="0" w:space="0" w:color="auto"/>
            <w:bottom w:val="none" w:sz="0" w:space="0" w:color="auto"/>
            <w:right w:val="none" w:sz="0" w:space="0" w:color="auto"/>
          </w:divBdr>
        </w:div>
        <w:div w:id="760445751">
          <w:marLeft w:val="446"/>
          <w:marRight w:val="0"/>
          <w:marTop w:val="0"/>
          <w:marBottom w:val="0"/>
          <w:divBdr>
            <w:top w:val="none" w:sz="0" w:space="0" w:color="auto"/>
            <w:left w:val="none" w:sz="0" w:space="0" w:color="auto"/>
            <w:bottom w:val="none" w:sz="0" w:space="0" w:color="auto"/>
            <w:right w:val="none" w:sz="0" w:space="0" w:color="auto"/>
          </w:divBdr>
        </w:div>
        <w:div w:id="1082727306">
          <w:marLeft w:val="446"/>
          <w:marRight w:val="0"/>
          <w:marTop w:val="0"/>
          <w:marBottom w:val="0"/>
          <w:divBdr>
            <w:top w:val="none" w:sz="0" w:space="0" w:color="auto"/>
            <w:left w:val="none" w:sz="0" w:space="0" w:color="auto"/>
            <w:bottom w:val="none" w:sz="0" w:space="0" w:color="auto"/>
            <w:right w:val="none" w:sz="0" w:space="0" w:color="auto"/>
          </w:divBdr>
        </w:div>
        <w:div w:id="1255437288">
          <w:marLeft w:val="446"/>
          <w:marRight w:val="0"/>
          <w:marTop w:val="0"/>
          <w:marBottom w:val="0"/>
          <w:divBdr>
            <w:top w:val="none" w:sz="0" w:space="0" w:color="auto"/>
            <w:left w:val="none" w:sz="0" w:space="0" w:color="auto"/>
            <w:bottom w:val="none" w:sz="0" w:space="0" w:color="auto"/>
            <w:right w:val="none" w:sz="0" w:space="0" w:color="auto"/>
          </w:divBdr>
        </w:div>
        <w:div w:id="1700547496">
          <w:marLeft w:val="446"/>
          <w:marRight w:val="0"/>
          <w:marTop w:val="0"/>
          <w:marBottom w:val="0"/>
          <w:divBdr>
            <w:top w:val="none" w:sz="0" w:space="0" w:color="auto"/>
            <w:left w:val="none" w:sz="0" w:space="0" w:color="auto"/>
            <w:bottom w:val="none" w:sz="0" w:space="0" w:color="auto"/>
            <w:right w:val="none" w:sz="0" w:space="0" w:color="auto"/>
          </w:divBdr>
        </w:div>
        <w:div w:id="1797327982">
          <w:marLeft w:val="446"/>
          <w:marRight w:val="0"/>
          <w:marTop w:val="0"/>
          <w:marBottom w:val="0"/>
          <w:divBdr>
            <w:top w:val="none" w:sz="0" w:space="0" w:color="auto"/>
            <w:left w:val="none" w:sz="0" w:space="0" w:color="auto"/>
            <w:bottom w:val="none" w:sz="0" w:space="0" w:color="auto"/>
            <w:right w:val="none" w:sz="0" w:space="0" w:color="auto"/>
          </w:divBdr>
        </w:div>
      </w:divsChild>
    </w:div>
    <w:div w:id="1211726672">
      <w:bodyDiv w:val="1"/>
      <w:marLeft w:val="0"/>
      <w:marRight w:val="0"/>
      <w:marTop w:val="0"/>
      <w:marBottom w:val="0"/>
      <w:divBdr>
        <w:top w:val="none" w:sz="0" w:space="0" w:color="auto"/>
        <w:left w:val="none" w:sz="0" w:space="0" w:color="auto"/>
        <w:bottom w:val="none" w:sz="0" w:space="0" w:color="auto"/>
        <w:right w:val="none" w:sz="0" w:space="0" w:color="auto"/>
      </w:divBdr>
      <w:divsChild>
        <w:div w:id="1395009988">
          <w:marLeft w:val="446"/>
          <w:marRight w:val="0"/>
          <w:marTop w:val="0"/>
          <w:marBottom w:val="0"/>
          <w:divBdr>
            <w:top w:val="none" w:sz="0" w:space="0" w:color="auto"/>
            <w:left w:val="none" w:sz="0" w:space="0" w:color="auto"/>
            <w:bottom w:val="none" w:sz="0" w:space="0" w:color="auto"/>
            <w:right w:val="none" w:sz="0" w:space="0" w:color="auto"/>
          </w:divBdr>
        </w:div>
      </w:divsChild>
    </w:div>
    <w:div w:id="1265260123">
      <w:bodyDiv w:val="1"/>
      <w:marLeft w:val="0"/>
      <w:marRight w:val="0"/>
      <w:marTop w:val="0"/>
      <w:marBottom w:val="0"/>
      <w:divBdr>
        <w:top w:val="none" w:sz="0" w:space="0" w:color="auto"/>
        <w:left w:val="none" w:sz="0" w:space="0" w:color="auto"/>
        <w:bottom w:val="none" w:sz="0" w:space="0" w:color="auto"/>
        <w:right w:val="none" w:sz="0" w:space="0" w:color="auto"/>
      </w:divBdr>
    </w:div>
    <w:div w:id="1465657450">
      <w:bodyDiv w:val="1"/>
      <w:marLeft w:val="0"/>
      <w:marRight w:val="0"/>
      <w:marTop w:val="0"/>
      <w:marBottom w:val="0"/>
      <w:divBdr>
        <w:top w:val="none" w:sz="0" w:space="0" w:color="auto"/>
        <w:left w:val="none" w:sz="0" w:space="0" w:color="auto"/>
        <w:bottom w:val="none" w:sz="0" w:space="0" w:color="auto"/>
        <w:right w:val="none" w:sz="0" w:space="0" w:color="auto"/>
      </w:divBdr>
      <w:divsChild>
        <w:div w:id="1716275912">
          <w:marLeft w:val="1080"/>
          <w:marRight w:val="0"/>
          <w:marTop w:val="100"/>
          <w:marBottom w:val="0"/>
          <w:divBdr>
            <w:top w:val="none" w:sz="0" w:space="0" w:color="auto"/>
            <w:left w:val="none" w:sz="0" w:space="0" w:color="auto"/>
            <w:bottom w:val="none" w:sz="0" w:space="0" w:color="auto"/>
            <w:right w:val="none" w:sz="0" w:space="0" w:color="auto"/>
          </w:divBdr>
        </w:div>
        <w:div w:id="392966178">
          <w:marLeft w:val="1080"/>
          <w:marRight w:val="0"/>
          <w:marTop w:val="100"/>
          <w:marBottom w:val="0"/>
          <w:divBdr>
            <w:top w:val="none" w:sz="0" w:space="0" w:color="auto"/>
            <w:left w:val="none" w:sz="0" w:space="0" w:color="auto"/>
            <w:bottom w:val="none" w:sz="0" w:space="0" w:color="auto"/>
            <w:right w:val="none" w:sz="0" w:space="0" w:color="auto"/>
          </w:divBdr>
        </w:div>
        <w:div w:id="2015381665">
          <w:marLeft w:val="1080"/>
          <w:marRight w:val="0"/>
          <w:marTop w:val="100"/>
          <w:marBottom w:val="0"/>
          <w:divBdr>
            <w:top w:val="none" w:sz="0" w:space="0" w:color="auto"/>
            <w:left w:val="none" w:sz="0" w:space="0" w:color="auto"/>
            <w:bottom w:val="none" w:sz="0" w:space="0" w:color="auto"/>
            <w:right w:val="none" w:sz="0" w:space="0" w:color="auto"/>
          </w:divBdr>
        </w:div>
        <w:div w:id="1729257464">
          <w:marLeft w:val="1080"/>
          <w:marRight w:val="0"/>
          <w:marTop w:val="100"/>
          <w:marBottom w:val="0"/>
          <w:divBdr>
            <w:top w:val="none" w:sz="0" w:space="0" w:color="auto"/>
            <w:left w:val="none" w:sz="0" w:space="0" w:color="auto"/>
            <w:bottom w:val="none" w:sz="0" w:space="0" w:color="auto"/>
            <w:right w:val="none" w:sz="0" w:space="0" w:color="auto"/>
          </w:divBdr>
        </w:div>
        <w:div w:id="951129098">
          <w:marLeft w:val="1080"/>
          <w:marRight w:val="0"/>
          <w:marTop w:val="100"/>
          <w:marBottom w:val="0"/>
          <w:divBdr>
            <w:top w:val="none" w:sz="0" w:space="0" w:color="auto"/>
            <w:left w:val="none" w:sz="0" w:space="0" w:color="auto"/>
            <w:bottom w:val="none" w:sz="0" w:space="0" w:color="auto"/>
            <w:right w:val="none" w:sz="0" w:space="0" w:color="auto"/>
          </w:divBdr>
        </w:div>
      </w:divsChild>
    </w:div>
    <w:div w:id="1517116371">
      <w:bodyDiv w:val="1"/>
      <w:marLeft w:val="0"/>
      <w:marRight w:val="0"/>
      <w:marTop w:val="0"/>
      <w:marBottom w:val="0"/>
      <w:divBdr>
        <w:top w:val="none" w:sz="0" w:space="0" w:color="auto"/>
        <w:left w:val="none" w:sz="0" w:space="0" w:color="auto"/>
        <w:bottom w:val="none" w:sz="0" w:space="0" w:color="auto"/>
        <w:right w:val="none" w:sz="0" w:space="0" w:color="auto"/>
      </w:divBdr>
    </w:div>
    <w:div w:id="1627276444">
      <w:bodyDiv w:val="1"/>
      <w:marLeft w:val="0"/>
      <w:marRight w:val="0"/>
      <w:marTop w:val="0"/>
      <w:marBottom w:val="0"/>
      <w:divBdr>
        <w:top w:val="none" w:sz="0" w:space="0" w:color="auto"/>
        <w:left w:val="none" w:sz="0" w:space="0" w:color="auto"/>
        <w:bottom w:val="none" w:sz="0" w:space="0" w:color="auto"/>
        <w:right w:val="none" w:sz="0" w:space="0" w:color="auto"/>
      </w:divBdr>
    </w:div>
    <w:div w:id="1707950508">
      <w:bodyDiv w:val="1"/>
      <w:marLeft w:val="0"/>
      <w:marRight w:val="0"/>
      <w:marTop w:val="0"/>
      <w:marBottom w:val="0"/>
      <w:divBdr>
        <w:top w:val="none" w:sz="0" w:space="0" w:color="auto"/>
        <w:left w:val="none" w:sz="0" w:space="0" w:color="auto"/>
        <w:bottom w:val="none" w:sz="0" w:space="0" w:color="auto"/>
        <w:right w:val="none" w:sz="0" w:space="0" w:color="auto"/>
      </w:divBdr>
    </w:div>
    <w:div w:id="1720548718">
      <w:bodyDiv w:val="1"/>
      <w:marLeft w:val="0"/>
      <w:marRight w:val="0"/>
      <w:marTop w:val="0"/>
      <w:marBottom w:val="0"/>
      <w:divBdr>
        <w:top w:val="none" w:sz="0" w:space="0" w:color="auto"/>
        <w:left w:val="none" w:sz="0" w:space="0" w:color="auto"/>
        <w:bottom w:val="none" w:sz="0" w:space="0" w:color="auto"/>
        <w:right w:val="none" w:sz="0" w:space="0" w:color="auto"/>
      </w:divBdr>
    </w:div>
    <w:div w:id="1784497592">
      <w:bodyDiv w:val="1"/>
      <w:marLeft w:val="0"/>
      <w:marRight w:val="0"/>
      <w:marTop w:val="0"/>
      <w:marBottom w:val="0"/>
      <w:divBdr>
        <w:top w:val="none" w:sz="0" w:space="0" w:color="auto"/>
        <w:left w:val="none" w:sz="0" w:space="0" w:color="auto"/>
        <w:bottom w:val="none" w:sz="0" w:space="0" w:color="auto"/>
        <w:right w:val="none" w:sz="0" w:space="0" w:color="auto"/>
      </w:divBdr>
    </w:div>
    <w:div w:id="185704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69_199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44605-88FA-B94C-966F-5411E57B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2584</Words>
  <Characters>14215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ldanderino</dc:creator>
  <cp:keywords/>
  <dc:description/>
  <cp:lastModifiedBy>Juan Carlos Triana</cp:lastModifiedBy>
  <cp:revision>5</cp:revision>
  <cp:lastPrinted>2018-12-17T23:55:00Z</cp:lastPrinted>
  <dcterms:created xsi:type="dcterms:W3CDTF">2019-12-13T15:10:00Z</dcterms:created>
  <dcterms:modified xsi:type="dcterms:W3CDTF">2019-12-13T20:17:00Z</dcterms:modified>
</cp:coreProperties>
</file>