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17B" w:rsidRPr="00151463" w:rsidRDefault="006323C7" w:rsidP="006323C7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REPORTE DE SINIESTRALIDAD</w:t>
      </w:r>
    </w:p>
    <w:p w:rsidR="009C117B" w:rsidRPr="00151463" w:rsidRDefault="009C117B" w:rsidP="009C117B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</w:p>
    <w:tbl>
      <w:tblPr>
        <w:tblW w:w="87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27"/>
        <w:gridCol w:w="742"/>
        <w:gridCol w:w="1775"/>
        <w:gridCol w:w="1070"/>
        <w:gridCol w:w="2224"/>
      </w:tblGrid>
      <w:tr w:rsidR="006323C7" w:rsidRPr="00151463" w:rsidTr="00AA29CD">
        <w:trPr>
          <w:trHeight w:val="195"/>
        </w:trPr>
        <w:tc>
          <w:tcPr>
            <w:tcW w:w="2142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bookmarkEnd w:id="0"/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Nombre</w:t>
            </w:r>
          </w:p>
        </w:tc>
        <w:tc>
          <w:tcPr>
            <w:tcW w:w="827" w:type="dxa"/>
            <w:tcBorders>
              <w:top w:val="single" w:sz="4" w:space="0" w:color="76933C"/>
              <w:left w:val="single" w:sz="4" w:space="0" w:color="BFBFBF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Formato</w:t>
            </w:r>
          </w:p>
        </w:tc>
        <w:tc>
          <w:tcPr>
            <w:tcW w:w="742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Longitud</w:t>
            </w:r>
          </w:p>
        </w:tc>
        <w:tc>
          <w:tcPr>
            <w:tcW w:w="1775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Valores Válidos</w:t>
            </w:r>
          </w:p>
        </w:tc>
        <w:tc>
          <w:tcPr>
            <w:tcW w:w="1070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Obligatorio</w:t>
            </w:r>
          </w:p>
        </w:tc>
        <w:tc>
          <w:tcPr>
            <w:tcW w:w="2224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4"/>
                <w:szCs w:val="14"/>
                <w:lang w:val="es-CO" w:eastAsia="es-CO"/>
              </w:rPr>
              <w:t>Descripción</w:t>
            </w:r>
          </w:p>
        </w:tc>
      </w:tr>
      <w:tr w:rsidR="006323C7" w:rsidRPr="00151463" w:rsidTr="00AA29CD">
        <w:trPr>
          <w:trHeight w:val="747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</w:rPr>
              <w:t>NUMERO_DE_POLIZA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Numérico y 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30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 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Corresponde al número único de identificación de una póliza. Debe coincidir con el número reportado al Aplicativo, a través del Anexo 3.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323C7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3F3E21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FECHA_DE_OCURRENCIA_DEL_</w:t>
            </w:r>
          </w:p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3F3E21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10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dd/mm/aaaa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Corresponde a la fecha en la que se afecta el cultivo.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FECHA_DE_PAGO_DEL_</w:t>
            </w:r>
          </w:p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10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dd/mm/aaaa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Corresponde a la fecha en la que se paga el siniestro.</w:t>
            </w:r>
            <w:r>
              <w:rPr>
                <w:rFonts w:ascii="Arial" w:hAnsi="Arial" w:cs="Arial"/>
                <w:sz w:val="12"/>
                <w:szCs w:val="14"/>
                <w:lang w:val="es-CO" w:eastAsia="es-CO"/>
              </w:rPr>
              <w:t xml:space="preserve"> Obligatorio en caso de reportarse un siniestro pagado.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FECHA_DE_AVISO_DEL_</w:t>
            </w:r>
          </w:p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10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dd/mm/aaaa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4"/>
                <w:lang w:val="es-CO" w:eastAsia="es-CO"/>
              </w:rPr>
              <w:t>Corresponde a la fecha en la que se avisa la ocurrencia del siniestro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HECTAREAS_AFECTADAS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Numérico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6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6 dígitos (2 decimales)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Corresponde a las hectáreas afectadas por el siniestro. Es obligatorio en caso de reportar siniestro para actividades agrícolas.</w:t>
            </w:r>
          </w:p>
        </w:tc>
      </w:tr>
      <w:tr w:rsidR="006323C7" w:rsidRPr="00151463" w:rsidTr="00AA29CD">
        <w:trPr>
          <w:trHeight w:val="7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8"/>
              </w:rPr>
              <w:t>MUNICIPIO_DANE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80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Ver Anexo Municipios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Código del Municipio del listado codificados por el DANE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</w:rPr>
              <w:t>PRODUCTO_AGROPECUARIO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80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537000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>Ver hoja Productos en el archivo de carga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537000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151463">
              <w:rPr>
                <w:rFonts w:ascii="Arial" w:hAnsi="Arial" w:cs="Arial"/>
                <w:sz w:val="12"/>
                <w:szCs w:val="18"/>
              </w:rPr>
              <w:t xml:space="preserve">Indica el nombre del producto agropecuario a asegurar. </w:t>
            </w:r>
            <w:r w:rsidRPr="00151463">
              <w:rPr>
                <w:rFonts w:ascii="Arial" w:hAnsi="Arial" w:cs="Arial"/>
                <w:sz w:val="12"/>
                <w:szCs w:val="18"/>
              </w:rPr>
              <w:br/>
              <w:t>Únicamente en el caso de que el producto no esté incluido en esta lista, se deberá reportar como “Otros”.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ESTADO DEL 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Numérico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6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537000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37000">
              <w:rPr>
                <w:rFonts w:ascii="Arial" w:hAnsi="Arial" w:cs="Arial"/>
                <w:sz w:val="12"/>
                <w:szCs w:val="18"/>
              </w:rPr>
              <w:t>1= En estudio</w:t>
            </w:r>
          </w:p>
          <w:p w:rsidR="006323C7" w:rsidRPr="00537000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37000">
              <w:rPr>
                <w:rFonts w:ascii="Arial" w:hAnsi="Arial" w:cs="Arial"/>
                <w:sz w:val="12"/>
                <w:szCs w:val="18"/>
              </w:rPr>
              <w:t>2 = Pagado</w:t>
            </w:r>
          </w:p>
          <w:p w:rsidR="006323C7" w:rsidRPr="00537000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537000">
              <w:rPr>
                <w:rFonts w:ascii="Arial" w:hAnsi="Arial" w:cs="Arial"/>
                <w:sz w:val="12"/>
                <w:szCs w:val="18"/>
              </w:rPr>
              <w:t>3 = Objetado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537000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Corresponde al estado del siniestro, una vez declarado. Es obligatorio en caso de reportar siniestro. Para las definiciones de los estados, referirse a la sección 6.1.9.4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AMPARO_AFECTADO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D83B67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500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Exceso de lluvia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 xml:space="preserve">Déficit de lluvia 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Viento fuertes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Inundaciones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Heladas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Granizo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Deslizamiento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Avalancha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bookmarkStart w:id="1" w:name="_GoBack"/>
            <w:bookmarkEnd w:id="1"/>
            <w:r w:rsidRPr="00BE2D8C">
              <w:rPr>
                <w:rFonts w:ascii="Arial" w:hAnsi="Arial" w:cs="Arial"/>
                <w:sz w:val="12"/>
                <w:szCs w:val="18"/>
              </w:rPr>
              <w:t>Otra natural (cual)</w:t>
            </w:r>
          </w:p>
          <w:p w:rsidR="006323C7" w:rsidRPr="00BE2D8C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Biológica (cual)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:rsidR="006323C7" w:rsidRPr="00BE2D8C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Corresponde a la cobertura que se activó para reportar aviso o siniestro.</w:t>
            </w:r>
          </w:p>
        </w:tc>
      </w:tr>
      <w:tr w:rsidR="006323C7" w:rsidRPr="00151463" w:rsidTr="00AA29CD">
        <w:trPr>
          <w:trHeight w:val="54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VALOR</w:t>
            </w:r>
            <w:r w:rsidRPr="00151463" w:rsidDel="00364EC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 xml:space="preserve"> </w:t>
            </w: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_DEL_SINIESTRO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D83B67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D83B67">
              <w:rPr>
                <w:rFonts w:ascii="Arial" w:hAnsi="Arial" w:cs="Arial"/>
                <w:sz w:val="12"/>
                <w:szCs w:val="18"/>
              </w:rPr>
              <w:t>Numérico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15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783EE4">
              <w:rPr>
                <w:rFonts w:ascii="Arial" w:hAnsi="Arial" w:cs="Arial"/>
                <w:sz w:val="12"/>
                <w:szCs w:val="18"/>
              </w:rPr>
              <w:t>15 dígitos (2 decimales)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323C7" w:rsidRPr="00BE2D8C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Se refiere al valor total del siniestro liquidado por la aseguradora al asegurado. Es obligatorio en caso de reportar SINIESTRO PAGADO.</w:t>
            </w:r>
          </w:p>
        </w:tc>
      </w:tr>
      <w:tr w:rsidR="006323C7" w:rsidRPr="00151463" w:rsidTr="00AA29CD">
        <w:trPr>
          <w:trHeight w:val="1620"/>
        </w:trPr>
        <w:tc>
          <w:tcPr>
            <w:tcW w:w="214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:rsidR="006323C7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OBSERVACION_SOBRE_EL_</w:t>
            </w:r>
          </w:p>
          <w:p w:rsidR="006323C7" w:rsidRPr="00151463" w:rsidRDefault="006323C7" w:rsidP="00AA29CD">
            <w:pPr>
              <w:jc w:val="center"/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b/>
                <w:bCs/>
                <w:sz w:val="12"/>
                <w:szCs w:val="14"/>
                <w:lang w:val="es-CO" w:eastAsia="es-CO"/>
              </w:rPr>
              <w:t>SINIESTRO</w:t>
            </w:r>
          </w:p>
        </w:tc>
        <w:tc>
          <w:tcPr>
            <w:tcW w:w="827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D83B67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D83B67">
              <w:rPr>
                <w:rFonts w:ascii="Arial" w:hAnsi="Arial" w:cs="Arial"/>
                <w:sz w:val="12"/>
                <w:szCs w:val="18"/>
              </w:rPr>
              <w:t>Carácter</w:t>
            </w:r>
          </w:p>
        </w:tc>
        <w:tc>
          <w:tcPr>
            <w:tcW w:w="742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8"/>
              </w:rPr>
            </w:pPr>
            <w:r w:rsidRPr="00052292">
              <w:rPr>
                <w:rFonts w:ascii="Arial" w:hAnsi="Arial" w:cs="Arial"/>
                <w:sz w:val="12"/>
                <w:szCs w:val="18"/>
              </w:rPr>
              <w:t>500</w:t>
            </w:r>
          </w:p>
        </w:tc>
        <w:tc>
          <w:tcPr>
            <w:tcW w:w="1775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151463" w:rsidRDefault="006323C7" w:rsidP="00AA29CD">
            <w:pPr>
              <w:jc w:val="center"/>
              <w:rPr>
                <w:rFonts w:ascii="Arial" w:hAnsi="Arial" w:cs="Arial"/>
                <w:sz w:val="14"/>
                <w:szCs w:val="14"/>
                <w:lang w:val="es-CO" w:eastAsia="es-CO"/>
              </w:rPr>
            </w:pPr>
            <w:r w:rsidRPr="00151463">
              <w:rPr>
                <w:rFonts w:ascii="Arial" w:hAnsi="Arial" w:cs="Arial"/>
                <w:sz w:val="14"/>
                <w:szCs w:val="14"/>
                <w:lang w:val="es-CO" w:eastAsia="es-CO"/>
              </w:rPr>
              <w:t> </w:t>
            </w:r>
          </w:p>
        </w:tc>
        <w:tc>
          <w:tcPr>
            <w:tcW w:w="107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6323C7" w:rsidRPr="00052292" w:rsidRDefault="006323C7" w:rsidP="00AA29CD">
            <w:pPr>
              <w:jc w:val="center"/>
              <w:rPr>
                <w:rFonts w:ascii="Arial" w:hAnsi="Arial" w:cs="Arial"/>
                <w:sz w:val="12"/>
                <w:szCs w:val="14"/>
                <w:lang w:val="es-CO" w:eastAsia="es-CO"/>
              </w:rPr>
            </w:pPr>
            <w:r w:rsidRPr="00052292">
              <w:rPr>
                <w:rFonts w:ascii="Arial" w:hAnsi="Arial" w:cs="Arial"/>
                <w:sz w:val="12"/>
                <w:szCs w:val="14"/>
                <w:lang w:val="es-CO" w:eastAsia="es-CO"/>
              </w:rPr>
              <w:t>Sí</w:t>
            </w:r>
          </w:p>
        </w:tc>
        <w:tc>
          <w:tcPr>
            <w:tcW w:w="222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:rsidR="006323C7" w:rsidRPr="00BE2D8C" w:rsidRDefault="006323C7" w:rsidP="00AA29CD">
            <w:pPr>
              <w:rPr>
                <w:rFonts w:ascii="Arial" w:hAnsi="Arial" w:cs="Arial"/>
                <w:sz w:val="12"/>
                <w:szCs w:val="18"/>
              </w:rPr>
            </w:pPr>
            <w:r w:rsidRPr="00BE2D8C">
              <w:rPr>
                <w:rFonts w:ascii="Arial" w:hAnsi="Arial" w:cs="Arial"/>
                <w:sz w:val="12"/>
                <w:szCs w:val="18"/>
              </w:rPr>
              <w:t>Se justifican las demoras en el pago y por las que no se originó pago de indemnización; por que no se alcanzó a activar el disparador. En términos generales, se describirá cualquier situación o proceso importante sobre el evento. Es obligatorio en caso de reportar siniestro objetado.</w:t>
            </w:r>
          </w:p>
        </w:tc>
      </w:tr>
    </w:tbl>
    <w:p w:rsidR="009C117B" w:rsidRPr="00151463" w:rsidRDefault="009C117B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eastAsia="en-US"/>
        </w:rPr>
      </w:pPr>
    </w:p>
    <w:sectPr w:rsidR="009C117B" w:rsidRPr="00151463" w:rsidSect="00447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CD1" w:rsidRDefault="00952CD1" w:rsidP="001312C0">
      <w:r>
        <w:separator/>
      </w:r>
    </w:p>
  </w:endnote>
  <w:endnote w:type="continuationSeparator" w:id="0">
    <w:p w:rsidR="00952CD1" w:rsidRDefault="00952CD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AD" w:rsidRDefault="002A52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585C1C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585C1C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AD" w:rsidRDefault="002A52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CD1" w:rsidRDefault="00952CD1" w:rsidP="001312C0">
      <w:r>
        <w:separator/>
      </w:r>
    </w:p>
  </w:footnote>
  <w:footnote w:type="continuationSeparator" w:id="0">
    <w:p w:rsidR="00952CD1" w:rsidRDefault="00952CD1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AD" w:rsidRDefault="002A52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6323C7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6323C7" w:rsidRPr="00A41A00" w:rsidRDefault="006323C7" w:rsidP="006323C7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7B6DE5F1" wp14:editId="421B361A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6323C7" w:rsidRPr="002A52AD" w:rsidRDefault="006323C7" w:rsidP="006323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</w:rPr>
          </w:pPr>
          <w:r w:rsidRPr="002A52AD">
            <w:rPr>
              <w:rFonts w:ascii="Arial" w:hAnsi="Arial" w:cs="Arial"/>
              <w:bCs/>
              <w:sz w:val="22"/>
            </w:rPr>
            <w:t>Anexo VI.</w:t>
          </w:r>
          <w:r w:rsidR="002A52AD" w:rsidRPr="002A52AD">
            <w:rPr>
              <w:rFonts w:ascii="Arial" w:hAnsi="Arial" w:cs="Arial"/>
              <w:bCs/>
              <w:sz w:val="22"/>
            </w:rPr>
            <w:t>IV</w:t>
          </w:r>
        </w:p>
        <w:p w:rsidR="006323C7" w:rsidRDefault="006323C7" w:rsidP="006323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</w:rPr>
          </w:pPr>
          <w:r w:rsidRPr="006323C7">
            <w:rPr>
              <w:rFonts w:ascii="Arial" w:hAnsi="Arial" w:cs="Arial"/>
              <w:bCs/>
              <w:sz w:val="22"/>
            </w:rPr>
            <w:t xml:space="preserve">DETALLE DE LOS CAMPOS PARA </w:t>
          </w:r>
        </w:p>
        <w:p w:rsidR="006323C7" w:rsidRPr="002A52AD" w:rsidRDefault="006323C7" w:rsidP="006323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2"/>
            </w:rPr>
          </w:pPr>
          <w:r w:rsidRPr="006323C7">
            <w:rPr>
              <w:rFonts w:ascii="Arial" w:hAnsi="Arial" w:cs="Arial"/>
              <w:bCs/>
              <w:sz w:val="22"/>
            </w:rPr>
            <w:t>EL REPORTE DE SINIESTRALIDAD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6323C7" w:rsidRPr="00D12890" w:rsidRDefault="006323C7" w:rsidP="006323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6323C7" w:rsidTr="00AA29CD">
      <w:trPr>
        <w:cantSplit/>
        <w:trHeight w:val="675"/>
        <w:jc w:val="center"/>
      </w:trPr>
      <w:tc>
        <w:tcPr>
          <w:tcW w:w="2038" w:type="dxa"/>
          <w:vMerge/>
        </w:tcPr>
        <w:p w:rsidR="006323C7" w:rsidRDefault="006323C7" w:rsidP="006323C7">
          <w:pPr>
            <w:jc w:val="both"/>
          </w:pPr>
        </w:p>
      </w:tc>
      <w:tc>
        <w:tcPr>
          <w:tcW w:w="5400" w:type="dxa"/>
          <w:vMerge/>
        </w:tcPr>
        <w:p w:rsidR="006323C7" w:rsidRDefault="006323C7" w:rsidP="006323C7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6323C7" w:rsidRPr="00D12890" w:rsidRDefault="006323C7" w:rsidP="006323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2AD" w:rsidRDefault="002A52A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2292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483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2AD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1003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62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C1C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3C7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3EE4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6F6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D1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3E6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183D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238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3B67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,"/>
  <w15:chartTrackingRefBased/>
  <w15:docId w15:val="{88C6BF95-2457-478C-A5C6-3AB0293C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C9F6-9BC4-4E26-8D23-365169B3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8</cp:revision>
  <cp:lastPrinted>2016-05-23T16:42:00Z</cp:lastPrinted>
  <dcterms:created xsi:type="dcterms:W3CDTF">2016-08-11T16:48:00Z</dcterms:created>
  <dcterms:modified xsi:type="dcterms:W3CDTF">2017-06-13T22:39:00Z</dcterms:modified>
</cp:coreProperties>
</file>