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2496" w:rsidR="00486541" w:rsidP="00C33731" w:rsidRDefault="00486541" w14:paraId="476E38D6" w14:textId="77777777">
      <w:pPr>
        <w:spacing w:line="0" w:lineRule="atLeast"/>
        <w:jc w:val="center"/>
        <w:outlineLvl w:val="0"/>
        <w:rPr>
          <w:rFonts w:cs="Arial"/>
          <w:b/>
          <w:sz w:val="22"/>
          <w:szCs w:val="22"/>
        </w:rPr>
      </w:pPr>
      <w:r w:rsidRPr="00682496">
        <w:rPr>
          <w:rFonts w:cs="Arial"/>
          <w:b/>
          <w:sz w:val="22"/>
          <w:szCs w:val="22"/>
        </w:rPr>
        <w:t>REPUBLICA DE COLOMBIA</w:t>
      </w:r>
    </w:p>
    <w:p w:rsidRPr="00682496" w:rsidR="00821289" w:rsidP="00C33731" w:rsidRDefault="00821289" w14:paraId="6A875124" w14:textId="77777777">
      <w:pPr>
        <w:spacing w:line="0" w:lineRule="atLeast"/>
        <w:jc w:val="center"/>
        <w:outlineLvl w:val="0"/>
        <w:rPr>
          <w:rFonts w:cs="Arial"/>
          <w:b/>
          <w:sz w:val="22"/>
          <w:szCs w:val="22"/>
        </w:rPr>
      </w:pPr>
    </w:p>
    <w:p w:rsidRPr="00682496" w:rsidR="00486541" w:rsidP="00C33731" w:rsidRDefault="00486541" w14:paraId="6440C564" w14:textId="77777777">
      <w:pPr>
        <w:spacing w:line="0" w:lineRule="atLeast"/>
        <w:jc w:val="center"/>
        <w:outlineLvl w:val="0"/>
        <w:rPr>
          <w:rFonts w:cs="Arial"/>
          <w:b/>
          <w:sz w:val="22"/>
          <w:szCs w:val="22"/>
        </w:rPr>
      </w:pPr>
      <w:r w:rsidRPr="00682496">
        <w:rPr>
          <w:rFonts w:cs="Arial"/>
          <w:b/>
          <w:sz w:val="22"/>
          <w:szCs w:val="22"/>
        </w:rPr>
        <w:t>COMISIÓN NACIONAL DE CRÉDITO AGROPECUARIO</w:t>
      </w:r>
    </w:p>
    <w:p w:rsidRPr="00682496" w:rsidR="00821289" w:rsidP="00C33731" w:rsidRDefault="00821289" w14:paraId="23E17C13" w14:textId="77777777">
      <w:pPr>
        <w:spacing w:line="0" w:lineRule="atLeast"/>
        <w:jc w:val="center"/>
        <w:outlineLvl w:val="0"/>
        <w:rPr>
          <w:rFonts w:cs="Arial"/>
          <w:b/>
          <w:sz w:val="22"/>
          <w:szCs w:val="22"/>
        </w:rPr>
      </w:pPr>
    </w:p>
    <w:p w:rsidRPr="00682496" w:rsidR="00486541" w:rsidP="14B5080F" w:rsidRDefault="00486541" w14:paraId="1C61AA37" w14:textId="4A39976F">
      <w:pPr>
        <w:spacing w:line="0" w:lineRule="atLeast"/>
        <w:jc w:val="center"/>
        <w:outlineLvl w:val="0"/>
        <w:rPr>
          <w:rFonts w:cs="Arial"/>
          <w:b/>
          <w:sz w:val="22"/>
          <w:szCs w:val="22"/>
          <w:lang w:val="es-CO"/>
        </w:rPr>
      </w:pPr>
      <w:r w:rsidRPr="00682496">
        <w:rPr>
          <w:rFonts w:cs="Arial"/>
          <w:b/>
          <w:bCs/>
          <w:sz w:val="22"/>
          <w:szCs w:val="22"/>
        </w:rPr>
        <w:t>RESOLUCIÓN N</w:t>
      </w:r>
      <w:r w:rsidRPr="00682496" w:rsidR="00ED3DE0">
        <w:rPr>
          <w:rFonts w:cs="Arial"/>
          <w:b/>
          <w:bCs/>
          <w:sz w:val="22"/>
          <w:szCs w:val="22"/>
        </w:rPr>
        <w:t>o</w:t>
      </w:r>
      <w:r w:rsidRPr="00682496">
        <w:rPr>
          <w:rFonts w:cs="Arial"/>
          <w:b/>
          <w:bCs/>
          <w:sz w:val="22"/>
          <w:szCs w:val="22"/>
        </w:rPr>
        <w:t xml:space="preserve">. </w:t>
      </w:r>
      <w:r w:rsidRPr="00682496" w:rsidR="004715DA">
        <w:rPr>
          <w:rFonts w:cs="Arial"/>
          <w:b/>
          <w:sz w:val="22"/>
          <w:szCs w:val="22"/>
          <w:lang w:val="es-CO"/>
        </w:rPr>
        <w:t>5</w:t>
      </w:r>
      <w:r w:rsidRPr="00682496" w:rsidR="004846A9">
        <w:rPr>
          <w:rFonts w:cs="Arial"/>
          <w:b/>
          <w:sz w:val="22"/>
          <w:szCs w:val="22"/>
          <w:lang w:val="es-CO"/>
        </w:rPr>
        <w:t xml:space="preserve"> </w:t>
      </w:r>
      <w:r w:rsidRPr="00682496">
        <w:rPr>
          <w:rFonts w:cs="Arial"/>
          <w:b/>
          <w:sz w:val="22"/>
          <w:szCs w:val="22"/>
          <w:lang w:val="es-CO"/>
        </w:rPr>
        <w:t>DE 20</w:t>
      </w:r>
      <w:r w:rsidRPr="00682496" w:rsidR="00821289">
        <w:rPr>
          <w:rFonts w:cs="Arial"/>
          <w:b/>
          <w:sz w:val="22"/>
          <w:szCs w:val="22"/>
          <w:lang w:val="es-CO"/>
        </w:rPr>
        <w:t>2</w:t>
      </w:r>
      <w:r w:rsidRPr="00682496" w:rsidR="3C074930">
        <w:rPr>
          <w:rFonts w:cs="Arial"/>
          <w:b/>
          <w:sz w:val="22"/>
          <w:szCs w:val="22"/>
          <w:lang w:val="es-CO"/>
        </w:rPr>
        <w:t>3</w:t>
      </w:r>
    </w:p>
    <w:p w:rsidRPr="00682496" w:rsidR="00821289" w:rsidP="00C33731" w:rsidRDefault="00400DF3" w14:paraId="69CBB421" w14:textId="6F2F1073">
      <w:pPr>
        <w:spacing w:line="0" w:lineRule="atLeast"/>
        <w:jc w:val="center"/>
        <w:outlineLvl w:val="0"/>
        <w:rPr>
          <w:rFonts w:cs="Arial"/>
          <w:b/>
          <w:sz w:val="22"/>
          <w:szCs w:val="22"/>
          <w:lang w:val="es-CO"/>
        </w:rPr>
      </w:pPr>
      <w:r w:rsidRPr="00682496">
        <w:rPr>
          <w:rFonts w:cs="Arial"/>
          <w:b/>
          <w:sz w:val="22"/>
          <w:szCs w:val="22"/>
          <w:lang w:val="es-CO"/>
        </w:rPr>
        <w:t>(</w:t>
      </w:r>
      <w:proofErr w:type="gramStart"/>
      <w:r w:rsidRPr="00682496" w:rsidR="004846A9">
        <w:rPr>
          <w:rFonts w:cs="Arial"/>
          <w:b/>
          <w:sz w:val="22"/>
          <w:szCs w:val="22"/>
          <w:lang w:val="es-CO"/>
        </w:rPr>
        <w:t>Agosto</w:t>
      </w:r>
      <w:proofErr w:type="gramEnd"/>
      <w:r w:rsidRPr="00682496" w:rsidR="004846A9">
        <w:rPr>
          <w:rFonts w:cs="Arial"/>
          <w:b/>
          <w:sz w:val="22"/>
          <w:szCs w:val="22"/>
          <w:lang w:val="es-CO"/>
        </w:rPr>
        <w:t xml:space="preserve"> </w:t>
      </w:r>
      <w:r w:rsidRPr="00682496" w:rsidR="004715DA">
        <w:rPr>
          <w:rFonts w:cs="Arial"/>
          <w:b/>
          <w:sz w:val="22"/>
          <w:szCs w:val="22"/>
          <w:lang w:val="es-CO"/>
        </w:rPr>
        <w:t>17</w:t>
      </w:r>
      <w:r w:rsidRPr="00682496" w:rsidR="00A476CC">
        <w:rPr>
          <w:rFonts w:cs="Arial"/>
          <w:b/>
          <w:sz w:val="22"/>
          <w:szCs w:val="22"/>
          <w:lang w:val="es-CO"/>
        </w:rPr>
        <w:t xml:space="preserve"> </w:t>
      </w:r>
      <w:r w:rsidRPr="00682496" w:rsidR="00831C74">
        <w:rPr>
          <w:rFonts w:cs="Arial"/>
          <w:b/>
          <w:sz w:val="22"/>
          <w:szCs w:val="22"/>
          <w:lang w:val="es-CO"/>
        </w:rPr>
        <w:t>de 2023</w:t>
      </w:r>
      <w:r w:rsidRPr="00682496">
        <w:rPr>
          <w:rFonts w:cs="Arial"/>
          <w:b/>
          <w:sz w:val="22"/>
          <w:szCs w:val="22"/>
          <w:lang w:val="es-CO"/>
        </w:rPr>
        <w:t>)</w:t>
      </w:r>
    </w:p>
    <w:p w:rsidRPr="00682496" w:rsidR="00486541" w:rsidP="00C33731" w:rsidRDefault="00486541" w14:paraId="58068DC0" w14:textId="77777777">
      <w:pPr>
        <w:spacing w:line="0" w:lineRule="atLeast"/>
        <w:jc w:val="center"/>
        <w:rPr>
          <w:rFonts w:cs="Arial"/>
          <w:b/>
          <w:sz w:val="22"/>
          <w:szCs w:val="22"/>
          <w:lang w:val="es-CO"/>
        </w:rPr>
      </w:pPr>
    </w:p>
    <w:p w:rsidRPr="00682496" w:rsidR="00361F93" w:rsidP="00C33731" w:rsidRDefault="00FD090C" w14:paraId="20D95E7B" w14:textId="5CE9B83F">
      <w:pPr>
        <w:spacing w:line="0" w:lineRule="atLeast"/>
        <w:jc w:val="center"/>
        <w:rPr>
          <w:rFonts w:cs="Arial"/>
          <w:sz w:val="22"/>
          <w:szCs w:val="22"/>
        </w:rPr>
      </w:pPr>
      <w:r w:rsidRPr="00682496">
        <w:rPr>
          <w:rFonts w:cs="Arial"/>
          <w:sz w:val="22"/>
          <w:szCs w:val="22"/>
        </w:rPr>
        <w:t>“</w:t>
      </w:r>
      <w:r w:rsidRPr="00682496" w:rsidR="00ED3DE0">
        <w:rPr>
          <w:rFonts w:cs="Arial"/>
          <w:sz w:val="22"/>
          <w:szCs w:val="22"/>
        </w:rPr>
        <w:t>Por la cual se</w:t>
      </w:r>
      <w:r w:rsidRPr="00682496" w:rsidR="00DD109B">
        <w:rPr>
          <w:rFonts w:cs="Arial"/>
          <w:sz w:val="22"/>
          <w:szCs w:val="22"/>
        </w:rPr>
        <w:t xml:space="preserve"> modifica</w:t>
      </w:r>
      <w:r w:rsidRPr="00682496" w:rsidR="00400DF3">
        <w:rPr>
          <w:rFonts w:cs="Arial"/>
          <w:sz w:val="22"/>
          <w:szCs w:val="22"/>
        </w:rPr>
        <w:t xml:space="preserve"> </w:t>
      </w:r>
      <w:r w:rsidRPr="00682496" w:rsidR="00E203B5">
        <w:rPr>
          <w:rFonts w:cs="Arial"/>
          <w:sz w:val="22"/>
          <w:szCs w:val="22"/>
        </w:rPr>
        <w:t xml:space="preserve">la Resolución 2 de 2023 </w:t>
      </w:r>
      <w:r w:rsidRPr="00682496" w:rsidR="00B944CB">
        <w:rPr>
          <w:rFonts w:cs="Arial"/>
          <w:snapToGrid w:val="0"/>
          <w:sz w:val="22"/>
          <w:szCs w:val="22"/>
        </w:rPr>
        <w:t>de la Comisión Nacional de Crédito Agropecuario por la cual se establece</w:t>
      </w:r>
      <w:r w:rsidRPr="00682496" w:rsidR="00B944CB">
        <w:rPr>
          <w:rFonts w:cs="Arial"/>
          <w:sz w:val="22"/>
          <w:szCs w:val="22"/>
        </w:rPr>
        <w:t xml:space="preserve"> </w:t>
      </w:r>
      <w:r w:rsidRPr="00682496" w:rsidR="00400DF3">
        <w:rPr>
          <w:rFonts w:cs="Arial"/>
          <w:sz w:val="22"/>
          <w:szCs w:val="22"/>
        </w:rPr>
        <w:t>el Plan Anual de Microfinanzas Rurales para el año 202</w:t>
      </w:r>
      <w:r w:rsidRPr="00682496" w:rsidR="6F008343">
        <w:rPr>
          <w:rFonts w:cs="Arial"/>
          <w:sz w:val="22"/>
          <w:szCs w:val="22"/>
        </w:rPr>
        <w:t>3</w:t>
      </w:r>
      <w:r w:rsidRPr="00682496" w:rsidR="006E3234">
        <w:rPr>
          <w:rFonts w:cs="Arial"/>
          <w:sz w:val="22"/>
          <w:szCs w:val="22"/>
        </w:rPr>
        <w:t xml:space="preserve"> y</w:t>
      </w:r>
      <w:r w:rsidRPr="00682496" w:rsidR="001057DC">
        <w:rPr>
          <w:rFonts w:cs="Arial"/>
          <w:sz w:val="22"/>
          <w:szCs w:val="22"/>
        </w:rPr>
        <w:t xml:space="preserve"> se crea</w:t>
      </w:r>
      <w:r w:rsidRPr="00682496" w:rsidR="006E3234">
        <w:rPr>
          <w:rFonts w:cs="Arial"/>
          <w:sz w:val="22"/>
          <w:szCs w:val="22"/>
        </w:rPr>
        <w:t>n</w:t>
      </w:r>
      <w:r w:rsidRPr="00682496" w:rsidR="001057DC">
        <w:rPr>
          <w:rFonts w:cs="Arial"/>
          <w:sz w:val="22"/>
          <w:szCs w:val="22"/>
        </w:rPr>
        <w:t xml:space="preserve"> la Línea </w:t>
      </w:r>
      <w:r w:rsidRPr="00682496" w:rsidR="008D0E87">
        <w:rPr>
          <w:rFonts w:cs="Arial"/>
          <w:sz w:val="22"/>
          <w:szCs w:val="22"/>
        </w:rPr>
        <w:t xml:space="preserve">Especial </w:t>
      </w:r>
      <w:r w:rsidRPr="00682496" w:rsidR="001057DC">
        <w:rPr>
          <w:rFonts w:cs="Arial"/>
          <w:sz w:val="22"/>
          <w:szCs w:val="22"/>
        </w:rPr>
        <w:t xml:space="preserve">de </w:t>
      </w:r>
      <w:r w:rsidRPr="00682496" w:rsidR="009341E4">
        <w:rPr>
          <w:rFonts w:cs="Arial"/>
          <w:sz w:val="22"/>
          <w:szCs w:val="22"/>
        </w:rPr>
        <w:t>Microc</w:t>
      </w:r>
      <w:r w:rsidRPr="00682496" w:rsidR="001057DC">
        <w:rPr>
          <w:rFonts w:cs="Arial"/>
          <w:sz w:val="22"/>
          <w:szCs w:val="22"/>
        </w:rPr>
        <w:t xml:space="preserve">rédito Inclusión Financiera Economía Popular y </w:t>
      </w:r>
      <w:r w:rsidRPr="00682496" w:rsidR="2D6CBABC">
        <w:rPr>
          <w:rFonts w:cs="Arial"/>
          <w:sz w:val="22"/>
          <w:szCs w:val="22"/>
        </w:rPr>
        <w:t>la cuenta d</w:t>
      </w:r>
      <w:r w:rsidRPr="00682496" w:rsidR="001057DC">
        <w:rPr>
          <w:rFonts w:cs="Arial"/>
          <w:sz w:val="22"/>
          <w:szCs w:val="22"/>
        </w:rPr>
        <w:t xml:space="preserve">el FAG especial para la </w:t>
      </w:r>
      <w:r w:rsidRPr="00682496" w:rsidR="007C2D5F">
        <w:rPr>
          <w:rFonts w:cs="Arial"/>
          <w:sz w:val="22"/>
          <w:szCs w:val="22"/>
        </w:rPr>
        <w:t>E</w:t>
      </w:r>
      <w:r w:rsidRPr="00682496" w:rsidR="001057DC">
        <w:rPr>
          <w:rFonts w:cs="Arial"/>
          <w:sz w:val="22"/>
          <w:szCs w:val="22"/>
        </w:rPr>
        <w:t xml:space="preserve">conomía </w:t>
      </w:r>
      <w:r w:rsidRPr="00682496" w:rsidR="007C2D5F">
        <w:rPr>
          <w:rFonts w:cs="Arial"/>
          <w:sz w:val="22"/>
          <w:szCs w:val="22"/>
        </w:rPr>
        <w:t>P</w:t>
      </w:r>
      <w:r w:rsidRPr="00682496" w:rsidR="001057DC">
        <w:rPr>
          <w:rFonts w:cs="Arial"/>
          <w:sz w:val="22"/>
          <w:szCs w:val="22"/>
        </w:rPr>
        <w:t>opular</w:t>
      </w:r>
      <w:r w:rsidRPr="00682496">
        <w:rPr>
          <w:rFonts w:cs="Arial"/>
          <w:sz w:val="22"/>
          <w:szCs w:val="22"/>
        </w:rPr>
        <w:t>”</w:t>
      </w:r>
    </w:p>
    <w:p w:rsidRPr="00682496" w:rsidR="00486541" w:rsidP="00C33731" w:rsidRDefault="00486541" w14:paraId="4E0A6010" w14:textId="77777777">
      <w:pPr>
        <w:spacing w:line="0" w:lineRule="atLeast"/>
        <w:jc w:val="center"/>
        <w:rPr>
          <w:rFonts w:cs="Arial"/>
          <w:sz w:val="22"/>
          <w:szCs w:val="22"/>
        </w:rPr>
      </w:pPr>
    </w:p>
    <w:p w:rsidRPr="00682496" w:rsidR="00361F93" w:rsidP="00C33731" w:rsidRDefault="00361F93" w14:paraId="7F14154F" w14:textId="77777777">
      <w:pPr>
        <w:spacing w:line="0" w:lineRule="atLeast"/>
        <w:jc w:val="center"/>
        <w:outlineLvl w:val="0"/>
        <w:rPr>
          <w:rFonts w:cs="Arial"/>
          <w:b/>
          <w:sz w:val="22"/>
          <w:szCs w:val="22"/>
        </w:rPr>
      </w:pPr>
      <w:r w:rsidRPr="00682496">
        <w:rPr>
          <w:rFonts w:cs="Arial"/>
          <w:b/>
          <w:sz w:val="22"/>
          <w:szCs w:val="22"/>
        </w:rPr>
        <w:t>LA COMISION NACIONAL DE CREDITO AGROPECUARIO,</w:t>
      </w:r>
    </w:p>
    <w:p w:rsidRPr="00682496" w:rsidR="00361F93" w:rsidP="00C33731" w:rsidRDefault="00361F93" w14:paraId="40826D30" w14:textId="77777777">
      <w:pPr>
        <w:spacing w:line="0" w:lineRule="atLeast"/>
        <w:jc w:val="center"/>
        <w:rPr>
          <w:rFonts w:cs="Arial"/>
          <w:sz w:val="22"/>
          <w:szCs w:val="22"/>
        </w:rPr>
      </w:pPr>
    </w:p>
    <w:p w:rsidRPr="00682496" w:rsidR="002E7EA8" w:rsidP="002E7EA8" w:rsidRDefault="00A87F0F" w14:paraId="66A39D15" w14:textId="1D043D54">
      <w:pPr>
        <w:spacing w:line="0" w:lineRule="atLeast"/>
        <w:jc w:val="center"/>
        <w:rPr>
          <w:rFonts w:cs="Arial"/>
          <w:sz w:val="22"/>
          <w:szCs w:val="22"/>
        </w:rPr>
      </w:pPr>
      <w:r w:rsidRPr="00682496">
        <w:rPr>
          <w:rFonts w:cs="Arial"/>
          <w:sz w:val="22"/>
          <w:szCs w:val="22"/>
        </w:rPr>
        <w:t>En ejercicio de las facultades conferidas en el artículo 218 del Estatuto Orgánico del Sistema Financiero, el Decreto Ley 2371 de 2015 y el Decreto 1313 de 1990, y</w:t>
      </w:r>
    </w:p>
    <w:p w:rsidRPr="00682496" w:rsidR="002E7EA8" w:rsidP="00C33731" w:rsidRDefault="002E7EA8" w14:paraId="2DCE15E2" w14:textId="77777777">
      <w:pPr>
        <w:spacing w:line="0" w:lineRule="atLeast"/>
        <w:jc w:val="both"/>
        <w:rPr>
          <w:rFonts w:cs="Arial"/>
          <w:sz w:val="22"/>
          <w:szCs w:val="22"/>
        </w:rPr>
      </w:pPr>
    </w:p>
    <w:p w:rsidRPr="00682496" w:rsidR="00821289" w:rsidP="00C33731" w:rsidRDefault="00821289" w14:paraId="562A3E1D" w14:textId="77777777">
      <w:pPr>
        <w:spacing w:line="0" w:lineRule="atLeast"/>
        <w:jc w:val="center"/>
        <w:rPr>
          <w:rFonts w:cs="Arial"/>
          <w:sz w:val="22"/>
          <w:szCs w:val="22"/>
        </w:rPr>
      </w:pPr>
      <w:r w:rsidRPr="00682496">
        <w:rPr>
          <w:rFonts w:cs="Arial"/>
          <w:b/>
          <w:sz w:val="22"/>
          <w:szCs w:val="22"/>
        </w:rPr>
        <w:t>CONSIDERANDO</w:t>
      </w:r>
    </w:p>
    <w:p w:rsidRPr="00682496" w:rsidR="00821289" w:rsidP="00C33731" w:rsidRDefault="00821289" w14:paraId="2D9DD586" w14:textId="77777777">
      <w:pPr>
        <w:spacing w:line="0" w:lineRule="atLeast"/>
        <w:jc w:val="center"/>
        <w:rPr>
          <w:rFonts w:cs="Arial"/>
          <w:sz w:val="22"/>
          <w:szCs w:val="22"/>
        </w:rPr>
      </w:pPr>
    </w:p>
    <w:p w:rsidRPr="00682496" w:rsidR="002E3466" w:rsidP="00C33731" w:rsidRDefault="002E3466" w14:paraId="1B153A3E" w14:textId="669335F5">
      <w:pPr>
        <w:spacing w:line="0" w:lineRule="atLeast"/>
        <w:jc w:val="both"/>
        <w:outlineLvl w:val="0"/>
        <w:rPr>
          <w:rFonts w:cs="Arial"/>
          <w:sz w:val="22"/>
          <w:szCs w:val="22"/>
        </w:rPr>
      </w:pPr>
    </w:p>
    <w:p w:rsidRPr="00682496" w:rsidR="003B651B" w:rsidP="00D57DEB" w:rsidRDefault="003B651B" w14:paraId="524E7FE5" w14:textId="1243A516">
      <w:pPr>
        <w:pStyle w:val="Prrafodelista"/>
        <w:numPr>
          <w:ilvl w:val="0"/>
          <w:numId w:val="31"/>
        </w:numPr>
        <w:ind w:left="0" w:firstLine="0"/>
        <w:jc w:val="both"/>
        <w:rPr>
          <w:rFonts w:cs="Arial"/>
          <w:sz w:val="22"/>
          <w:szCs w:val="22"/>
        </w:rPr>
      </w:pPr>
      <w:r w:rsidRPr="00682496">
        <w:rPr>
          <w:rFonts w:cs="Arial"/>
          <w:sz w:val="22"/>
          <w:szCs w:val="22"/>
        </w:rPr>
        <w:t xml:space="preserve">Que de acuerdo con lo dispuesto en el numeral 2 del artículo 218 del Estatuto Orgánico del Sistema Financiero, modificado por el artículo 2o del Decreto Ley 2371 de 2015, corresponde a la Comisión Nacional de Crédito Agropecuario </w:t>
      </w:r>
      <w:r w:rsidRPr="00682496" w:rsidR="0010502C">
        <w:rPr>
          <w:rFonts w:cs="Arial"/>
          <w:sz w:val="22"/>
          <w:szCs w:val="22"/>
        </w:rPr>
        <w:t>(</w:t>
      </w:r>
      <w:r w:rsidRPr="00682496">
        <w:rPr>
          <w:rFonts w:cs="Arial"/>
          <w:sz w:val="22"/>
          <w:szCs w:val="22"/>
        </w:rPr>
        <w:t>CNCA</w:t>
      </w:r>
      <w:r w:rsidRPr="00682496" w:rsidR="0010502C">
        <w:rPr>
          <w:rFonts w:cs="Arial"/>
          <w:sz w:val="22"/>
          <w:szCs w:val="22"/>
        </w:rPr>
        <w:t>)</w:t>
      </w:r>
      <w:r w:rsidRPr="00682496">
        <w:rPr>
          <w:rFonts w:cs="Arial"/>
          <w:sz w:val="22"/>
          <w:szCs w:val="22"/>
        </w:rPr>
        <w:t>:</w:t>
      </w:r>
    </w:p>
    <w:p w:rsidRPr="00682496" w:rsidR="003B651B" w:rsidP="007B74A0" w:rsidRDefault="003B651B" w14:paraId="288D5BD2" w14:textId="77777777">
      <w:pPr>
        <w:jc w:val="both"/>
        <w:rPr>
          <w:rFonts w:cs="Arial"/>
          <w:sz w:val="22"/>
          <w:szCs w:val="22"/>
        </w:rPr>
      </w:pPr>
    </w:p>
    <w:p w:rsidRPr="00682496" w:rsidR="003B651B" w:rsidP="007B74A0" w:rsidRDefault="003B651B" w14:paraId="520842C8" w14:textId="77777777">
      <w:pPr>
        <w:ind w:left="142"/>
        <w:jc w:val="both"/>
        <w:rPr>
          <w:rFonts w:cs="Arial"/>
          <w:i/>
          <w:sz w:val="22"/>
          <w:szCs w:val="22"/>
        </w:rPr>
      </w:pPr>
      <w:r w:rsidRPr="00682496">
        <w:rPr>
          <w:rFonts w:cs="Arial"/>
          <w:i/>
          <w:sz w:val="22"/>
          <w:szCs w:val="22"/>
        </w:rPr>
        <w:t xml:space="preserve">“(…) </w:t>
      </w:r>
    </w:p>
    <w:p w:rsidRPr="00682496" w:rsidR="008E1AB7" w:rsidP="008E1AB7" w:rsidRDefault="008E1AB7" w14:paraId="6D8567D3" w14:textId="77777777">
      <w:pPr>
        <w:rPr>
          <w:rFonts w:cs="Arial"/>
          <w:i/>
          <w:sz w:val="22"/>
          <w:szCs w:val="22"/>
        </w:rPr>
      </w:pPr>
    </w:p>
    <w:p w:rsidRPr="00682496" w:rsidR="000C70E1" w:rsidP="00E17E74" w:rsidRDefault="008E1AB7" w14:paraId="53940F5C" w14:textId="27AEFCEA">
      <w:pPr>
        <w:ind w:left="142"/>
        <w:jc w:val="both"/>
        <w:rPr>
          <w:rFonts w:cs="Arial"/>
          <w:i/>
          <w:color w:val="000000" w:themeColor="text1"/>
          <w:sz w:val="22"/>
          <w:szCs w:val="22"/>
        </w:rPr>
      </w:pPr>
      <w:r w:rsidRPr="00682496">
        <w:rPr>
          <w:rFonts w:cs="Arial"/>
          <w:i/>
          <w:color w:val="000000" w:themeColor="text1"/>
          <w:sz w:val="22"/>
          <w:szCs w:val="22"/>
        </w:rPr>
        <w:t xml:space="preserve">b) </w:t>
      </w:r>
      <w:r w:rsidRPr="00682496" w:rsidR="000C70E1">
        <w:rPr>
          <w:rFonts w:cs="Arial"/>
          <w:i/>
          <w:color w:val="000000" w:themeColor="text1"/>
          <w:sz w:val="22"/>
          <w:szCs w:val="22"/>
        </w:rPr>
        <w:t>Establecer las actividades, los costos y los porcentajes de estos últimos que podrán ser objeto de financiación por parte de las entidades que integran el Sistema Nacional de Crédito Agropecuario.</w:t>
      </w:r>
    </w:p>
    <w:p w:rsidRPr="00682496" w:rsidR="000C70E1" w:rsidP="00E17E74" w:rsidRDefault="000C70E1" w14:paraId="17A36088" w14:textId="77777777">
      <w:pPr>
        <w:spacing w:line="120" w:lineRule="auto"/>
        <w:ind w:left="142"/>
        <w:jc w:val="both"/>
        <w:rPr>
          <w:rFonts w:cs="Arial"/>
          <w:i/>
          <w:sz w:val="22"/>
          <w:szCs w:val="22"/>
        </w:rPr>
      </w:pPr>
    </w:p>
    <w:p w:rsidRPr="00682496" w:rsidR="003B651B" w:rsidP="00E17E74" w:rsidRDefault="000D0059" w14:paraId="52184372" w14:textId="00D85A6F">
      <w:pPr>
        <w:ind w:left="142"/>
        <w:jc w:val="both"/>
        <w:rPr>
          <w:rFonts w:cs="Arial"/>
          <w:i/>
          <w:iCs/>
          <w:sz w:val="22"/>
          <w:szCs w:val="22"/>
        </w:rPr>
      </w:pPr>
      <w:r w:rsidRPr="00682496">
        <w:rPr>
          <w:rFonts w:cs="Arial"/>
          <w:i/>
          <w:iCs/>
          <w:sz w:val="22"/>
          <w:szCs w:val="22"/>
        </w:rPr>
        <w:t xml:space="preserve">c) </w:t>
      </w:r>
      <w:r w:rsidRPr="00682496" w:rsidR="003B651B">
        <w:rPr>
          <w:rFonts w:cs="Arial"/>
          <w:i/>
          <w:iCs/>
          <w:sz w:val="22"/>
          <w:szCs w:val="22"/>
        </w:rPr>
        <w:t>Fijar, dentro de los límites de carácter general que señale la Junta Directiva del Banco de la República, las políticas sobre las tasas de interés que se cobrarán a los usuarios del crédito por parte de las entidades que integran el Sistema Nacional de Crédito Agropecuario.</w:t>
      </w:r>
    </w:p>
    <w:p w:rsidRPr="00682496" w:rsidR="12A19A18" w:rsidP="00E17E74" w:rsidRDefault="12A19A18" w14:paraId="3BF84C05" w14:textId="375C1F9C">
      <w:pPr>
        <w:ind w:left="142"/>
        <w:jc w:val="both"/>
        <w:rPr>
          <w:rFonts w:cs="Arial"/>
          <w:i/>
          <w:iCs/>
          <w:sz w:val="22"/>
          <w:szCs w:val="22"/>
        </w:rPr>
      </w:pPr>
    </w:p>
    <w:p w:rsidRPr="00682496" w:rsidR="707EDB82" w:rsidP="0C3BFAA4" w:rsidRDefault="707EDB82" w14:paraId="6F194BD0" w14:textId="77777777">
      <w:pPr>
        <w:ind w:left="142"/>
        <w:jc w:val="both"/>
        <w:rPr>
          <w:rFonts w:eastAsia="Arial" w:cs="Arial"/>
          <w:i/>
          <w:iCs/>
          <w:sz w:val="22"/>
          <w:szCs w:val="22"/>
        </w:rPr>
      </w:pPr>
      <w:r w:rsidRPr="00682496">
        <w:rPr>
          <w:rFonts w:eastAsia="Arial" w:cs="Arial"/>
          <w:i/>
          <w:iCs/>
          <w:sz w:val="22"/>
          <w:szCs w:val="22"/>
        </w:rPr>
        <w:t>(…)</w:t>
      </w:r>
    </w:p>
    <w:p w:rsidRPr="00682496" w:rsidR="0C3BFAA4" w:rsidP="0C3BFAA4" w:rsidRDefault="0C3BFAA4" w14:paraId="75535FEB" w14:textId="5B8F93C8">
      <w:pPr>
        <w:ind w:left="142"/>
        <w:jc w:val="both"/>
        <w:rPr>
          <w:rFonts w:cs="Arial"/>
          <w:i/>
          <w:iCs/>
          <w:sz w:val="22"/>
          <w:szCs w:val="22"/>
        </w:rPr>
      </w:pPr>
    </w:p>
    <w:p w:rsidRPr="00682496" w:rsidR="1AA9CDC2" w:rsidP="00E17E74" w:rsidRDefault="1AA9CDC2" w14:paraId="6BAFE390" w14:textId="40CB5090">
      <w:pPr>
        <w:ind w:left="142"/>
        <w:jc w:val="both"/>
        <w:rPr>
          <w:rFonts w:eastAsia="Arial" w:cs="Arial"/>
          <w:i/>
          <w:sz w:val="22"/>
          <w:szCs w:val="22"/>
        </w:rPr>
      </w:pPr>
      <w:r w:rsidRPr="00682496">
        <w:rPr>
          <w:rFonts w:eastAsia="Arial" w:cs="Arial"/>
          <w:i/>
          <w:sz w:val="22"/>
          <w:szCs w:val="22"/>
        </w:rPr>
        <w:t>f) Fijar las tasas y márgenes de redescuento de las operaciones que apruebe Finagro</w:t>
      </w:r>
      <w:r w:rsidRPr="00682496" w:rsidR="0021229E">
        <w:rPr>
          <w:rFonts w:eastAsia="Arial" w:cs="Arial"/>
          <w:i/>
          <w:sz w:val="22"/>
          <w:szCs w:val="22"/>
        </w:rPr>
        <w:t>.</w:t>
      </w:r>
    </w:p>
    <w:p w:rsidRPr="00682496" w:rsidR="003B651B" w:rsidP="00E17E74" w:rsidRDefault="003B651B" w14:paraId="1BF99B17" w14:textId="32B1F320">
      <w:pPr>
        <w:ind w:left="142"/>
        <w:jc w:val="both"/>
        <w:rPr>
          <w:rFonts w:eastAsia="Arial" w:cs="Arial"/>
          <w:i/>
          <w:sz w:val="22"/>
          <w:szCs w:val="22"/>
        </w:rPr>
      </w:pPr>
    </w:p>
    <w:p w:rsidRPr="00682496" w:rsidR="003B651B" w:rsidP="007B74A0" w:rsidRDefault="003B651B" w14:paraId="444CC242" w14:textId="77777777">
      <w:pPr>
        <w:ind w:left="142"/>
        <w:jc w:val="both"/>
        <w:rPr>
          <w:rFonts w:eastAsia="Arial" w:cs="Arial"/>
          <w:i/>
          <w:sz w:val="22"/>
          <w:szCs w:val="22"/>
        </w:rPr>
      </w:pPr>
      <w:r w:rsidRPr="00682496">
        <w:rPr>
          <w:rFonts w:eastAsia="Arial" w:cs="Arial"/>
          <w:i/>
          <w:sz w:val="22"/>
          <w:szCs w:val="22"/>
        </w:rPr>
        <w:t>(…)</w:t>
      </w:r>
    </w:p>
    <w:p w:rsidRPr="00682496" w:rsidR="003B651B" w:rsidP="007B74A0" w:rsidRDefault="003B651B" w14:paraId="4FC5260F" w14:textId="77777777">
      <w:pPr>
        <w:spacing w:line="120" w:lineRule="auto"/>
        <w:ind w:left="142"/>
        <w:jc w:val="both"/>
        <w:rPr>
          <w:rFonts w:cs="Arial"/>
          <w:i/>
          <w:sz w:val="22"/>
          <w:szCs w:val="22"/>
        </w:rPr>
      </w:pPr>
    </w:p>
    <w:p w:rsidRPr="00682496" w:rsidR="006C4046" w:rsidP="34194695" w:rsidRDefault="006C4046" w14:paraId="3CDEEED7" w14:textId="6A4AF47C">
      <w:pPr>
        <w:ind w:left="142"/>
        <w:jc w:val="both"/>
        <w:rPr>
          <w:rFonts w:cs="Arial"/>
          <w:i/>
          <w:iCs/>
          <w:sz w:val="22"/>
          <w:szCs w:val="22"/>
        </w:rPr>
      </w:pPr>
      <w:r w:rsidRPr="00682496">
        <w:rPr>
          <w:rFonts w:cs="Arial"/>
          <w:i/>
          <w:iCs/>
          <w:sz w:val="22"/>
          <w:szCs w:val="22"/>
        </w:rPr>
        <w:t>n) Establecer, con base en la política trazada por el Ministerio de Agricultura y Desarrollo Rural, los términos y las condiciones financieras de las Líneas Especiales de Crédito (LEC), del Incentivo a la Capitalización Rural (ICR) y de otros incentivos o subsidios del Estado que estén relacionados exclusivamente con el crédito y/o riesgo agropecuario y rural.</w:t>
      </w:r>
    </w:p>
    <w:p w:rsidRPr="00682496" w:rsidR="00572C45" w:rsidP="34194695" w:rsidRDefault="00572C45" w14:paraId="2FE7FFC3" w14:textId="77777777">
      <w:pPr>
        <w:ind w:left="142"/>
        <w:jc w:val="both"/>
        <w:rPr>
          <w:rFonts w:cs="Arial"/>
          <w:i/>
          <w:iCs/>
          <w:sz w:val="22"/>
          <w:szCs w:val="22"/>
        </w:rPr>
      </w:pPr>
    </w:p>
    <w:p w:rsidRPr="00682496" w:rsidR="003B651B" w:rsidP="007B74A0" w:rsidRDefault="003B651B" w14:paraId="4CCE6720" w14:textId="5820E357">
      <w:pPr>
        <w:ind w:left="142"/>
        <w:jc w:val="both"/>
        <w:rPr>
          <w:rFonts w:cs="Arial"/>
          <w:i/>
          <w:sz w:val="22"/>
          <w:szCs w:val="22"/>
        </w:rPr>
      </w:pPr>
      <w:r w:rsidRPr="00682496">
        <w:rPr>
          <w:rFonts w:cs="Arial"/>
          <w:i/>
          <w:sz w:val="22"/>
          <w:szCs w:val="22"/>
        </w:rPr>
        <w:t xml:space="preserve">(…)” </w:t>
      </w:r>
    </w:p>
    <w:p w:rsidRPr="00682496" w:rsidR="00107F9F" w:rsidP="003E7FDF" w:rsidRDefault="00107F9F" w14:paraId="09AF9620" w14:textId="7DD02A62">
      <w:pPr>
        <w:pStyle w:val="pf0"/>
        <w:numPr>
          <w:ilvl w:val="0"/>
          <w:numId w:val="31"/>
        </w:numPr>
        <w:ind w:left="0" w:firstLine="0"/>
        <w:jc w:val="both"/>
        <w:rPr>
          <w:rFonts w:ascii="Arial" w:hAnsi="Arial" w:cs="Arial"/>
          <w:i/>
          <w:iCs/>
        </w:rPr>
      </w:pPr>
      <w:r w:rsidRPr="00682496">
        <w:rPr>
          <w:rFonts w:ascii="Arial" w:hAnsi="Arial" w:cs="Arial"/>
          <w:bCs/>
          <w:snapToGrid w:val="0"/>
          <w:sz w:val="22"/>
          <w:szCs w:val="22"/>
        </w:rPr>
        <w:t>Que la sección 1701 de la Ley 2299 de 2023 adicionó $370.000 millones al Presupuesto del Ministerio de Agricultura de la vigencia fiscal de 2023 con el fin de apoyar los Servicios financieros y gestión del riesgo para las actividades agropecuarias y rurales.</w:t>
      </w:r>
      <w:r w:rsidRPr="00682496">
        <w:rPr>
          <w:rFonts w:ascii="Arial" w:hAnsi="Arial" w:cs="Arial"/>
          <w:i/>
          <w:iCs/>
        </w:rPr>
        <w:t xml:space="preserve"> </w:t>
      </w:r>
    </w:p>
    <w:p w:rsidRPr="00682496" w:rsidR="005F5897" w:rsidP="005F5897" w:rsidRDefault="005F5897" w14:paraId="1A856811" w14:textId="77777777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Pr="00682496" w:rsidR="00675BEC" w:rsidP="009F2D46" w:rsidRDefault="00675BEC" w14:paraId="088681CE" w14:textId="57C2CE9D">
      <w:pPr>
        <w:pStyle w:val="Prrafodelista"/>
        <w:numPr>
          <w:ilvl w:val="0"/>
          <w:numId w:val="31"/>
        </w:numPr>
        <w:ind w:left="0" w:firstLine="0"/>
        <w:jc w:val="both"/>
        <w:rPr>
          <w:rFonts w:cs="Arial"/>
          <w:sz w:val="22"/>
          <w:szCs w:val="22"/>
        </w:rPr>
      </w:pPr>
      <w:r w:rsidRPr="00682496">
        <w:rPr>
          <w:rFonts w:cs="Arial"/>
          <w:sz w:val="22"/>
          <w:szCs w:val="22"/>
        </w:rPr>
        <w:t xml:space="preserve">Que el </w:t>
      </w:r>
      <w:r w:rsidRPr="00682496" w:rsidR="00951496">
        <w:rPr>
          <w:rFonts w:cs="Arial"/>
          <w:sz w:val="22"/>
          <w:szCs w:val="22"/>
        </w:rPr>
        <w:t xml:space="preserve">Capítulo III del </w:t>
      </w:r>
      <w:r w:rsidRPr="00682496">
        <w:rPr>
          <w:rFonts w:cs="Arial"/>
          <w:sz w:val="22"/>
          <w:szCs w:val="22"/>
        </w:rPr>
        <w:t>Decreto 616 de 2022</w:t>
      </w:r>
      <w:r w:rsidRPr="00682496" w:rsidR="000F2C34">
        <w:rPr>
          <w:rFonts w:cs="Arial"/>
          <w:sz w:val="22"/>
          <w:szCs w:val="22"/>
        </w:rPr>
        <w:t xml:space="preserve"> señala que </w:t>
      </w:r>
      <w:r w:rsidRPr="00682496" w:rsidR="00951496">
        <w:rPr>
          <w:rFonts w:cs="Arial"/>
          <w:sz w:val="22"/>
          <w:szCs w:val="22"/>
        </w:rPr>
        <w:t>los listados censa</w:t>
      </w:r>
      <w:r w:rsidRPr="00682496" w:rsidR="009B290B">
        <w:rPr>
          <w:rFonts w:cs="Arial"/>
          <w:sz w:val="22"/>
          <w:szCs w:val="22"/>
        </w:rPr>
        <w:t>l</w:t>
      </w:r>
      <w:r w:rsidRPr="00682496" w:rsidR="00951496">
        <w:rPr>
          <w:rFonts w:cs="Arial"/>
          <w:sz w:val="22"/>
          <w:szCs w:val="22"/>
        </w:rPr>
        <w:t>e</w:t>
      </w:r>
      <w:r w:rsidRPr="00682496" w:rsidR="009B290B">
        <w:rPr>
          <w:rFonts w:cs="Arial"/>
          <w:sz w:val="22"/>
          <w:szCs w:val="22"/>
        </w:rPr>
        <w:t xml:space="preserve">s son el instrumento de focalización de la población especial, </w:t>
      </w:r>
      <w:r w:rsidRPr="00682496" w:rsidR="00EE032D">
        <w:rPr>
          <w:rFonts w:cs="Arial"/>
          <w:sz w:val="22"/>
          <w:szCs w:val="22"/>
        </w:rPr>
        <w:t>como es el caso de</w:t>
      </w:r>
      <w:r w:rsidRPr="00682496" w:rsidR="009B290B">
        <w:rPr>
          <w:rFonts w:cs="Arial"/>
          <w:sz w:val="22"/>
          <w:szCs w:val="22"/>
        </w:rPr>
        <w:t xml:space="preserve"> las comunidades </w:t>
      </w:r>
      <w:r w:rsidRPr="00682496" w:rsidR="006D4785">
        <w:rPr>
          <w:rFonts w:cs="Arial"/>
          <w:sz w:val="22"/>
          <w:szCs w:val="22"/>
        </w:rPr>
        <w:t xml:space="preserve">étnicas. </w:t>
      </w:r>
    </w:p>
    <w:p w:rsidRPr="00682496" w:rsidR="00675BEC" w:rsidP="00675BEC" w:rsidRDefault="00675BEC" w14:paraId="2B2E6C3E" w14:textId="77777777">
      <w:pPr>
        <w:pStyle w:val="Prrafodelista"/>
        <w:rPr>
          <w:rFonts w:cs="Arial"/>
          <w:sz w:val="22"/>
          <w:szCs w:val="22"/>
        </w:rPr>
      </w:pPr>
    </w:p>
    <w:p w:rsidRPr="00682496" w:rsidR="003B651B" w:rsidP="009F2D46" w:rsidRDefault="53D4BB7D" w14:paraId="0FB2037A" w14:textId="45BDB995">
      <w:pPr>
        <w:pStyle w:val="Prrafodelista"/>
        <w:numPr>
          <w:ilvl w:val="0"/>
          <w:numId w:val="31"/>
        </w:numPr>
        <w:ind w:left="0" w:firstLine="0"/>
        <w:jc w:val="both"/>
        <w:rPr>
          <w:rFonts w:cs="Arial"/>
          <w:sz w:val="22"/>
          <w:szCs w:val="22"/>
        </w:rPr>
      </w:pPr>
      <w:r w:rsidRPr="00682496">
        <w:rPr>
          <w:rFonts w:cs="Arial"/>
          <w:sz w:val="22"/>
          <w:szCs w:val="22"/>
        </w:rPr>
        <w:t xml:space="preserve">Que el proyecto de </w:t>
      </w:r>
      <w:r w:rsidRPr="00682496" w:rsidR="440FDA9D">
        <w:rPr>
          <w:rFonts w:cs="Arial"/>
          <w:sz w:val="22"/>
          <w:szCs w:val="22"/>
        </w:rPr>
        <w:t>R</w:t>
      </w:r>
      <w:r w:rsidRPr="00682496">
        <w:rPr>
          <w:rFonts w:cs="Arial"/>
          <w:sz w:val="22"/>
          <w:szCs w:val="22"/>
        </w:rPr>
        <w:t>esolución</w:t>
      </w:r>
      <w:r w:rsidRPr="00682496" w:rsidR="009F2D46">
        <w:rPr>
          <w:rFonts w:cs="Arial"/>
          <w:sz w:val="22"/>
          <w:szCs w:val="22"/>
        </w:rPr>
        <w:t xml:space="preserve"> </w:t>
      </w:r>
      <w:r w:rsidRPr="00682496" w:rsidR="009F2D46">
        <w:rPr>
          <w:rFonts w:cs="Arial"/>
          <w:i/>
          <w:iCs/>
          <w:sz w:val="22"/>
          <w:szCs w:val="22"/>
        </w:rPr>
        <w:t>“Por la cual se modifica la Resolución 2 de 2023 de la Comisión Nacional de Crédito Agropecuario por la cual se establece el Plan Anual de Microfinanzas Rurales para el año 2023 y se crean la Línea Especial de Microcrédito Inclusión Financiera Economía Popular y la cuenta del FAG especial para la Economía Popular”</w:t>
      </w:r>
      <w:r w:rsidRPr="00682496">
        <w:rPr>
          <w:rFonts w:cs="Arial"/>
          <w:i/>
          <w:iCs/>
          <w:sz w:val="22"/>
          <w:szCs w:val="22"/>
        </w:rPr>
        <w:t>,</w:t>
      </w:r>
      <w:r w:rsidRPr="00682496">
        <w:rPr>
          <w:rFonts w:cs="Arial"/>
          <w:sz w:val="22"/>
          <w:szCs w:val="22"/>
        </w:rPr>
        <w:t xml:space="preserve"> estuvo publicado en la página web de FINAGRO para comentarios.</w:t>
      </w:r>
    </w:p>
    <w:p w:rsidRPr="00682496" w:rsidR="003B651B" w:rsidP="007B74A0" w:rsidRDefault="003B651B" w14:paraId="3B3C1246" w14:textId="77777777">
      <w:pPr>
        <w:jc w:val="both"/>
        <w:rPr>
          <w:rFonts w:cs="Arial"/>
          <w:sz w:val="22"/>
          <w:szCs w:val="22"/>
        </w:rPr>
      </w:pPr>
    </w:p>
    <w:p w:rsidRPr="00682496" w:rsidR="003B651B" w:rsidP="00EE3121" w:rsidRDefault="53D4BB7D" w14:paraId="0A95CEB1" w14:textId="5E176E31">
      <w:pPr>
        <w:pStyle w:val="Prrafodelista"/>
        <w:numPr>
          <w:ilvl w:val="0"/>
          <w:numId w:val="31"/>
        </w:numPr>
        <w:spacing w:line="0" w:lineRule="atLeast"/>
        <w:ind w:left="0" w:firstLine="0"/>
        <w:jc w:val="both"/>
        <w:rPr>
          <w:rFonts w:cs="Arial"/>
          <w:sz w:val="22"/>
          <w:szCs w:val="22"/>
        </w:rPr>
      </w:pPr>
      <w:r w:rsidRPr="00682496">
        <w:rPr>
          <w:rFonts w:cs="Arial"/>
          <w:sz w:val="22"/>
          <w:szCs w:val="22"/>
        </w:rPr>
        <w:t xml:space="preserve">Que el documento con la justificación jurídica y técnica de la presente </w:t>
      </w:r>
      <w:r w:rsidRPr="00682496" w:rsidR="09D0E139">
        <w:rPr>
          <w:rFonts w:cs="Arial"/>
          <w:sz w:val="22"/>
          <w:szCs w:val="22"/>
        </w:rPr>
        <w:t>R</w:t>
      </w:r>
      <w:r w:rsidRPr="00682496">
        <w:rPr>
          <w:rFonts w:cs="Arial"/>
          <w:sz w:val="22"/>
          <w:szCs w:val="22"/>
        </w:rPr>
        <w:t xml:space="preserve">esolución fue presentado para consideración de la CNCA y discutido en la reunión llevada a cabo el día </w:t>
      </w:r>
      <w:r w:rsidRPr="00682496" w:rsidR="005618E6">
        <w:rPr>
          <w:rFonts w:cs="Arial"/>
          <w:sz w:val="22"/>
          <w:szCs w:val="22"/>
        </w:rPr>
        <w:t xml:space="preserve">diecisiete </w:t>
      </w:r>
      <w:r w:rsidRPr="00682496" w:rsidR="00336818">
        <w:rPr>
          <w:rFonts w:cs="Arial"/>
          <w:sz w:val="22"/>
          <w:szCs w:val="22"/>
        </w:rPr>
        <w:t>(17)</w:t>
      </w:r>
      <w:r w:rsidRPr="00682496">
        <w:rPr>
          <w:rFonts w:cs="Arial"/>
          <w:sz w:val="22"/>
          <w:szCs w:val="22"/>
        </w:rPr>
        <w:t xml:space="preserve"> de </w:t>
      </w:r>
      <w:r w:rsidRPr="00682496" w:rsidR="00EE3121">
        <w:rPr>
          <w:rFonts w:cs="Arial"/>
          <w:sz w:val="22"/>
          <w:szCs w:val="22"/>
        </w:rPr>
        <w:t>agosto</w:t>
      </w:r>
      <w:r w:rsidRPr="00682496">
        <w:rPr>
          <w:rFonts w:cs="Arial"/>
          <w:sz w:val="22"/>
          <w:szCs w:val="22"/>
        </w:rPr>
        <w:t xml:space="preserve"> de 20</w:t>
      </w:r>
      <w:r w:rsidRPr="00682496" w:rsidR="1B5E471D">
        <w:rPr>
          <w:rFonts w:cs="Arial"/>
          <w:sz w:val="22"/>
          <w:szCs w:val="22"/>
        </w:rPr>
        <w:t>2</w:t>
      </w:r>
      <w:r w:rsidRPr="00682496" w:rsidR="5BBAED3A">
        <w:rPr>
          <w:rFonts w:cs="Arial"/>
          <w:sz w:val="22"/>
          <w:szCs w:val="22"/>
        </w:rPr>
        <w:t>3</w:t>
      </w:r>
    </w:p>
    <w:p w:rsidRPr="00682496" w:rsidR="00341399" w:rsidP="00341399" w:rsidRDefault="00341399" w14:paraId="35913343" w14:textId="77777777">
      <w:pPr>
        <w:pStyle w:val="Prrafodelista"/>
        <w:rPr>
          <w:rFonts w:cs="Arial"/>
          <w:sz w:val="22"/>
          <w:szCs w:val="22"/>
        </w:rPr>
      </w:pPr>
    </w:p>
    <w:p w:rsidRPr="00682496" w:rsidR="003B651B" w:rsidP="007B74A0" w:rsidRDefault="003B651B" w14:paraId="3889EC5E" w14:textId="1FF1F516">
      <w:pPr>
        <w:spacing w:line="0" w:lineRule="atLeast"/>
        <w:jc w:val="both"/>
        <w:outlineLvl w:val="0"/>
        <w:rPr>
          <w:rFonts w:cs="Arial"/>
          <w:sz w:val="22"/>
          <w:szCs w:val="22"/>
        </w:rPr>
      </w:pPr>
    </w:p>
    <w:p w:rsidRPr="00682496" w:rsidR="00821289" w:rsidP="007B74A0" w:rsidRDefault="00AE7C0A" w14:paraId="6A8A1FCC" w14:textId="7902B5CD">
      <w:pPr>
        <w:jc w:val="both"/>
        <w:rPr>
          <w:rFonts w:cs="Arial"/>
          <w:sz w:val="22"/>
          <w:szCs w:val="22"/>
        </w:rPr>
      </w:pPr>
      <w:r w:rsidRPr="00682496">
        <w:rPr>
          <w:rFonts w:cs="Arial"/>
          <w:sz w:val="22"/>
          <w:szCs w:val="22"/>
        </w:rPr>
        <w:t>En mérito de lo anterior,</w:t>
      </w:r>
    </w:p>
    <w:p w:rsidRPr="00682496" w:rsidR="00341399" w:rsidP="007B74A0" w:rsidRDefault="00341399" w14:paraId="73D9416B" w14:textId="77777777">
      <w:pPr>
        <w:jc w:val="both"/>
        <w:rPr>
          <w:rFonts w:cs="Arial"/>
          <w:sz w:val="22"/>
          <w:szCs w:val="22"/>
        </w:rPr>
      </w:pPr>
    </w:p>
    <w:p w:rsidRPr="00682496" w:rsidR="00821289" w:rsidP="007B74A0" w:rsidRDefault="00821289" w14:paraId="4FF2B372" w14:textId="77777777">
      <w:pPr>
        <w:spacing w:line="0" w:lineRule="atLeast"/>
        <w:jc w:val="both"/>
        <w:rPr>
          <w:rFonts w:cs="Arial"/>
          <w:sz w:val="22"/>
          <w:szCs w:val="22"/>
        </w:rPr>
      </w:pPr>
    </w:p>
    <w:p w:rsidRPr="00682496" w:rsidR="00361F93" w:rsidP="00091020" w:rsidRDefault="00361F93" w14:paraId="6557221B" w14:textId="77777777">
      <w:pPr>
        <w:spacing w:line="0" w:lineRule="atLeast"/>
        <w:jc w:val="center"/>
        <w:outlineLvl w:val="0"/>
        <w:rPr>
          <w:rFonts w:cs="Arial"/>
          <w:b/>
          <w:sz w:val="22"/>
          <w:szCs w:val="22"/>
        </w:rPr>
      </w:pPr>
      <w:r w:rsidRPr="00682496">
        <w:rPr>
          <w:rFonts w:cs="Arial"/>
          <w:b/>
          <w:sz w:val="22"/>
          <w:szCs w:val="22"/>
        </w:rPr>
        <w:t>RESUELVE:</w:t>
      </w:r>
    </w:p>
    <w:p w:rsidRPr="00682496" w:rsidR="008733EE" w:rsidP="00091020" w:rsidRDefault="008733EE" w14:paraId="0EB3A4C9" w14:textId="77777777">
      <w:pPr>
        <w:spacing w:line="0" w:lineRule="atLeast"/>
        <w:jc w:val="center"/>
        <w:outlineLvl w:val="0"/>
        <w:rPr>
          <w:rFonts w:cs="Arial"/>
          <w:b/>
          <w:sz w:val="22"/>
          <w:szCs w:val="22"/>
        </w:rPr>
      </w:pPr>
    </w:p>
    <w:p w:rsidRPr="00682496" w:rsidR="005A1FFD" w:rsidP="005A1FFD" w:rsidRDefault="005A1FFD" w14:paraId="0AAFA58D" w14:textId="3FB717E1">
      <w:pPr>
        <w:pStyle w:val="Prrafodelista"/>
        <w:numPr>
          <w:ilvl w:val="0"/>
          <w:numId w:val="34"/>
        </w:numPr>
        <w:spacing w:after="200"/>
        <w:ind w:left="0" w:firstLine="0"/>
        <w:contextualSpacing/>
        <w:jc w:val="both"/>
        <w:rPr>
          <w:rFonts w:cs="Arial"/>
          <w:bCs/>
          <w:sz w:val="22"/>
          <w:szCs w:val="22"/>
        </w:rPr>
      </w:pPr>
      <w:r w:rsidRPr="00682496">
        <w:rPr>
          <w:rFonts w:cs="Arial"/>
          <w:bCs/>
          <w:sz w:val="22"/>
          <w:szCs w:val="22"/>
        </w:rPr>
        <w:t xml:space="preserve">Modificar el CAPITULO II de la Resolución 2 de 2023 de la CNCA, el cual quedará así: </w:t>
      </w:r>
    </w:p>
    <w:p w:rsidRPr="00682496" w:rsidR="00341399" w:rsidP="00341399" w:rsidRDefault="00341399" w14:paraId="36BD9570" w14:textId="77777777">
      <w:pPr>
        <w:pStyle w:val="Prrafodelista"/>
        <w:spacing w:after="200"/>
        <w:ind w:left="0"/>
        <w:contextualSpacing/>
        <w:jc w:val="both"/>
        <w:rPr>
          <w:rFonts w:cs="Arial"/>
          <w:bCs/>
          <w:sz w:val="22"/>
          <w:szCs w:val="22"/>
        </w:rPr>
      </w:pPr>
    </w:p>
    <w:p w:rsidRPr="00682496" w:rsidR="00720898" w:rsidP="00720898" w:rsidRDefault="00AF3BCC" w14:paraId="0A2C5CA3" w14:textId="030501DD">
      <w:pPr>
        <w:jc w:val="center"/>
        <w:rPr>
          <w:rFonts w:cs="Arial"/>
          <w:b/>
          <w:sz w:val="22"/>
          <w:szCs w:val="22"/>
        </w:rPr>
      </w:pPr>
      <w:r w:rsidRPr="00682496">
        <w:rPr>
          <w:rFonts w:cs="Arial"/>
          <w:b/>
          <w:sz w:val="22"/>
          <w:szCs w:val="22"/>
        </w:rPr>
        <w:t>“</w:t>
      </w:r>
      <w:r w:rsidRPr="00682496" w:rsidR="00720898">
        <w:rPr>
          <w:rFonts w:cs="Arial"/>
          <w:b/>
          <w:sz w:val="22"/>
          <w:szCs w:val="22"/>
        </w:rPr>
        <w:t>CAPÍTULO II</w:t>
      </w:r>
    </w:p>
    <w:p w:rsidRPr="00682496" w:rsidR="00720898" w:rsidP="00720898" w:rsidRDefault="0092424B" w14:paraId="62EA8E1D" w14:textId="1AB72FDE">
      <w:pPr>
        <w:jc w:val="center"/>
        <w:rPr>
          <w:rFonts w:cs="Arial"/>
          <w:b/>
          <w:sz w:val="22"/>
          <w:szCs w:val="22"/>
        </w:rPr>
      </w:pPr>
      <w:r w:rsidRPr="00682496">
        <w:rPr>
          <w:rFonts w:cs="Arial"/>
          <w:b/>
          <w:sz w:val="22"/>
          <w:szCs w:val="22"/>
        </w:rPr>
        <w:t xml:space="preserve">Línea </w:t>
      </w:r>
      <w:r w:rsidRPr="00682496" w:rsidR="008D0E87">
        <w:rPr>
          <w:rFonts w:cs="Arial"/>
          <w:b/>
          <w:sz w:val="22"/>
          <w:szCs w:val="22"/>
        </w:rPr>
        <w:t xml:space="preserve">Especial </w:t>
      </w:r>
      <w:r w:rsidRPr="00682496">
        <w:rPr>
          <w:rFonts w:cs="Arial"/>
          <w:b/>
          <w:sz w:val="22"/>
          <w:szCs w:val="22"/>
        </w:rPr>
        <w:t xml:space="preserve">de </w:t>
      </w:r>
      <w:r w:rsidRPr="00682496" w:rsidR="00081865">
        <w:rPr>
          <w:rFonts w:cs="Arial"/>
          <w:b/>
          <w:sz w:val="22"/>
          <w:szCs w:val="22"/>
        </w:rPr>
        <w:t>Microc</w:t>
      </w:r>
      <w:r w:rsidRPr="00682496">
        <w:rPr>
          <w:rFonts w:cs="Arial"/>
          <w:b/>
          <w:sz w:val="22"/>
          <w:szCs w:val="22"/>
        </w:rPr>
        <w:t xml:space="preserve">rédito </w:t>
      </w:r>
      <w:r w:rsidRPr="00682496" w:rsidR="00720898">
        <w:rPr>
          <w:rFonts w:cs="Arial"/>
          <w:b/>
          <w:sz w:val="22"/>
          <w:szCs w:val="22"/>
        </w:rPr>
        <w:t>Inclusión Financiera Economía Popular</w:t>
      </w:r>
      <w:r w:rsidRPr="00682496" w:rsidR="00171D1C">
        <w:rPr>
          <w:rFonts w:cs="Arial"/>
          <w:b/>
          <w:sz w:val="22"/>
          <w:szCs w:val="22"/>
        </w:rPr>
        <w:t xml:space="preserve"> para el Sector Agropecuario</w:t>
      </w:r>
    </w:p>
    <w:p w:rsidRPr="00682496" w:rsidR="006A1EF7" w:rsidP="00720898" w:rsidRDefault="006A1EF7" w14:paraId="00B41B2A" w14:textId="77777777">
      <w:pPr>
        <w:jc w:val="center"/>
        <w:rPr>
          <w:rFonts w:cs="Arial"/>
          <w:b/>
          <w:sz w:val="22"/>
          <w:szCs w:val="22"/>
        </w:rPr>
      </w:pPr>
    </w:p>
    <w:p w:rsidRPr="00682496" w:rsidR="00A43476" w:rsidP="00475868" w:rsidRDefault="00475868" w14:paraId="752584F5" w14:textId="17F6681F">
      <w:pPr>
        <w:jc w:val="both"/>
        <w:rPr>
          <w:rFonts w:cs="Arial"/>
          <w:bCs/>
          <w:sz w:val="22"/>
          <w:szCs w:val="22"/>
        </w:rPr>
      </w:pPr>
      <w:r w:rsidRPr="00682496">
        <w:rPr>
          <w:rFonts w:cs="Arial"/>
          <w:b/>
          <w:sz w:val="22"/>
          <w:szCs w:val="22"/>
        </w:rPr>
        <w:t xml:space="preserve">Artículo </w:t>
      </w:r>
      <w:r w:rsidRPr="00682496" w:rsidR="00646DF1">
        <w:rPr>
          <w:rFonts w:cs="Arial"/>
          <w:b/>
          <w:sz w:val="22"/>
          <w:szCs w:val="22"/>
        </w:rPr>
        <w:t>8</w:t>
      </w:r>
      <w:r w:rsidRPr="00682496">
        <w:rPr>
          <w:rFonts w:cs="Arial"/>
          <w:b/>
          <w:sz w:val="22"/>
          <w:szCs w:val="22"/>
        </w:rPr>
        <w:t>o.</w:t>
      </w:r>
      <w:r w:rsidRPr="00682496" w:rsidR="00A43476">
        <w:rPr>
          <w:rFonts w:cs="Arial"/>
          <w:b/>
          <w:sz w:val="22"/>
          <w:szCs w:val="22"/>
        </w:rPr>
        <w:t xml:space="preserve"> </w:t>
      </w:r>
      <w:r w:rsidRPr="00682496" w:rsidR="00FB125F">
        <w:rPr>
          <w:rFonts w:cs="Arial"/>
          <w:bCs/>
          <w:sz w:val="22"/>
          <w:szCs w:val="22"/>
        </w:rPr>
        <w:t>C</w:t>
      </w:r>
      <w:r w:rsidRPr="00682496">
        <w:rPr>
          <w:rFonts w:cs="Arial"/>
          <w:bCs/>
          <w:sz w:val="22"/>
          <w:szCs w:val="22"/>
        </w:rPr>
        <w:t xml:space="preserve">rear la Línea </w:t>
      </w:r>
      <w:r w:rsidRPr="00682496" w:rsidR="00C729DE">
        <w:rPr>
          <w:rFonts w:cs="Arial"/>
          <w:bCs/>
          <w:sz w:val="22"/>
          <w:szCs w:val="22"/>
        </w:rPr>
        <w:t xml:space="preserve">Especial </w:t>
      </w:r>
      <w:r w:rsidRPr="00682496" w:rsidR="005D7C31">
        <w:rPr>
          <w:rFonts w:cs="Arial"/>
          <w:bCs/>
          <w:sz w:val="22"/>
          <w:szCs w:val="22"/>
        </w:rPr>
        <w:t xml:space="preserve">de </w:t>
      </w:r>
      <w:r w:rsidRPr="00682496" w:rsidR="003B1CB3">
        <w:rPr>
          <w:rFonts w:cs="Arial"/>
          <w:bCs/>
          <w:sz w:val="22"/>
          <w:szCs w:val="22"/>
        </w:rPr>
        <w:t>Microc</w:t>
      </w:r>
      <w:r w:rsidRPr="00682496" w:rsidR="005D7C31">
        <w:rPr>
          <w:rFonts w:cs="Arial"/>
          <w:bCs/>
          <w:sz w:val="22"/>
          <w:szCs w:val="22"/>
        </w:rPr>
        <w:t xml:space="preserve">rédito </w:t>
      </w:r>
      <w:r w:rsidRPr="00682496">
        <w:rPr>
          <w:rFonts w:cs="Arial"/>
          <w:bCs/>
          <w:sz w:val="22"/>
          <w:szCs w:val="22"/>
        </w:rPr>
        <w:t>Inclusión Financiera Economía Popular para el Sector Agropecuario</w:t>
      </w:r>
      <w:r w:rsidRPr="00682496" w:rsidR="00FB125F">
        <w:rPr>
          <w:rFonts w:cs="Arial"/>
          <w:bCs/>
          <w:sz w:val="22"/>
          <w:szCs w:val="22"/>
        </w:rPr>
        <w:t>,</w:t>
      </w:r>
      <w:r w:rsidRPr="00682496" w:rsidR="002E1013">
        <w:rPr>
          <w:rFonts w:cs="Arial"/>
          <w:bCs/>
          <w:sz w:val="22"/>
          <w:szCs w:val="22"/>
        </w:rPr>
        <w:t xml:space="preserve"> con las siguientes</w:t>
      </w:r>
      <w:r w:rsidRPr="00682496" w:rsidR="00A43476">
        <w:rPr>
          <w:rFonts w:cs="Arial"/>
          <w:bCs/>
          <w:sz w:val="22"/>
          <w:szCs w:val="22"/>
        </w:rPr>
        <w:t xml:space="preserve"> condiciones: </w:t>
      </w:r>
    </w:p>
    <w:p w:rsidRPr="00682496" w:rsidR="00A43476" w:rsidP="00475868" w:rsidRDefault="00A43476" w14:paraId="0279AD25" w14:textId="77777777">
      <w:pPr>
        <w:jc w:val="both"/>
        <w:rPr>
          <w:rFonts w:cs="Arial"/>
          <w:bCs/>
          <w:sz w:val="22"/>
          <w:szCs w:val="22"/>
        </w:rPr>
      </w:pPr>
    </w:p>
    <w:p w:rsidRPr="00682496" w:rsidR="006F680F" w:rsidP="00836245" w:rsidRDefault="0022062F" w14:paraId="3A076643" w14:textId="517827E1">
      <w:pPr>
        <w:pStyle w:val="Prrafodelista"/>
        <w:numPr>
          <w:ilvl w:val="0"/>
          <w:numId w:val="17"/>
        </w:numPr>
        <w:jc w:val="both"/>
        <w:rPr>
          <w:rFonts w:cs="Arial"/>
          <w:bCs/>
          <w:sz w:val="22"/>
          <w:szCs w:val="22"/>
        </w:rPr>
      </w:pPr>
      <w:r w:rsidRPr="00682496">
        <w:rPr>
          <w:rFonts w:cs="Arial"/>
          <w:b/>
          <w:sz w:val="22"/>
          <w:szCs w:val="22"/>
        </w:rPr>
        <w:t>Beneficiarios</w:t>
      </w:r>
      <w:r w:rsidRPr="00682496">
        <w:rPr>
          <w:rFonts w:cs="Arial"/>
          <w:bCs/>
          <w:sz w:val="22"/>
          <w:szCs w:val="22"/>
        </w:rPr>
        <w:t xml:space="preserve">: </w:t>
      </w:r>
      <w:r w:rsidRPr="00682496" w:rsidR="008601FE">
        <w:rPr>
          <w:rFonts w:cs="Arial"/>
          <w:bCs/>
          <w:sz w:val="22"/>
          <w:szCs w:val="22"/>
        </w:rPr>
        <w:t xml:space="preserve">Podrán acceder a esta </w:t>
      </w:r>
      <w:r w:rsidRPr="00682496" w:rsidR="00F62FAE">
        <w:rPr>
          <w:rFonts w:cs="Arial"/>
          <w:bCs/>
          <w:sz w:val="22"/>
          <w:szCs w:val="22"/>
        </w:rPr>
        <w:t>línea</w:t>
      </w:r>
      <w:r w:rsidRPr="00682496" w:rsidR="008601FE">
        <w:rPr>
          <w:rFonts w:cs="Arial"/>
          <w:bCs/>
          <w:sz w:val="22"/>
          <w:szCs w:val="22"/>
        </w:rPr>
        <w:t xml:space="preserve"> los pequeños productores de ingresos bajos </w:t>
      </w:r>
      <w:r w:rsidRPr="00682496" w:rsidR="0062192D">
        <w:rPr>
          <w:rFonts w:cs="Arial"/>
          <w:bCs/>
          <w:sz w:val="22"/>
          <w:szCs w:val="22"/>
        </w:rPr>
        <w:t xml:space="preserve">microempresarios </w:t>
      </w:r>
      <w:r w:rsidRPr="00682496" w:rsidR="00CC3A2C">
        <w:rPr>
          <w:rFonts w:cs="Arial"/>
          <w:bCs/>
          <w:sz w:val="22"/>
          <w:szCs w:val="22"/>
        </w:rPr>
        <w:t xml:space="preserve">definidos en la Resolución </w:t>
      </w:r>
      <w:r w:rsidRPr="00682496" w:rsidR="00381518">
        <w:rPr>
          <w:rFonts w:cs="Arial"/>
          <w:bCs/>
          <w:sz w:val="22"/>
          <w:szCs w:val="22"/>
        </w:rPr>
        <w:t>2</w:t>
      </w:r>
      <w:r w:rsidRPr="00682496" w:rsidR="00CC3A2C">
        <w:rPr>
          <w:rFonts w:cs="Arial"/>
          <w:bCs/>
          <w:sz w:val="22"/>
          <w:szCs w:val="22"/>
        </w:rPr>
        <w:t xml:space="preserve"> de 202</w:t>
      </w:r>
      <w:r w:rsidRPr="00682496" w:rsidR="00381518">
        <w:rPr>
          <w:rFonts w:cs="Arial"/>
          <w:bCs/>
          <w:sz w:val="22"/>
          <w:szCs w:val="22"/>
        </w:rPr>
        <w:t>2</w:t>
      </w:r>
      <w:r w:rsidRPr="00682496" w:rsidR="006D33A6">
        <w:rPr>
          <w:rFonts w:cs="Arial"/>
          <w:bCs/>
          <w:sz w:val="22"/>
          <w:szCs w:val="22"/>
        </w:rPr>
        <w:t xml:space="preserve"> de la CNCA</w:t>
      </w:r>
      <w:r w:rsidRPr="00682496" w:rsidR="002C1A04">
        <w:rPr>
          <w:rFonts w:cs="Arial"/>
          <w:bCs/>
          <w:sz w:val="22"/>
          <w:szCs w:val="22"/>
        </w:rPr>
        <w:t xml:space="preserve"> y las que la modifiquen</w:t>
      </w:r>
      <w:r w:rsidRPr="00682496" w:rsidR="00381117">
        <w:rPr>
          <w:rFonts w:cs="Arial"/>
          <w:bCs/>
          <w:sz w:val="22"/>
          <w:szCs w:val="22"/>
        </w:rPr>
        <w:t xml:space="preserve">, </w:t>
      </w:r>
      <w:r w:rsidRPr="00682496" w:rsidR="00F6563C">
        <w:rPr>
          <w:rFonts w:cs="Arial"/>
          <w:bCs/>
          <w:sz w:val="22"/>
          <w:szCs w:val="22"/>
        </w:rPr>
        <w:t xml:space="preserve">que </w:t>
      </w:r>
      <w:r w:rsidRPr="00682496" w:rsidR="006F680F">
        <w:rPr>
          <w:rFonts w:cs="Arial"/>
          <w:bCs/>
          <w:sz w:val="22"/>
          <w:szCs w:val="22"/>
        </w:rPr>
        <w:t xml:space="preserve">cumplan las siguientes condiciones: </w:t>
      </w:r>
    </w:p>
    <w:p w:rsidRPr="00682496" w:rsidR="006F680F" w:rsidP="006F680F" w:rsidRDefault="006F680F" w14:paraId="1C756C72" w14:textId="731706C1">
      <w:pPr>
        <w:pStyle w:val="Prrafodelista"/>
        <w:ind w:left="720"/>
        <w:jc w:val="both"/>
        <w:rPr>
          <w:rFonts w:cs="Arial"/>
          <w:bCs/>
          <w:sz w:val="22"/>
          <w:szCs w:val="22"/>
        </w:rPr>
      </w:pPr>
    </w:p>
    <w:p w:rsidRPr="00682496" w:rsidR="00141856" w:rsidDel="00EA43E0" w:rsidP="5EB4D564" w:rsidRDefault="00A074CD" w14:paraId="49FCA11F" w14:textId="2C9E7116">
      <w:pPr>
        <w:pStyle w:val="Prrafodelista"/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 w:rsidRPr="5EB4D564" w:rsidR="00A074CD">
        <w:rPr>
          <w:rFonts w:cs="Arial"/>
          <w:sz w:val="22"/>
          <w:szCs w:val="22"/>
        </w:rPr>
        <w:t>Que s</w:t>
      </w:r>
      <w:r w:rsidRPr="5EB4D564" w:rsidR="00970EB9">
        <w:rPr>
          <w:rFonts w:cs="Arial"/>
          <w:sz w:val="22"/>
          <w:szCs w:val="22"/>
        </w:rPr>
        <w:t xml:space="preserve">ean </w:t>
      </w:r>
      <w:r w:rsidRPr="5EB4D564" w:rsidR="00E979E5">
        <w:rPr>
          <w:rFonts w:cs="Arial"/>
          <w:sz w:val="22"/>
          <w:szCs w:val="22"/>
        </w:rPr>
        <w:t xml:space="preserve">categorías A, B </w:t>
      </w:r>
      <w:r w:rsidRPr="5EB4D564" w:rsidR="00B054CD">
        <w:rPr>
          <w:rFonts w:cs="Arial"/>
          <w:sz w:val="22"/>
          <w:szCs w:val="22"/>
        </w:rPr>
        <w:t>o</w:t>
      </w:r>
      <w:r w:rsidRPr="5EB4D564" w:rsidR="00E979E5">
        <w:rPr>
          <w:rFonts w:cs="Arial"/>
          <w:sz w:val="22"/>
          <w:szCs w:val="22"/>
        </w:rPr>
        <w:t xml:space="preserve"> C</w:t>
      </w:r>
      <w:r w:rsidRPr="5EB4D564" w:rsidR="00970EB9">
        <w:rPr>
          <w:rFonts w:cs="Arial"/>
          <w:sz w:val="22"/>
          <w:szCs w:val="22"/>
        </w:rPr>
        <w:t xml:space="preserve"> del SISBEN</w:t>
      </w:r>
      <w:r w:rsidRPr="5EB4D564" w:rsidR="00FD009E">
        <w:rPr>
          <w:rFonts w:cs="Arial"/>
          <w:sz w:val="22"/>
          <w:szCs w:val="22"/>
        </w:rPr>
        <w:t>, exceptuand</w:t>
      </w:r>
      <w:r w:rsidRPr="5EB4D564" w:rsidR="00FD009E">
        <w:rPr>
          <w:rFonts w:cs="Arial"/>
          <w:sz w:val="22"/>
          <w:szCs w:val="22"/>
        </w:rPr>
        <w:t>o</w:t>
      </w:r>
      <w:r w:rsidRPr="5EB4D564" w:rsidR="00141856">
        <w:rPr>
          <w:rFonts w:cs="Arial"/>
          <w:sz w:val="22"/>
          <w:szCs w:val="22"/>
        </w:rPr>
        <w:t xml:space="preserve"> </w:t>
      </w:r>
      <w:r w:rsidRPr="5EB4D564" w:rsidR="144DEBC6">
        <w:rPr>
          <w:rFonts w:cs="Arial"/>
          <w:sz w:val="22"/>
          <w:szCs w:val="22"/>
        </w:rPr>
        <w:t>a</w:t>
      </w:r>
      <w:r w:rsidRPr="5EB4D564" w:rsidR="144DEBC6">
        <w:rPr>
          <w:rFonts w:cs="Arial"/>
          <w:sz w:val="22"/>
          <w:szCs w:val="22"/>
        </w:rPr>
        <w:t xml:space="preserve"> </w:t>
      </w:r>
      <w:r w:rsidRPr="5EB4D564" w:rsidR="00392C3F">
        <w:rPr>
          <w:rFonts w:cs="Arial"/>
          <w:sz w:val="22"/>
          <w:szCs w:val="22"/>
        </w:rPr>
        <w:t>las comunidades étnicas</w:t>
      </w:r>
      <w:r w:rsidRPr="5EB4D564" w:rsidR="00FD009E">
        <w:rPr>
          <w:rFonts w:cs="Arial"/>
          <w:sz w:val="22"/>
          <w:szCs w:val="22"/>
        </w:rPr>
        <w:t xml:space="preserve">, </w:t>
      </w:r>
      <w:r w:rsidRPr="5EB4D564" w:rsidR="00FD009E">
        <w:rPr>
          <w:rFonts w:cs="Arial"/>
          <w:sz w:val="22"/>
          <w:szCs w:val="22"/>
        </w:rPr>
        <w:t xml:space="preserve">para </w:t>
      </w:r>
      <w:r w:rsidRPr="5EB4D564" w:rsidR="1A019F55">
        <w:rPr>
          <w:rFonts w:cs="Arial"/>
          <w:sz w:val="22"/>
          <w:szCs w:val="22"/>
        </w:rPr>
        <w:t xml:space="preserve">quienes </w:t>
      </w:r>
      <w:r w:rsidRPr="5EB4D564" w:rsidR="005B47AF">
        <w:rPr>
          <w:rFonts w:cs="Arial"/>
          <w:sz w:val="22"/>
          <w:szCs w:val="22"/>
        </w:rPr>
        <w:t>se tendrá</w:t>
      </w:r>
      <w:r w:rsidRPr="5EB4D564" w:rsidR="005B47AF">
        <w:rPr>
          <w:rFonts w:cs="Arial"/>
          <w:sz w:val="22"/>
          <w:szCs w:val="22"/>
        </w:rPr>
        <w:t xml:space="preserve"> en cuenta la clasificación de pequeño productor de ingresos bajos</w:t>
      </w:r>
      <w:r w:rsidRPr="5EB4D564" w:rsidR="002F07B1">
        <w:rPr>
          <w:rFonts w:cs="Arial"/>
          <w:sz w:val="22"/>
          <w:szCs w:val="22"/>
        </w:rPr>
        <w:t xml:space="preserve"> a la que hace referenci</w:t>
      </w:r>
      <w:r w:rsidRPr="5EB4D564" w:rsidR="002F07B1">
        <w:rPr>
          <w:rFonts w:cs="Arial"/>
          <w:sz w:val="22"/>
          <w:szCs w:val="22"/>
        </w:rPr>
        <w:t>a la Resolución 2 de 2022 de la CNCA</w:t>
      </w:r>
      <w:r w:rsidRPr="5EB4D564" w:rsidR="005E1BFF">
        <w:rPr>
          <w:rFonts w:cs="Arial"/>
          <w:sz w:val="22"/>
          <w:szCs w:val="22"/>
        </w:rPr>
        <w:t xml:space="preserve"> y las que la modifiquen.</w:t>
      </w:r>
    </w:p>
    <w:p w:rsidRPr="00682496" w:rsidR="00EA43E0" w:rsidP="25F57843" w:rsidRDefault="00EA43E0" w14:paraId="0446EFDC" w14:textId="71D41DF4">
      <w:pPr>
        <w:pStyle w:val="Prrafodelista"/>
        <w:ind w:left="1080"/>
        <w:jc w:val="both"/>
      </w:pPr>
    </w:p>
    <w:p w:rsidRPr="00682496" w:rsidR="002107C0" w:rsidP="00682496" w:rsidRDefault="00FD009E" w14:paraId="01C25ECE" w14:textId="401D29C6">
      <w:pPr>
        <w:pStyle w:val="Prrafodelista"/>
        <w:ind w:left="1276" w:hanging="196"/>
        <w:jc w:val="both"/>
        <w:rPr>
          <w:rFonts w:cs="Arial"/>
          <w:sz w:val="22"/>
          <w:szCs w:val="22"/>
        </w:rPr>
      </w:pPr>
      <w:r w:rsidRPr="00682496">
        <w:rPr>
          <w:rFonts w:cs="Arial"/>
          <w:sz w:val="22"/>
          <w:szCs w:val="22"/>
        </w:rPr>
        <w:t>b.</w:t>
      </w:r>
      <w:r w:rsidRPr="00682496" w:rsidR="00EA43E0">
        <w:t xml:space="preserve"> </w:t>
      </w:r>
      <w:r w:rsidRPr="00682496" w:rsidR="002107C0">
        <w:rPr>
          <w:rFonts w:cs="Arial"/>
          <w:sz w:val="22"/>
          <w:szCs w:val="22"/>
        </w:rPr>
        <w:t xml:space="preserve">Que </w:t>
      </w:r>
      <w:r w:rsidRPr="00682496" w:rsidR="00F6563C">
        <w:rPr>
          <w:rFonts w:cs="Arial"/>
          <w:sz w:val="22"/>
          <w:szCs w:val="22"/>
        </w:rPr>
        <w:t xml:space="preserve">no hayan tenido crédito con ninguna entidad del sistema financiero formal en los últimos </w:t>
      </w:r>
      <w:r w:rsidRPr="00682496" w:rsidR="00C8206C">
        <w:rPr>
          <w:rFonts w:cs="Arial"/>
          <w:sz w:val="22"/>
          <w:szCs w:val="22"/>
        </w:rPr>
        <w:t>4</w:t>
      </w:r>
      <w:r w:rsidRPr="00682496" w:rsidR="00F6563C">
        <w:rPr>
          <w:rFonts w:cs="Arial"/>
          <w:sz w:val="22"/>
          <w:szCs w:val="22"/>
        </w:rPr>
        <w:t xml:space="preserve"> años</w:t>
      </w:r>
      <w:r w:rsidRPr="00682496" w:rsidR="007409C1">
        <w:rPr>
          <w:rFonts w:cs="Arial"/>
          <w:sz w:val="22"/>
          <w:szCs w:val="22"/>
        </w:rPr>
        <w:t xml:space="preserve">, ni </w:t>
      </w:r>
      <w:r w:rsidRPr="00682496" w:rsidR="00463217">
        <w:rPr>
          <w:rFonts w:cs="Arial"/>
          <w:sz w:val="22"/>
          <w:szCs w:val="22"/>
        </w:rPr>
        <w:t xml:space="preserve">cuenten con </w:t>
      </w:r>
      <w:r w:rsidRPr="00682496" w:rsidR="007409C1">
        <w:rPr>
          <w:rFonts w:cs="Arial"/>
          <w:sz w:val="22"/>
          <w:szCs w:val="22"/>
        </w:rPr>
        <w:t>operaciones vigentes en el mismo periodo</w:t>
      </w:r>
      <w:r w:rsidRPr="00682496" w:rsidR="00F6563C">
        <w:rPr>
          <w:rFonts w:cs="Arial"/>
          <w:sz w:val="22"/>
          <w:szCs w:val="22"/>
        </w:rPr>
        <w:t xml:space="preserve">. </w:t>
      </w:r>
    </w:p>
    <w:p w:rsidRPr="00682496" w:rsidR="002107C0" w:rsidP="2B4DA97D" w:rsidRDefault="002107C0" w14:paraId="151668A0" w14:textId="730B7CD0">
      <w:pPr>
        <w:pStyle w:val="Prrafodelista"/>
        <w:ind w:left="1080"/>
        <w:jc w:val="both"/>
        <w:rPr>
          <w:rFonts w:cs="Arial"/>
          <w:sz w:val="22"/>
          <w:szCs w:val="22"/>
        </w:rPr>
      </w:pPr>
    </w:p>
    <w:p w:rsidRPr="00682496" w:rsidR="00A2548B" w:rsidP="00807674" w:rsidRDefault="00A2548B" w14:paraId="39D19A13" w14:textId="77777777">
      <w:pPr>
        <w:pStyle w:val="Prrafodelista"/>
        <w:jc w:val="both"/>
        <w:rPr>
          <w:rFonts w:cs="Arial"/>
          <w:sz w:val="22"/>
          <w:szCs w:val="22"/>
        </w:rPr>
      </w:pPr>
    </w:p>
    <w:p w:rsidRPr="00682496" w:rsidR="002107C0" w:rsidP="00807674" w:rsidRDefault="00F6563C" w14:paraId="6484DBA2" w14:textId="3FC72046">
      <w:pPr>
        <w:pStyle w:val="Prrafodelista"/>
        <w:jc w:val="both"/>
        <w:rPr>
          <w:rFonts w:cs="Arial"/>
          <w:sz w:val="22"/>
          <w:szCs w:val="22"/>
        </w:rPr>
      </w:pPr>
      <w:r w:rsidRPr="00682496">
        <w:rPr>
          <w:rFonts w:cs="Arial"/>
          <w:sz w:val="22"/>
          <w:szCs w:val="22"/>
        </w:rPr>
        <w:t xml:space="preserve">Los intermediarios financieros deberán validar </w:t>
      </w:r>
      <w:r w:rsidRPr="00682496" w:rsidR="26F159E1">
        <w:rPr>
          <w:rFonts w:cs="Arial"/>
          <w:sz w:val="22"/>
          <w:szCs w:val="22"/>
        </w:rPr>
        <w:t>las condiciones a</w:t>
      </w:r>
      <w:r w:rsidRPr="00682496" w:rsidR="189E72F9">
        <w:rPr>
          <w:rFonts w:cs="Arial"/>
          <w:sz w:val="22"/>
          <w:szCs w:val="22"/>
        </w:rPr>
        <w:t>n</w:t>
      </w:r>
      <w:r w:rsidRPr="00682496" w:rsidR="6BCFC932">
        <w:rPr>
          <w:rFonts w:cs="Arial"/>
          <w:sz w:val="22"/>
          <w:szCs w:val="22"/>
        </w:rPr>
        <w:t>teriormente señaladas</w:t>
      </w:r>
      <w:r w:rsidRPr="00682496" w:rsidR="002107C0">
        <w:rPr>
          <w:rFonts w:cs="Arial"/>
          <w:sz w:val="22"/>
          <w:szCs w:val="22"/>
        </w:rPr>
        <w:t xml:space="preserve">. </w:t>
      </w:r>
    </w:p>
    <w:p w:rsidRPr="00682496" w:rsidR="002107C0" w:rsidP="5C41EE19" w:rsidRDefault="002107C0" w14:paraId="27FD2DA2" w14:textId="07045D75">
      <w:pPr>
        <w:jc w:val="both"/>
        <w:rPr>
          <w:rFonts w:cs="Arial"/>
          <w:bCs/>
          <w:sz w:val="22"/>
          <w:szCs w:val="22"/>
        </w:rPr>
      </w:pPr>
    </w:p>
    <w:p w:rsidRPr="00682496" w:rsidR="000E2516" w:rsidRDefault="25A51446" w14:paraId="72278C87" w14:textId="2B9EF0FA">
      <w:pPr>
        <w:pStyle w:val="Prrafodelista"/>
        <w:numPr>
          <w:ilvl w:val="0"/>
          <w:numId w:val="17"/>
        </w:numPr>
        <w:jc w:val="both"/>
        <w:rPr>
          <w:color w:val="000000" w:themeColor="text1"/>
          <w:lang w:val="es-ES"/>
        </w:rPr>
      </w:pPr>
      <w:r w:rsidRPr="00682496">
        <w:rPr>
          <w:rFonts w:eastAsia="Cambria" w:cs="Arial"/>
          <w:b/>
          <w:bCs/>
          <w:sz w:val="22"/>
          <w:szCs w:val="22"/>
          <w:lang w:val="es-ES" w:eastAsia="en-US"/>
        </w:rPr>
        <w:t>Actividades</w:t>
      </w:r>
      <w:r w:rsidRPr="00682496">
        <w:rPr>
          <w:rFonts w:cs="Arial"/>
          <w:b/>
          <w:bCs/>
          <w:color w:val="000000" w:themeColor="text1"/>
          <w:sz w:val="22"/>
          <w:szCs w:val="22"/>
          <w:lang w:val="es-ES"/>
        </w:rPr>
        <w:t xml:space="preserve"> financiables</w:t>
      </w:r>
      <w:r w:rsidRPr="00682496">
        <w:rPr>
          <w:rFonts w:cs="Arial"/>
          <w:color w:val="000000" w:themeColor="text1"/>
          <w:sz w:val="22"/>
          <w:szCs w:val="22"/>
          <w:lang w:val="es-ES"/>
        </w:rPr>
        <w:t xml:space="preserve">. </w:t>
      </w:r>
      <w:r w:rsidRPr="00682496" w:rsidR="302BB8CD">
        <w:rPr>
          <w:rFonts w:cs="Arial"/>
          <w:color w:val="000000" w:themeColor="text1"/>
          <w:sz w:val="22"/>
          <w:szCs w:val="22"/>
          <w:lang w:val="es-ES"/>
        </w:rPr>
        <w:t xml:space="preserve">Se </w:t>
      </w:r>
      <w:r w:rsidRPr="00682496">
        <w:rPr>
          <w:rFonts w:cs="Arial"/>
          <w:color w:val="000000" w:themeColor="text1"/>
          <w:sz w:val="22"/>
          <w:szCs w:val="22"/>
          <w:lang w:val="es-ES"/>
        </w:rPr>
        <w:t>financiará el capital de trabajo</w:t>
      </w:r>
      <w:r w:rsidRPr="00682496" w:rsidR="302BB8CD">
        <w:rPr>
          <w:rFonts w:cs="Arial"/>
          <w:color w:val="000000" w:themeColor="text1"/>
          <w:sz w:val="22"/>
          <w:szCs w:val="22"/>
          <w:lang w:val="es-ES"/>
        </w:rPr>
        <w:t xml:space="preserve"> para </w:t>
      </w:r>
      <w:r w:rsidRPr="00682496">
        <w:rPr>
          <w:rFonts w:cs="Arial"/>
          <w:color w:val="000000" w:themeColor="text1"/>
          <w:sz w:val="22"/>
          <w:szCs w:val="22"/>
          <w:lang w:val="es-ES"/>
        </w:rPr>
        <w:t>las actividades agropecuarias (</w:t>
      </w:r>
      <w:r w:rsidRPr="00682496" w:rsidR="302BB8CD">
        <w:rPr>
          <w:rFonts w:cs="Arial"/>
          <w:color w:val="000000" w:themeColor="text1"/>
          <w:sz w:val="22"/>
          <w:szCs w:val="22"/>
          <w:lang w:val="es-ES"/>
        </w:rPr>
        <w:t>agrícola</w:t>
      </w:r>
      <w:r w:rsidRPr="00682496">
        <w:rPr>
          <w:rFonts w:cs="Arial"/>
          <w:color w:val="000000" w:themeColor="text1"/>
          <w:sz w:val="22"/>
          <w:szCs w:val="22"/>
          <w:lang w:val="es-ES"/>
        </w:rPr>
        <w:t>s</w:t>
      </w:r>
      <w:r w:rsidRPr="00682496" w:rsidR="302BB8CD">
        <w:rPr>
          <w:rFonts w:cs="Arial"/>
          <w:color w:val="000000" w:themeColor="text1"/>
          <w:sz w:val="22"/>
          <w:szCs w:val="22"/>
          <w:lang w:val="es-ES"/>
        </w:rPr>
        <w:t>, pecuari</w:t>
      </w:r>
      <w:r w:rsidRPr="00682496">
        <w:rPr>
          <w:rFonts w:cs="Arial"/>
          <w:color w:val="000000" w:themeColor="text1"/>
          <w:sz w:val="22"/>
          <w:szCs w:val="22"/>
          <w:lang w:val="es-ES"/>
        </w:rPr>
        <w:t>o</w:t>
      </w:r>
      <w:r w:rsidRPr="00682496" w:rsidR="302BB8CD">
        <w:rPr>
          <w:rFonts w:cs="Arial"/>
          <w:color w:val="000000" w:themeColor="text1"/>
          <w:sz w:val="22"/>
          <w:szCs w:val="22"/>
          <w:lang w:val="es-ES"/>
        </w:rPr>
        <w:t>, acuícola, pes</w:t>
      </w:r>
      <w:r w:rsidRPr="00682496">
        <w:rPr>
          <w:rFonts w:cs="Arial"/>
          <w:color w:val="000000" w:themeColor="text1"/>
          <w:sz w:val="22"/>
          <w:szCs w:val="22"/>
          <w:lang w:val="es-ES"/>
        </w:rPr>
        <w:t xml:space="preserve">ca, </w:t>
      </w:r>
      <w:proofErr w:type="spellStart"/>
      <w:r w:rsidRPr="00682496">
        <w:rPr>
          <w:rFonts w:cs="Arial"/>
          <w:color w:val="000000" w:themeColor="text1"/>
          <w:sz w:val="22"/>
          <w:szCs w:val="22"/>
          <w:lang w:val="es-ES"/>
        </w:rPr>
        <w:t>zoocria</w:t>
      </w:r>
      <w:proofErr w:type="spellEnd"/>
      <w:r w:rsidRPr="00682496">
        <w:rPr>
          <w:rFonts w:cs="Arial"/>
          <w:color w:val="000000" w:themeColor="text1"/>
          <w:sz w:val="22"/>
          <w:szCs w:val="22"/>
          <w:lang w:val="es-ES"/>
        </w:rPr>
        <w:t xml:space="preserve">, y apícola) y </w:t>
      </w:r>
      <w:r w:rsidRPr="00682496" w:rsidR="302BB8CD">
        <w:rPr>
          <w:rFonts w:cs="Arial"/>
          <w:color w:val="000000" w:themeColor="text1"/>
          <w:sz w:val="22"/>
          <w:szCs w:val="22"/>
          <w:lang w:val="es-ES"/>
        </w:rPr>
        <w:t>los procesos de comercialización</w:t>
      </w:r>
      <w:r w:rsidRPr="00682496">
        <w:rPr>
          <w:rFonts w:cs="Arial"/>
          <w:color w:val="000000" w:themeColor="text1"/>
          <w:sz w:val="22"/>
          <w:szCs w:val="22"/>
          <w:lang w:val="es-ES"/>
        </w:rPr>
        <w:t xml:space="preserve"> y/o transformación </w:t>
      </w:r>
      <w:r w:rsidRPr="00682496" w:rsidR="302BB8CD">
        <w:rPr>
          <w:rFonts w:cs="Arial"/>
          <w:color w:val="000000" w:themeColor="text1"/>
          <w:sz w:val="22"/>
          <w:szCs w:val="22"/>
          <w:lang w:val="es-ES"/>
        </w:rPr>
        <w:t>realizada directamente por los productores.</w:t>
      </w:r>
      <w:r w:rsidRPr="00682496">
        <w:rPr>
          <w:rFonts w:cs="Arial"/>
          <w:color w:val="000000" w:themeColor="text1"/>
          <w:sz w:val="22"/>
          <w:szCs w:val="22"/>
        </w:rPr>
        <w:t xml:space="preserve"> </w:t>
      </w:r>
    </w:p>
    <w:p w:rsidRPr="00682496" w:rsidR="00E14E4D" w:rsidP="00E14E4D" w:rsidRDefault="00E14E4D" w14:paraId="447DD462" w14:textId="77777777">
      <w:pPr>
        <w:pStyle w:val="Prrafodelista"/>
        <w:ind w:left="720"/>
        <w:jc w:val="both"/>
        <w:rPr>
          <w:color w:val="000000" w:themeColor="text1"/>
          <w:lang w:val="es-ES"/>
        </w:rPr>
      </w:pPr>
    </w:p>
    <w:p w:rsidRPr="00682496" w:rsidR="00115864" w:rsidP="000907E1" w:rsidRDefault="00576895" w14:paraId="3C200DFA" w14:textId="50F82843">
      <w:pPr>
        <w:pStyle w:val="Prrafodelista"/>
        <w:numPr>
          <w:ilvl w:val="0"/>
          <w:numId w:val="17"/>
        </w:numPr>
        <w:jc w:val="both"/>
        <w:rPr>
          <w:color w:val="000000" w:themeColor="text1"/>
          <w:lang w:val="es-ES"/>
        </w:rPr>
      </w:pPr>
      <w:r w:rsidRPr="00682496">
        <w:rPr>
          <w:rFonts w:eastAsia="Cambria" w:cs="Arial"/>
          <w:b/>
          <w:bCs/>
          <w:sz w:val="22"/>
          <w:szCs w:val="22"/>
          <w:lang w:val="es-ES" w:eastAsia="en-US"/>
        </w:rPr>
        <w:t>Metodología Microfinanciera</w:t>
      </w:r>
      <w:r w:rsidRPr="00682496">
        <w:rPr>
          <w:sz w:val="22"/>
          <w:szCs w:val="22"/>
        </w:rPr>
        <w:t xml:space="preserve">. </w:t>
      </w:r>
      <w:r w:rsidRPr="00682496" w:rsidR="16D44937">
        <w:rPr>
          <w:sz w:val="22"/>
          <w:szCs w:val="22"/>
        </w:rPr>
        <w:t>Para la originación de est</w:t>
      </w:r>
      <w:r w:rsidRPr="00682496" w:rsidR="000537DE">
        <w:rPr>
          <w:sz w:val="22"/>
          <w:szCs w:val="22"/>
        </w:rPr>
        <w:t xml:space="preserve">os créditos, el intermediario financiero deberá usar tecnología microcrediticia </w:t>
      </w:r>
      <w:r w:rsidRPr="00682496" w:rsidR="005E0123">
        <w:rPr>
          <w:sz w:val="22"/>
          <w:szCs w:val="22"/>
        </w:rPr>
        <w:t xml:space="preserve">o </w:t>
      </w:r>
      <w:r w:rsidRPr="00682496" w:rsidR="000907E1">
        <w:rPr>
          <w:sz w:val="22"/>
          <w:szCs w:val="22"/>
        </w:rPr>
        <w:t xml:space="preserve">microfinanciera </w:t>
      </w:r>
      <w:r w:rsidRPr="00682496" w:rsidR="16D44937">
        <w:rPr>
          <w:sz w:val="22"/>
          <w:szCs w:val="22"/>
        </w:rPr>
        <w:t xml:space="preserve">de conocimiento </w:t>
      </w:r>
      <w:r w:rsidRPr="00682496" w:rsidR="003B5892">
        <w:rPr>
          <w:sz w:val="22"/>
          <w:szCs w:val="22"/>
        </w:rPr>
        <w:t>de</w:t>
      </w:r>
      <w:r w:rsidRPr="00682496" w:rsidR="000537DE">
        <w:rPr>
          <w:sz w:val="22"/>
          <w:szCs w:val="22"/>
        </w:rPr>
        <w:t xml:space="preserve">l </w:t>
      </w:r>
      <w:r w:rsidRPr="00682496" w:rsidR="16D44937">
        <w:rPr>
          <w:sz w:val="22"/>
          <w:szCs w:val="22"/>
        </w:rPr>
        <w:t>cliente</w:t>
      </w:r>
      <w:r w:rsidRPr="00682496" w:rsidR="16D44937">
        <w:t xml:space="preserve">. </w:t>
      </w:r>
    </w:p>
    <w:p w:rsidRPr="00682496" w:rsidR="00836245" w:rsidP="00836245" w:rsidRDefault="00836245" w14:paraId="5293AAE0" w14:textId="36CDD113">
      <w:pPr>
        <w:pStyle w:val="Prrafodelista"/>
        <w:jc w:val="both"/>
        <w:rPr>
          <w:rFonts w:cs="Arial"/>
          <w:color w:val="000000" w:themeColor="text1"/>
          <w:sz w:val="22"/>
          <w:szCs w:val="22"/>
          <w:lang w:val="es-ES_tradnl"/>
        </w:rPr>
      </w:pPr>
    </w:p>
    <w:p w:rsidRPr="00682496" w:rsidR="00DF3AA3" w:rsidP="00DF3AA3" w:rsidRDefault="2570D6CD" w14:paraId="10DAA524" w14:textId="6D9C647E">
      <w:pPr>
        <w:pStyle w:val="Prrafodelista"/>
        <w:numPr>
          <w:ilvl w:val="0"/>
          <w:numId w:val="17"/>
        </w:numPr>
        <w:jc w:val="both"/>
        <w:rPr>
          <w:rFonts w:cs="Arial"/>
          <w:color w:val="000000" w:themeColor="text1"/>
          <w:sz w:val="22"/>
          <w:szCs w:val="22"/>
          <w:lang w:val="es-ES_tradnl"/>
        </w:rPr>
      </w:pPr>
      <w:r w:rsidRPr="00682496">
        <w:rPr>
          <w:rFonts w:eastAsia="Cambria" w:cs="Arial"/>
          <w:b/>
          <w:bCs/>
          <w:sz w:val="22"/>
          <w:szCs w:val="22"/>
          <w:lang w:val="es-ES" w:eastAsia="en-US"/>
        </w:rPr>
        <w:t xml:space="preserve">Valor del crédito. </w:t>
      </w:r>
      <w:r w:rsidRPr="00682496">
        <w:rPr>
          <w:rFonts w:eastAsia="Cambria" w:cs="Arial"/>
          <w:sz w:val="22"/>
          <w:szCs w:val="22"/>
          <w:lang w:val="es-ES" w:eastAsia="en-US"/>
        </w:rPr>
        <w:t>El monto máx</w:t>
      </w:r>
      <w:r w:rsidRPr="00682496" w:rsidR="0B441528">
        <w:rPr>
          <w:rFonts w:eastAsia="Cambria" w:cs="Arial"/>
          <w:sz w:val="22"/>
          <w:szCs w:val="22"/>
          <w:lang w:val="es-ES" w:eastAsia="en-US"/>
        </w:rPr>
        <w:t>imo financiable mediante esta línea será de $4 millones.</w:t>
      </w:r>
      <w:r w:rsidRPr="00682496" w:rsidR="0B441528">
        <w:rPr>
          <w:rFonts w:eastAsia="Cambria" w:cs="Arial"/>
          <w:b/>
          <w:bCs/>
          <w:sz w:val="22"/>
          <w:szCs w:val="22"/>
          <w:lang w:val="es-ES" w:eastAsia="en-US"/>
        </w:rPr>
        <w:t xml:space="preserve"> </w:t>
      </w:r>
    </w:p>
    <w:p w:rsidRPr="00682496" w:rsidR="00115864" w:rsidP="00836245" w:rsidRDefault="00115864" w14:paraId="0CD7568D" w14:textId="77777777">
      <w:pPr>
        <w:pStyle w:val="Prrafodelista"/>
        <w:jc w:val="both"/>
        <w:rPr>
          <w:rFonts w:cs="Arial"/>
          <w:color w:val="000000" w:themeColor="text1"/>
          <w:sz w:val="22"/>
          <w:szCs w:val="22"/>
          <w:lang w:val="es-ES_tradnl"/>
        </w:rPr>
      </w:pPr>
    </w:p>
    <w:p w:rsidRPr="00682496" w:rsidR="00475868" w:rsidP="00836245" w:rsidRDefault="62E4C801" w14:paraId="02261F70" w14:textId="537BD5BE">
      <w:pPr>
        <w:pStyle w:val="Prrafodelista"/>
        <w:numPr>
          <w:ilvl w:val="0"/>
          <w:numId w:val="17"/>
        </w:numPr>
        <w:jc w:val="both"/>
        <w:rPr>
          <w:rFonts w:cs="Arial"/>
          <w:b/>
          <w:sz w:val="22"/>
          <w:szCs w:val="22"/>
        </w:rPr>
      </w:pPr>
      <w:r w:rsidRPr="00682496">
        <w:rPr>
          <w:rFonts w:eastAsia="Cambria" w:cs="Arial"/>
          <w:b/>
          <w:bCs/>
          <w:sz w:val="22"/>
          <w:szCs w:val="22"/>
          <w:lang w:val="es-ES" w:eastAsia="en-US"/>
        </w:rPr>
        <w:t>Plazo</w:t>
      </w:r>
      <w:r w:rsidRPr="00682496" w:rsidR="518871B3">
        <w:rPr>
          <w:rFonts w:eastAsia="Cambria" w:cs="Arial"/>
          <w:b/>
          <w:bCs/>
          <w:sz w:val="22"/>
          <w:szCs w:val="22"/>
          <w:lang w:val="es-ES" w:eastAsia="en-US"/>
        </w:rPr>
        <w:t xml:space="preserve"> y </w:t>
      </w:r>
      <w:r w:rsidRPr="00682496" w:rsidR="003E6CE5">
        <w:rPr>
          <w:rFonts w:eastAsia="Cambria" w:cs="Arial"/>
          <w:b/>
          <w:bCs/>
          <w:sz w:val="22"/>
          <w:szCs w:val="22"/>
          <w:lang w:val="es-ES" w:eastAsia="en-US"/>
        </w:rPr>
        <w:t>P</w:t>
      </w:r>
      <w:r w:rsidRPr="00682496">
        <w:rPr>
          <w:rFonts w:eastAsia="Cambria" w:cs="Arial"/>
          <w:b/>
          <w:bCs/>
          <w:sz w:val="22"/>
          <w:szCs w:val="22"/>
          <w:lang w:val="es-ES" w:eastAsia="en-US"/>
        </w:rPr>
        <w:t>eriodo</w:t>
      </w:r>
      <w:r w:rsidRPr="00682496">
        <w:rPr>
          <w:rFonts w:cs="Arial"/>
          <w:b/>
          <w:bCs/>
          <w:color w:val="000000" w:themeColor="text1"/>
          <w:sz w:val="22"/>
          <w:szCs w:val="22"/>
          <w:lang w:val="es-ES"/>
        </w:rPr>
        <w:t xml:space="preserve"> de reconocimiento del subsidio</w:t>
      </w:r>
      <w:r w:rsidRPr="00682496">
        <w:rPr>
          <w:rFonts w:cs="Arial"/>
          <w:color w:val="000000" w:themeColor="text1"/>
          <w:sz w:val="22"/>
          <w:szCs w:val="22"/>
          <w:lang w:val="es-ES"/>
        </w:rPr>
        <w:t>. El plazo</w:t>
      </w:r>
      <w:r w:rsidRPr="00682496" w:rsidR="518871B3">
        <w:rPr>
          <w:rFonts w:cs="Arial"/>
          <w:color w:val="000000" w:themeColor="text1"/>
          <w:sz w:val="22"/>
          <w:szCs w:val="22"/>
          <w:lang w:val="es-ES"/>
        </w:rPr>
        <w:t xml:space="preserve"> máximo de</w:t>
      </w:r>
      <w:r w:rsidRPr="00682496" w:rsidR="3F08B6BC">
        <w:rPr>
          <w:rFonts w:cs="Arial"/>
          <w:color w:val="000000" w:themeColor="text1"/>
          <w:sz w:val="22"/>
          <w:szCs w:val="22"/>
          <w:lang w:val="es-ES"/>
        </w:rPr>
        <w:t xml:space="preserve"> </w:t>
      </w:r>
      <w:r w:rsidRPr="00682496" w:rsidR="00346EB8">
        <w:rPr>
          <w:rFonts w:cs="Arial"/>
          <w:color w:val="000000" w:themeColor="text1"/>
          <w:sz w:val="22"/>
          <w:szCs w:val="22"/>
          <w:lang w:val="es-ES"/>
        </w:rPr>
        <w:t xml:space="preserve">otorgamiento del subsidio </w:t>
      </w:r>
      <w:r w:rsidRPr="00682496" w:rsidR="009D61EA">
        <w:rPr>
          <w:rFonts w:cs="Arial"/>
          <w:color w:val="000000" w:themeColor="text1"/>
          <w:sz w:val="22"/>
          <w:szCs w:val="22"/>
          <w:lang w:val="es-ES"/>
        </w:rPr>
        <w:t xml:space="preserve">de </w:t>
      </w:r>
      <w:r w:rsidRPr="00682496" w:rsidR="3F08B6BC">
        <w:rPr>
          <w:rFonts w:cs="Arial"/>
          <w:color w:val="000000" w:themeColor="text1"/>
          <w:sz w:val="22"/>
          <w:szCs w:val="22"/>
          <w:lang w:val="es-ES"/>
        </w:rPr>
        <w:t xml:space="preserve">estos créditos será de </w:t>
      </w:r>
      <w:r w:rsidRPr="00682496" w:rsidR="52BBFD69">
        <w:rPr>
          <w:rFonts w:cs="Arial"/>
          <w:color w:val="000000" w:themeColor="text1"/>
          <w:sz w:val="22"/>
          <w:szCs w:val="22"/>
          <w:lang w:val="es-ES"/>
        </w:rPr>
        <w:t>hasta</w:t>
      </w:r>
      <w:r w:rsidRPr="00682496" w:rsidR="0E550F0C">
        <w:rPr>
          <w:rFonts w:cs="Arial"/>
          <w:color w:val="000000" w:themeColor="text1"/>
          <w:sz w:val="22"/>
          <w:szCs w:val="22"/>
          <w:lang w:val="es-ES"/>
        </w:rPr>
        <w:t xml:space="preserve"> </w:t>
      </w:r>
      <w:r w:rsidRPr="00682496" w:rsidR="3AFDAF33">
        <w:rPr>
          <w:rFonts w:cs="Arial"/>
          <w:color w:val="000000" w:themeColor="text1"/>
          <w:sz w:val="22"/>
          <w:szCs w:val="22"/>
          <w:lang w:val="es-ES"/>
        </w:rPr>
        <w:t>veinticuatro</w:t>
      </w:r>
      <w:r w:rsidRPr="00682496" w:rsidR="3EC48931">
        <w:rPr>
          <w:rFonts w:cs="Arial"/>
          <w:color w:val="000000" w:themeColor="text1"/>
          <w:sz w:val="22"/>
          <w:szCs w:val="22"/>
          <w:lang w:val="es-ES"/>
        </w:rPr>
        <w:t xml:space="preserve"> </w:t>
      </w:r>
      <w:r w:rsidRPr="00682496" w:rsidR="3AFDAF33">
        <w:rPr>
          <w:rFonts w:cs="Arial"/>
          <w:color w:val="000000" w:themeColor="text1"/>
          <w:sz w:val="22"/>
          <w:szCs w:val="22"/>
          <w:lang w:val="es-ES"/>
        </w:rPr>
        <w:t xml:space="preserve">(24) </w:t>
      </w:r>
      <w:r w:rsidRPr="00682496" w:rsidR="3F08B6BC">
        <w:rPr>
          <w:rFonts w:cs="Arial"/>
          <w:color w:val="000000" w:themeColor="text1"/>
          <w:sz w:val="22"/>
          <w:szCs w:val="22"/>
          <w:lang w:val="es-ES"/>
        </w:rPr>
        <w:t xml:space="preserve">meses, al igual que el periodo de reconocimiento del subsidio. </w:t>
      </w:r>
    </w:p>
    <w:p w:rsidRPr="00682496" w:rsidR="00836245" w:rsidP="00836245" w:rsidRDefault="00836245" w14:paraId="25CB8EE2" w14:textId="77777777">
      <w:pPr>
        <w:pStyle w:val="Prrafodelista"/>
        <w:jc w:val="both"/>
        <w:rPr>
          <w:rFonts w:cs="Arial"/>
          <w:b/>
          <w:sz w:val="22"/>
          <w:szCs w:val="22"/>
        </w:rPr>
      </w:pPr>
    </w:p>
    <w:p w:rsidRPr="00682496" w:rsidR="00483405" w:rsidP="00836245" w:rsidRDefault="38E91B6D" w14:paraId="7BAC0723" w14:textId="549F03F2">
      <w:pPr>
        <w:pStyle w:val="Prrafodelista"/>
        <w:numPr>
          <w:ilvl w:val="0"/>
          <w:numId w:val="17"/>
        </w:numPr>
        <w:contextualSpacing/>
        <w:jc w:val="both"/>
        <w:rPr>
          <w:rFonts w:cs="Arial"/>
          <w:color w:val="000000" w:themeColor="text1"/>
          <w:sz w:val="22"/>
          <w:szCs w:val="22"/>
          <w:lang w:val="es-ES_tradnl"/>
        </w:rPr>
      </w:pPr>
      <w:r w:rsidRPr="00682496">
        <w:rPr>
          <w:rFonts w:cs="Arial"/>
          <w:b/>
          <w:bCs/>
          <w:color w:val="000000" w:themeColor="text1"/>
          <w:sz w:val="22"/>
          <w:szCs w:val="22"/>
          <w:lang w:val="es-ES"/>
        </w:rPr>
        <w:t xml:space="preserve">Tasa de Redescuento y de Interés al Beneficiario. </w:t>
      </w:r>
      <w:r w:rsidRPr="00682496">
        <w:rPr>
          <w:rFonts w:cs="Arial"/>
          <w:color w:val="000000" w:themeColor="text1"/>
          <w:sz w:val="22"/>
          <w:szCs w:val="22"/>
          <w:lang w:val="es-ES"/>
        </w:rPr>
        <w:t>La línea contará con las siguientes condiciones financieras.</w:t>
      </w:r>
    </w:p>
    <w:p w:rsidRPr="00682496" w:rsidR="00831124" w:rsidP="00831124" w:rsidRDefault="00831124" w14:paraId="643C1E48" w14:textId="7DD3DDF5">
      <w:pPr>
        <w:ind w:left="142"/>
        <w:jc w:val="both"/>
        <w:outlineLvl w:val="1"/>
        <w:rPr>
          <w:rFonts w:cs="Arial"/>
          <w:color w:val="000000" w:themeColor="text1"/>
          <w:sz w:val="22"/>
          <w:szCs w:val="22"/>
          <w:lang w:val="es-ES_tradnl"/>
        </w:rPr>
      </w:pPr>
    </w:p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309"/>
        <w:gridCol w:w="117"/>
        <w:gridCol w:w="857"/>
        <w:gridCol w:w="986"/>
        <w:gridCol w:w="1532"/>
        <w:gridCol w:w="1544"/>
        <w:gridCol w:w="1544"/>
      </w:tblGrid>
      <w:tr w:rsidRPr="00682496" w:rsidR="000940ED" w:rsidTr="00A80879" w14:paraId="7810B42C" w14:textId="77777777">
        <w:trPr>
          <w:trHeight w:val="932"/>
          <w:jc w:val="center"/>
        </w:trPr>
        <w:tc>
          <w:tcPr>
            <w:tcW w:w="1126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</w:tcPr>
          <w:p w:rsidRPr="00682496" w:rsidR="000940ED" w:rsidP="00A80879" w:rsidRDefault="000940ED" w14:paraId="2BAD7F0A" w14:textId="77777777"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682496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s-ES_tradnl"/>
              </w:rPr>
              <w:t>Tipo de Productor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682496" w:rsidR="000940ED" w:rsidP="00A80879" w:rsidRDefault="000940ED" w14:paraId="39EF70EF" w14:textId="77777777"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682496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s-ES_tradnl"/>
              </w:rPr>
              <w:t>Tasa de Redescuento al IF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</w:tcPr>
          <w:p w:rsidRPr="00682496" w:rsidR="000940ED" w:rsidP="00A80879" w:rsidRDefault="000940ED" w14:paraId="31CC538C" w14:textId="77777777"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682496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s-ES_tradnl"/>
              </w:rPr>
              <w:t>Tasa de interés máxima recibida por el IF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  <w:hideMark/>
          </w:tcPr>
          <w:p w:rsidRPr="00682496" w:rsidR="000940ED" w:rsidP="00A80879" w:rsidRDefault="000940ED" w14:paraId="06ADE9B8" w14:textId="77777777"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682496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s-ES_tradnl"/>
              </w:rPr>
              <w:t>Subsidio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</w:tcPr>
          <w:p w:rsidRPr="00682496" w:rsidR="000940ED" w:rsidP="00A80879" w:rsidRDefault="000940ED" w14:paraId="58EBF2BC" w14:textId="77777777"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682496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s-ES_tradnl"/>
              </w:rPr>
              <w:t>Tasa de interés máxima con subsidio al productor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</w:tcPr>
          <w:p w:rsidRPr="00682496" w:rsidR="000940ED" w:rsidP="00A80879" w:rsidRDefault="000940ED" w14:paraId="6ECC0DA8" w14:textId="77777777"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</w:p>
          <w:p w:rsidRPr="00682496" w:rsidR="000940ED" w:rsidP="00A80879" w:rsidRDefault="000940ED" w14:paraId="2534CD6F" w14:textId="6573EF13"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682496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s-ES_tradnl"/>
              </w:rPr>
              <w:t>Subsidio adicional</w:t>
            </w:r>
            <w:r w:rsidRPr="00682496" w:rsidR="009E54F6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s-ES_tradnl"/>
              </w:rPr>
              <w:t xml:space="preserve"> hasta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</w:tcPr>
          <w:p w:rsidRPr="00682496" w:rsidR="000940ED" w:rsidP="00A80879" w:rsidRDefault="000940ED" w14:paraId="75B9E846" w14:textId="77777777"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s-ES_tradnl"/>
              </w:rPr>
            </w:pPr>
            <w:r w:rsidRPr="00682496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es-ES_tradnl"/>
              </w:rPr>
              <w:t>Tasa de interés máxima con subsidio adicional al productor</w:t>
            </w:r>
          </w:p>
        </w:tc>
      </w:tr>
      <w:tr w:rsidRPr="00682496" w:rsidR="000940ED" w:rsidTr="00A80879" w14:paraId="62F1ECCD" w14:textId="77777777">
        <w:trPr>
          <w:trHeight w:val="380"/>
          <w:jc w:val="center"/>
        </w:trPr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</w:tcPr>
          <w:p w:rsidRPr="00682496" w:rsidR="000940ED" w:rsidP="00A80879" w:rsidRDefault="000940ED" w14:paraId="33DCE7CF" w14:textId="77777777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82496">
              <w:rPr>
                <w:rFonts w:cs="Arial"/>
                <w:color w:val="000000" w:themeColor="text1"/>
                <w:sz w:val="16"/>
                <w:szCs w:val="16"/>
              </w:rPr>
              <w:t>Pequeño Productor de Ingresos Bajos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Pr="00682496" w:rsidR="000940ED" w:rsidP="00A80879" w:rsidRDefault="000940ED" w14:paraId="3CB5B25D" w14:textId="77777777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r w:rsidRPr="00682496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IBR – 1%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vAlign w:val="center"/>
          </w:tcPr>
          <w:p w:rsidRPr="00682496" w:rsidR="000940ED" w:rsidP="00A80879" w:rsidRDefault="000940ED" w14:paraId="21885C2C" w14:textId="77777777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r w:rsidRPr="00682496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IBR + 28%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Pr="00682496" w:rsidR="000940ED" w:rsidP="00A80879" w:rsidRDefault="000940ED" w14:paraId="0744DB48" w14:textId="77777777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r w:rsidRPr="00682496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5% 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 w:themeFill="background1"/>
            <w:vAlign w:val="center"/>
          </w:tcPr>
          <w:p w:rsidRPr="00682496" w:rsidR="000940ED" w:rsidP="00A80879" w:rsidRDefault="000940ED" w14:paraId="779CFDB8" w14:textId="77777777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r w:rsidRPr="00682496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Hasta IBR + 23% 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 w:themeFill="background1"/>
          </w:tcPr>
          <w:p w:rsidRPr="00682496" w:rsidR="000940ED" w:rsidP="00A80879" w:rsidRDefault="000940ED" w14:paraId="5CBE6E42" w14:textId="77777777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</w:p>
          <w:p w:rsidRPr="00682496" w:rsidR="000940ED" w:rsidP="00A80879" w:rsidRDefault="00F33E09" w14:paraId="1098C1E8" w14:textId="6A96C618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r w:rsidRPr="00682496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1</w:t>
            </w:r>
            <w:r w:rsidRPr="00682496" w:rsidR="000940ED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5%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 w:themeFill="background1"/>
          </w:tcPr>
          <w:p w:rsidRPr="00682496" w:rsidR="000940ED" w:rsidP="00A80879" w:rsidRDefault="000940ED" w14:paraId="4F539249" w14:textId="77777777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</w:p>
          <w:p w:rsidRPr="00682496" w:rsidR="000940ED" w:rsidP="00A80879" w:rsidRDefault="000940ED" w14:paraId="541FCC6A" w14:textId="58ECA903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r w:rsidRPr="00682496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Hasta IBR + 8%</w:t>
            </w:r>
          </w:p>
        </w:tc>
      </w:tr>
    </w:tbl>
    <w:p w:rsidRPr="00682496" w:rsidR="000940ED" w:rsidP="000940ED" w:rsidRDefault="000940ED" w14:paraId="09C452E4" w14:textId="77777777">
      <w:pPr>
        <w:ind w:left="708" w:firstLine="12"/>
        <w:jc w:val="both"/>
        <w:outlineLvl w:val="1"/>
        <w:rPr>
          <w:rFonts w:cs="Arial"/>
          <w:color w:val="000000" w:themeColor="text1"/>
          <w:sz w:val="18"/>
          <w:szCs w:val="18"/>
          <w:lang w:val="es-ES_tradnl"/>
        </w:rPr>
      </w:pPr>
      <w:r w:rsidRPr="00682496">
        <w:rPr>
          <w:rFonts w:cs="Arial"/>
          <w:color w:val="000000" w:themeColor="text1"/>
          <w:sz w:val="18"/>
          <w:szCs w:val="18"/>
          <w:lang w:val="es-ES_tradnl"/>
        </w:rPr>
        <w:t xml:space="preserve">      IBR y spread en términos nominales</w:t>
      </w:r>
    </w:p>
    <w:p w:rsidRPr="00682496" w:rsidR="000940ED" w:rsidP="002213A9" w:rsidRDefault="000940ED" w14:paraId="7E143CE3" w14:textId="77777777">
      <w:pPr>
        <w:jc w:val="both"/>
        <w:rPr>
          <w:rFonts w:cs="Arial"/>
          <w:b/>
          <w:sz w:val="22"/>
          <w:szCs w:val="22"/>
        </w:rPr>
      </w:pPr>
    </w:p>
    <w:p w:rsidRPr="00682496" w:rsidR="000C1249" w:rsidP="002014EF" w:rsidRDefault="000C1249" w14:paraId="71FD5D89" w14:textId="77777777">
      <w:pPr>
        <w:contextualSpacing/>
        <w:jc w:val="both"/>
        <w:rPr>
          <w:rFonts w:cs="Arial"/>
          <w:b/>
          <w:sz w:val="22"/>
          <w:szCs w:val="22"/>
          <w:lang w:val="es-ES_tradnl"/>
        </w:rPr>
      </w:pPr>
    </w:p>
    <w:p w:rsidRPr="00682496" w:rsidR="007057DE" w:rsidP="00FA4C10" w:rsidRDefault="27DE848C" w14:paraId="718A2AA6" w14:textId="55092A25">
      <w:pPr>
        <w:pStyle w:val="Prrafodelista"/>
        <w:numPr>
          <w:ilvl w:val="0"/>
          <w:numId w:val="17"/>
        </w:numPr>
        <w:contextualSpacing/>
        <w:jc w:val="both"/>
        <w:rPr>
          <w:rFonts w:cs="Arial"/>
          <w:color w:val="000000" w:themeColor="text1"/>
          <w:sz w:val="22"/>
          <w:szCs w:val="22"/>
          <w:lang w:val="es-ES"/>
        </w:rPr>
      </w:pPr>
      <w:r w:rsidRPr="00682496">
        <w:rPr>
          <w:rFonts w:cs="Arial"/>
          <w:b/>
          <w:bCs/>
          <w:color w:val="000000" w:themeColor="text1"/>
          <w:sz w:val="22"/>
          <w:szCs w:val="22"/>
          <w:lang w:val="es-ES"/>
        </w:rPr>
        <w:t xml:space="preserve">Control de </w:t>
      </w:r>
      <w:r w:rsidRPr="00682496" w:rsidR="2F3121BA">
        <w:rPr>
          <w:rFonts w:cs="Arial"/>
          <w:b/>
          <w:bCs/>
          <w:color w:val="000000" w:themeColor="text1"/>
          <w:sz w:val="22"/>
          <w:szCs w:val="22"/>
          <w:lang w:val="es-ES"/>
        </w:rPr>
        <w:t xml:space="preserve">seguimiento </w:t>
      </w:r>
      <w:r w:rsidRPr="00682496" w:rsidR="68D613DB">
        <w:rPr>
          <w:rFonts w:cs="Arial"/>
          <w:b/>
          <w:bCs/>
          <w:color w:val="000000" w:themeColor="text1"/>
          <w:sz w:val="22"/>
          <w:szCs w:val="22"/>
          <w:lang w:val="es-ES"/>
        </w:rPr>
        <w:t>e</w:t>
      </w:r>
      <w:r w:rsidRPr="00682496" w:rsidR="2F3121BA">
        <w:rPr>
          <w:rFonts w:cs="Arial"/>
          <w:b/>
          <w:bCs/>
          <w:color w:val="000000" w:themeColor="text1"/>
          <w:sz w:val="22"/>
          <w:szCs w:val="22"/>
          <w:lang w:val="es-ES"/>
        </w:rPr>
        <w:t xml:space="preserve"> </w:t>
      </w:r>
      <w:r w:rsidRPr="00682496">
        <w:rPr>
          <w:rFonts w:cs="Arial"/>
          <w:b/>
          <w:bCs/>
          <w:color w:val="000000" w:themeColor="text1"/>
          <w:sz w:val="22"/>
          <w:szCs w:val="22"/>
          <w:lang w:val="es-ES"/>
        </w:rPr>
        <w:t>inversión</w:t>
      </w:r>
      <w:r w:rsidRPr="00682496" w:rsidR="42D6813A">
        <w:rPr>
          <w:rFonts w:cs="Arial"/>
          <w:b/>
          <w:bCs/>
          <w:color w:val="000000" w:themeColor="text1"/>
          <w:sz w:val="22"/>
          <w:szCs w:val="22"/>
          <w:lang w:val="es-ES"/>
        </w:rPr>
        <w:t>.</w:t>
      </w:r>
      <w:r w:rsidRPr="00682496" w:rsidR="589C4C9B">
        <w:rPr>
          <w:rFonts w:cs="Arial"/>
          <w:color w:val="000000" w:themeColor="text1"/>
          <w:sz w:val="22"/>
          <w:szCs w:val="22"/>
          <w:lang w:val="es-ES"/>
        </w:rPr>
        <w:t xml:space="preserve"> </w:t>
      </w:r>
      <w:r w:rsidRPr="00682496" w:rsidR="4F1CF0EE">
        <w:rPr>
          <w:rFonts w:cs="Arial"/>
          <w:color w:val="000000" w:themeColor="text1"/>
          <w:sz w:val="22"/>
          <w:szCs w:val="22"/>
          <w:lang w:val="es-ES"/>
        </w:rPr>
        <w:t xml:space="preserve">Independientemente del </w:t>
      </w:r>
      <w:r w:rsidRPr="00682496" w:rsidR="5D0BB6CE">
        <w:rPr>
          <w:rFonts w:cs="Arial"/>
          <w:color w:val="000000" w:themeColor="text1"/>
          <w:sz w:val="22"/>
          <w:szCs w:val="22"/>
          <w:lang w:val="es-ES"/>
        </w:rPr>
        <w:t>seguimiento</w:t>
      </w:r>
      <w:r w:rsidRPr="00682496" w:rsidR="4F1CF0EE">
        <w:rPr>
          <w:rFonts w:cs="Arial"/>
          <w:color w:val="000000" w:themeColor="text1"/>
          <w:sz w:val="22"/>
          <w:szCs w:val="22"/>
          <w:lang w:val="es-ES"/>
        </w:rPr>
        <w:t xml:space="preserve"> que los intermediarios financieros </w:t>
      </w:r>
      <w:r w:rsidRPr="00682496" w:rsidR="5056A37A">
        <w:rPr>
          <w:rFonts w:cs="Arial"/>
          <w:color w:val="000000" w:themeColor="text1"/>
          <w:sz w:val="22"/>
          <w:szCs w:val="22"/>
          <w:lang w:val="es-ES"/>
        </w:rPr>
        <w:t xml:space="preserve">estén obligados a </w:t>
      </w:r>
      <w:r w:rsidRPr="00682496" w:rsidR="4F1CF0EE">
        <w:rPr>
          <w:rFonts w:cs="Arial"/>
          <w:color w:val="000000" w:themeColor="text1"/>
          <w:sz w:val="22"/>
          <w:szCs w:val="22"/>
          <w:lang w:val="es-ES"/>
        </w:rPr>
        <w:t>reali</w:t>
      </w:r>
      <w:r w:rsidRPr="00682496" w:rsidR="5D02A2A1">
        <w:rPr>
          <w:rFonts w:cs="Arial"/>
          <w:color w:val="000000" w:themeColor="text1"/>
          <w:sz w:val="22"/>
          <w:szCs w:val="22"/>
          <w:lang w:val="es-ES"/>
        </w:rPr>
        <w:t>zar</w:t>
      </w:r>
      <w:r w:rsidRPr="00682496" w:rsidR="4F1CF0EE">
        <w:rPr>
          <w:rFonts w:cs="Arial"/>
          <w:color w:val="000000" w:themeColor="text1"/>
          <w:sz w:val="22"/>
          <w:szCs w:val="22"/>
          <w:lang w:val="es-ES"/>
        </w:rPr>
        <w:t xml:space="preserve">, FINAGRO podrá efectuar </w:t>
      </w:r>
      <w:r w:rsidRPr="00682496" w:rsidR="705D595D">
        <w:rPr>
          <w:rFonts w:cs="Arial"/>
          <w:color w:val="000000" w:themeColor="text1"/>
          <w:sz w:val="22"/>
          <w:szCs w:val="22"/>
          <w:lang w:val="es-ES"/>
        </w:rPr>
        <w:t xml:space="preserve">seguimiento </w:t>
      </w:r>
      <w:r w:rsidRPr="00682496" w:rsidR="4F1CF0EE">
        <w:rPr>
          <w:rFonts w:cs="Arial"/>
          <w:color w:val="000000" w:themeColor="text1"/>
          <w:sz w:val="22"/>
          <w:szCs w:val="22"/>
          <w:lang w:val="es-ES"/>
        </w:rPr>
        <w:t>a las entidades financieras que realicen estas operaciones y a</w:t>
      </w:r>
      <w:r w:rsidRPr="00682496" w:rsidR="007605A2">
        <w:rPr>
          <w:rFonts w:cs="Arial"/>
          <w:color w:val="000000" w:themeColor="text1"/>
          <w:sz w:val="22"/>
          <w:szCs w:val="22"/>
          <w:lang w:val="es-ES"/>
        </w:rPr>
        <w:t>l</w:t>
      </w:r>
      <w:r w:rsidRPr="00682496" w:rsidR="00FA4C10">
        <w:rPr>
          <w:rFonts w:cs="Arial"/>
          <w:color w:val="000000" w:themeColor="text1"/>
          <w:sz w:val="22"/>
          <w:szCs w:val="22"/>
          <w:lang w:val="es-ES"/>
        </w:rPr>
        <w:t xml:space="preserve"> </w:t>
      </w:r>
      <w:r w:rsidRPr="00682496" w:rsidR="00CA6D79">
        <w:rPr>
          <w:rFonts w:cs="Arial"/>
          <w:color w:val="000000" w:themeColor="text1"/>
          <w:sz w:val="22"/>
          <w:szCs w:val="22"/>
          <w:lang w:val="es-ES"/>
        </w:rPr>
        <w:t xml:space="preserve">pequeño productor de ingresos bajos </w:t>
      </w:r>
      <w:r w:rsidRPr="00682496" w:rsidR="4F1CF0EE">
        <w:rPr>
          <w:rFonts w:cs="Arial"/>
          <w:color w:val="000000" w:themeColor="text1"/>
          <w:sz w:val="22"/>
          <w:szCs w:val="22"/>
          <w:lang w:val="es-ES"/>
        </w:rPr>
        <w:t>microempresario beneficiado con el crédito.</w:t>
      </w:r>
      <w:r w:rsidRPr="00682496" w:rsidR="00F90F07">
        <w:rPr>
          <w:rFonts w:cs="Arial"/>
          <w:color w:val="000000" w:themeColor="text1"/>
          <w:sz w:val="22"/>
          <w:szCs w:val="22"/>
          <w:lang w:val="es-ES"/>
        </w:rPr>
        <w:t>”</w:t>
      </w:r>
    </w:p>
    <w:p w:rsidRPr="00682496" w:rsidR="00D66811" w:rsidP="00D66811" w:rsidRDefault="00D66811" w14:paraId="303B01C0" w14:textId="77777777">
      <w:pPr>
        <w:contextualSpacing/>
        <w:jc w:val="both"/>
        <w:rPr>
          <w:rFonts w:cs="Arial"/>
          <w:color w:val="000000" w:themeColor="text1"/>
          <w:sz w:val="22"/>
          <w:szCs w:val="22"/>
        </w:rPr>
      </w:pPr>
    </w:p>
    <w:p w:rsidRPr="00682496" w:rsidR="00352BC2" w:rsidP="0071593A" w:rsidRDefault="009363FF" w14:paraId="7D980ECD" w14:textId="2A20EF0F">
      <w:pPr>
        <w:pStyle w:val="Prrafodelista"/>
        <w:numPr>
          <w:ilvl w:val="0"/>
          <w:numId w:val="34"/>
        </w:numPr>
        <w:ind w:left="0" w:firstLine="0"/>
        <w:jc w:val="both"/>
        <w:rPr>
          <w:rFonts w:cs="Arial"/>
          <w:sz w:val="22"/>
          <w:szCs w:val="22"/>
        </w:rPr>
      </w:pPr>
      <w:r w:rsidRPr="00682496">
        <w:rPr>
          <w:rFonts w:cs="Arial"/>
          <w:sz w:val="22"/>
          <w:szCs w:val="22"/>
        </w:rPr>
        <w:t xml:space="preserve">Dentro de los límites fijados por la Comisión Nacional de Crédito Agropecuario, </w:t>
      </w:r>
      <w:r w:rsidRPr="00682496" w:rsidR="23BE0C2B">
        <w:rPr>
          <w:rFonts w:cs="Arial"/>
          <w:sz w:val="22"/>
          <w:szCs w:val="22"/>
        </w:rPr>
        <w:t xml:space="preserve">facúltese a </w:t>
      </w:r>
      <w:r w:rsidRPr="00682496">
        <w:rPr>
          <w:rFonts w:cs="Arial"/>
          <w:sz w:val="22"/>
          <w:szCs w:val="22"/>
        </w:rPr>
        <w:t xml:space="preserve">FINAGRO </w:t>
      </w:r>
      <w:r w:rsidRPr="00682496" w:rsidR="2E1451ED">
        <w:rPr>
          <w:rFonts w:cs="Arial"/>
          <w:sz w:val="22"/>
          <w:szCs w:val="22"/>
        </w:rPr>
        <w:t xml:space="preserve">para que </w:t>
      </w:r>
      <w:r w:rsidRPr="00682496">
        <w:rPr>
          <w:rFonts w:cs="Arial"/>
          <w:sz w:val="22"/>
          <w:szCs w:val="22"/>
        </w:rPr>
        <w:t>mediante circular adopt</w:t>
      </w:r>
      <w:r w:rsidRPr="00682496" w:rsidR="0F492E36">
        <w:rPr>
          <w:rFonts w:cs="Arial"/>
          <w:sz w:val="22"/>
          <w:szCs w:val="22"/>
        </w:rPr>
        <w:t>e</w:t>
      </w:r>
      <w:r w:rsidRPr="00682496">
        <w:rPr>
          <w:rFonts w:cs="Arial"/>
          <w:sz w:val="22"/>
          <w:szCs w:val="22"/>
        </w:rPr>
        <w:t xml:space="preserve"> los procedimientos y las medidas necesarias para </w:t>
      </w:r>
      <w:r w:rsidRPr="00682496" w:rsidR="07957872">
        <w:rPr>
          <w:rFonts w:eastAsia="Arial" w:cs="Arial"/>
          <w:sz w:val="22"/>
          <w:szCs w:val="22"/>
          <w:lang w:val="es"/>
        </w:rPr>
        <w:t xml:space="preserve">desarrollar e </w:t>
      </w:r>
      <w:r w:rsidRPr="00682496" w:rsidR="007A1C69">
        <w:rPr>
          <w:rFonts w:eastAsia="Arial" w:cs="Arial"/>
          <w:sz w:val="22"/>
          <w:szCs w:val="22"/>
          <w:lang w:val="es"/>
        </w:rPr>
        <w:t>implementar</w:t>
      </w:r>
      <w:r w:rsidRPr="00682496">
        <w:rPr>
          <w:rFonts w:cs="Arial"/>
          <w:sz w:val="22"/>
          <w:szCs w:val="22"/>
        </w:rPr>
        <w:t xml:space="preserve"> las medidas aprobadas en la presente resolución.</w:t>
      </w:r>
      <w:r w:rsidRPr="00682496">
        <w:rPr>
          <w:rFonts w:cs="Arial"/>
          <w:b/>
          <w:bCs/>
          <w:sz w:val="22"/>
          <w:szCs w:val="22"/>
        </w:rPr>
        <w:t xml:space="preserve"> </w:t>
      </w:r>
    </w:p>
    <w:p w:rsidRPr="00682496" w:rsidR="00F67F38" w:rsidP="3663C349" w:rsidRDefault="00F67F38" w14:paraId="61C67D19" w14:textId="12B09461">
      <w:pPr>
        <w:jc w:val="both"/>
        <w:rPr>
          <w:rFonts w:cs="Arial"/>
          <w:sz w:val="22"/>
          <w:szCs w:val="22"/>
        </w:rPr>
      </w:pPr>
    </w:p>
    <w:p w:rsidRPr="00682496" w:rsidR="00A64A03" w:rsidP="00675C6E" w:rsidRDefault="00A64A03" w14:paraId="254CB592" w14:textId="1256DB1A">
      <w:pPr>
        <w:pStyle w:val="Prrafodelista"/>
        <w:numPr>
          <w:ilvl w:val="0"/>
          <w:numId w:val="34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5EB4D564" w:rsidR="00A64A03">
        <w:rPr>
          <w:rStyle w:val="Textoennegrita"/>
          <w:sz w:val="22"/>
          <w:szCs w:val="22"/>
        </w:rPr>
        <w:t>Vigencia.</w:t>
      </w:r>
      <w:r w:rsidRPr="5EB4D564" w:rsidR="00A64A03">
        <w:rPr>
          <w:rStyle w:val="ui-provider"/>
          <w:sz w:val="22"/>
          <w:szCs w:val="22"/>
        </w:rPr>
        <w:t xml:space="preserve"> La presente Resolución rige a partir de la fecha de su publicación en el Diario Oficial y sus efectos aplicarán a partir de la fecha en que FINAGRO expida la circular correspondiente. </w:t>
      </w:r>
      <w:r w:rsidRPr="5EB4D564" w:rsidR="00E05307">
        <w:rPr>
          <w:rStyle w:val="normaltextrun"/>
          <w:rFonts w:cs="Arial"/>
          <w:color w:val="000000" w:themeColor="text1" w:themeTint="FF" w:themeShade="FF"/>
          <w:sz w:val="22"/>
          <w:szCs w:val="22"/>
        </w:rPr>
        <w:t>Los términos y condiciones establecidos en las demás resoluciones de la Comisión Nacional de Crédito Agropecuario permanecerán inalterados y conservarán toda su vigencia y efecto en cuanto no se opongan a lo establecido en la presente resolución. </w:t>
      </w:r>
    </w:p>
    <w:p w:rsidRPr="00682496" w:rsidR="00352BC2" w:rsidP="007B74A0" w:rsidRDefault="00352BC2" w14:paraId="4A92412E" w14:textId="77777777">
      <w:pPr>
        <w:jc w:val="both"/>
        <w:rPr>
          <w:rFonts w:cs="Arial"/>
          <w:sz w:val="22"/>
          <w:szCs w:val="22"/>
        </w:rPr>
      </w:pPr>
    </w:p>
    <w:p w:rsidRPr="00682496" w:rsidR="00352BC2" w:rsidP="007B74A0" w:rsidRDefault="00352BC2" w14:paraId="67DB4C6A" w14:textId="7D29D30D">
      <w:pPr>
        <w:jc w:val="both"/>
        <w:rPr>
          <w:rFonts w:cs="Arial"/>
          <w:sz w:val="22"/>
          <w:szCs w:val="22"/>
        </w:rPr>
      </w:pPr>
      <w:r w:rsidRPr="00682496">
        <w:rPr>
          <w:rFonts w:cs="Arial"/>
          <w:sz w:val="22"/>
          <w:szCs w:val="22"/>
        </w:rPr>
        <w:t xml:space="preserve">Dada en Bogotá D.C., a los </w:t>
      </w:r>
      <w:r w:rsidRPr="00682496" w:rsidR="00D46BCC">
        <w:rPr>
          <w:rFonts w:cs="Arial"/>
          <w:sz w:val="22"/>
          <w:szCs w:val="22"/>
        </w:rPr>
        <w:t xml:space="preserve">diecisiete </w:t>
      </w:r>
      <w:r w:rsidRPr="00682496" w:rsidR="00E8513E">
        <w:rPr>
          <w:rFonts w:cs="Arial"/>
          <w:sz w:val="22"/>
          <w:szCs w:val="22"/>
        </w:rPr>
        <w:t>(</w:t>
      </w:r>
      <w:r w:rsidRPr="00682496" w:rsidR="00D46BCC">
        <w:rPr>
          <w:rFonts w:cs="Arial"/>
          <w:sz w:val="22"/>
          <w:szCs w:val="22"/>
        </w:rPr>
        <w:t>17</w:t>
      </w:r>
      <w:r w:rsidRPr="00682496">
        <w:rPr>
          <w:rFonts w:cs="Arial"/>
          <w:sz w:val="22"/>
          <w:szCs w:val="22"/>
        </w:rPr>
        <w:t xml:space="preserve">) días del mes de </w:t>
      </w:r>
      <w:r w:rsidRPr="00682496" w:rsidR="00AC6B91">
        <w:rPr>
          <w:rFonts w:cs="Arial"/>
          <w:sz w:val="22"/>
          <w:szCs w:val="22"/>
        </w:rPr>
        <w:t>agosto</w:t>
      </w:r>
      <w:r w:rsidRPr="00682496" w:rsidR="00E93837">
        <w:rPr>
          <w:rFonts w:cs="Arial"/>
          <w:sz w:val="22"/>
          <w:szCs w:val="22"/>
        </w:rPr>
        <w:t xml:space="preserve"> </w:t>
      </w:r>
      <w:r w:rsidRPr="00682496">
        <w:rPr>
          <w:rFonts w:cs="Arial"/>
          <w:sz w:val="22"/>
          <w:szCs w:val="22"/>
        </w:rPr>
        <w:t xml:space="preserve">de </w:t>
      </w:r>
      <w:r w:rsidRPr="00682496" w:rsidR="00E8513E">
        <w:rPr>
          <w:rFonts w:cs="Arial"/>
          <w:sz w:val="22"/>
          <w:szCs w:val="22"/>
        </w:rPr>
        <w:t xml:space="preserve">dos mil </w:t>
      </w:r>
      <w:r w:rsidRPr="00682496" w:rsidR="002639E8">
        <w:rPr>
          <w:rFonts w:cs="Arial"/>
          <w:sz w:val="22"/>
          <w:szCs w:val="22"/>
        </w:rPr>
        <w:t>veintitrés</w:t>
      </w:r>
      <w:r w:rsidRPr="00682496">
        <w:rPr>
          <w:rFonts w:cs="Arial"/>
          <w:sz w:val="22"/>
          <w:szCs w:val="22"/>
        </w:rPr>
        <w:t xml:space="preserve"> (</w:t>
      </w:r>
      <w:r w:rsidRPr="00682496" w:rsidR="00E8513E">
        <w:rPr>
          <w:rFonts w:cs="Arial"/>
          <w:sz w:val="22"/>
          <w:szCs w:val="22"/>
        </w:rPr>
        <w:t>202</w:t>
      </w:r>
      <w:r w:rsidRPr="00682496" w:rsidR="002639E8">
        <w:rPr>
          <w:rFonts w:cs="Arial"/>
          <w:sz w:val="22"/>
          <w:szCs w:val="22"/>
        </w:rPr>
        <w:t>3</w:t>
      </w:r>
      <w:r w:rsidRPr="00682496">
        <w:rPr>
          <w:rFonts w:cs="Arial"/>
          <w:sz w:val="22"/>
          <w:szCs w:val="22"/>
        </w:rPr>
        <w:t>).</w:t>
      </w:r>
    </w:p>
    <w:p w:rsidRPr="00682496" w:rsidR="00352BC2" w:rsidP="00C33731" w:rsidRDefault="00352BC2" w14:paraId="644DF73C" w14:textId="77777777">
      <w:pPr>
        <w:spacing w:line="0" w:lineRule="atLeast"/>
        <w:jc w:val="both"/>
        <w:rPr>
          <w:rFonts w:cs="Arial"/>
          <w:b/>
          <w:sz w:val="22"/>
          <w:szCs w:val="22"/>
        </w:rPr>
      </w:pPr>
    </w:p>
    <w:p w:rsidRPr="00682496" w:rsidR="00341399" w:rsidP="00C33731" w:rsidRDefault="00341399" w14:paraId="75AF7C06" w14:textId="77777777">
      <w:pPr>
        <w:spacing w:line="0" w:lineRule="atLeast"/>
        <w:jc w:val="both"/>
        <w:rPr>
          <w:rFonts w:cs="Arial"/>
          <w:b/>
          <w:sz w:val="22"/>
          <w:szCs w:val="22"/>
        </w:rPr>
      </w:pPr>
    </w:p>
    <w:p w:rsidRPr="00682496" w:rsidR="00341399" w:rsidP="00C33731" w:rsidRDefault="00341399" w14:paraId="79AE9F30" w14:textId="77777777">
      <w:pPr>
        <w:spacing w:line="0" w:lineRule="atLeast"/>
        <w:jc w:val="both"/>
        <w:rPr>
          <w:rFonts w:cs="Arial"/>
          <w:b/>
          <w:sz w:val="22"/>
          <w:szCs w:val="22"/>
        </w:rPr>
      </w:pPr>
    </w:p>
    <w:p w:rsidRPr="00682496" w:rsidR="002639E8" w:rsidP="002639E8" w:rsidRDefault="002639E8" w14:paraId="2D7A399E" w14:textId="77777777">
      <w:pPr>
        <w:rPr>
          <w:color w:val="000000" w:themeColor="text1"/>
        </w:rPr>
      </w:pPr>
    </w:p>
    <w:p w:rsidRPr="00682496" w:rsidR="002639E8" w:rsidP="002639E8" w:rsidRDefault="002639E8" w14:paraId="6E1E269D" w14:textId="77777777">
      <w:pPr>
        <w:spacing w:line="0" w:lineRule="atLeast"/>
        <w:rPr>
          <w:color w:val="000000" w:themeColor="text1"/>
        </w:rPr>
      </w:pPr>
    </w:p>
    <w:p w:rsidRPr="00682496" w:rsidR="002639E8" w:rsidP="00BA5C4D" w:rsidRDefault="00BA5C4D" w14:paraId="3F7F321E" w14:textId="0487E312">
      <w:pPr>
        <w:autoSpaceDE w:val="0"/>
        <w:autoSpaceDN w:val="0"/>
        <w:adjustRightInd w:val="0"/>
        <w:rPr>
          <w:rFonts w:cs="Arial"/>
          <w:b/>
          <w:color w:val="000000" w:themeColor="text1"/>
        </w:rPr>
      </w:pPr>
      <w:r w:rsidRPr="00682496">
        <w:rPr>
          <w:rFonts w:cs="Arial"/>
          <w:b/>
        </w:rPr>
        <w:t xml:space="preserve">    JHÉNIFER MOJICA                       </w:t>
      </w:r>
      <w:r w:rsidRPr="00682496">
        <w:rPr>
          <w:rFonts w:cs="Arial"/>
          <w:b/>
        </w:rPr>
        <w:tab/>
      </w:r>
      <w:r w:rsidRPr="00682496">
        <w:rPr>
          <w:rFonts w:cs="Arial"/>
          <w:b/>
        </w:rPr>
        <w:tab/>
      </w:r>
      <w:r w:rsidRPr="00682496">
        <w:rPr>
          <w:rFonts w:cs="Arial"/>
          <w:b/>
        </w:rPr>
        <w:t xml:space="preserve">   </w:t>
      </w:r>
      <w:r w:rsidRPr="00682496" w:rsidR="002639E8">
        <w:rPr>
          <w:rFonts w:cs="Arial"/>
          <w:b/>
          <w:color w:val="000000" w:themeColor="text1"/>
        </w:rPr>
        <w:t>PAULA ANDREA ZULETA GIL</w:t>
      </w:r>
    </w:p>
    <w:p w:rsidRPr="00082A15" w:rsidR="00352BC2" w:rsidP="006B7C39" w:rsidRDefault="002639E8" w14:paraId="11BBC3FF" w14:textId="7B85A92E">
      <w:pPr>
        <w:spacing w:line="0" w:lineRule="atLeast"/>
        <w:rPr>
          <w:rFonts w:cs="Arial"/>
          <w:b/>
          <w:sz w:val="22"/>
          <w:szCs w:val="22"/>
        </w:rPr>
      </w:pPr>
      <w:r w:rsidRPr="00682496">
        <w:rPr>
          <w:rFonts w:cs="Arial"/>
          <w:color w:val="000000" w:themeColor="text1"/>
        </w:rPr>
        <w:t xml:space="preserve">           Presidente</w:t>
      </w:r>
      <w:r w:rsidRPr="00682496">
        <w:rPr>
          <w:rFonts w:cs="Arial"/>
          <w:color w:val="000000" w:themeColor="text1"/>
        </w:rPr>
        <w:tab/>
      </w:r>
      <w:r w:rsidRPr="00682496">
        <w:rPr>
          <w:rFonts w:cs="Arial"/>
          <w:color w:val="000000" w:themeColor="text1"/>
        </w:rPr>
        <w:tab/>
      </w:r>
      <w:r w:rsidRPr="00682496">
        <w:rPr>
          <w:rFonts w:cs="Arial"/>
          <w:color w:val="000000" w:themeColor="text1"/>
        </w:rPr>
        <w:tab/>
      </w:r>
      <w:r w:rsidRPr="00682496">
        <w:rPr>
          <w:rFonts w:cs="Arial"/>
          <w:color w:val="000000" w:themeColor="text1"/>
        </w:rPr>
        <w:tab/>
      </w:r>
      <w:r w:rsidRPr="00682496">
        <w:rPr>
          <w:rFonts w:cs="Arial"/>
          <w:color w:val="000000" w:themeColor="text1"/>
        </w:rPr>
        <w:t xml:space="preserve">                     </w:t>
      </w:r>
      <w:proofErr w:type="gramStart"/>
      <w:r w:rsidRPr="00682496">
        <w:rPr>
          <w:rFonts w:cs="Arial"/>
          <w:color w:val="000000" w:themeColor="text1"/>
        </w:rPr>
        <w:t>Secretaria Técnic</w:t>
      </w:r>
      <w:r w:rsidRPr="00682496" w:rsidR="00B44E9A">
        <w:rPr>
          <w:rFonts w:cs="Arial"/>
          <w:color w:val="000000" w:themeColor="text1"/>
        </w:rPr>
        <w:t>a</w:t>
      </w:r>
      <w:proofErr w:type="gramEnd"/>
    </w:p>
    <w:sectPr w:rsidRPr="00082A15" w:rsidR="00352BC2" w:rsidSect="009A339B">
      <w:headerReference w:type="default" r:id="rId11"/>
      <w:footerReference w:type="default" r:id="rId12"/>
      <w:pgSz w:w="12242" w:h="15842" w:orient="portrait" w:code="1"/>
      <w:pgMar w:top="1417" w:right="1322" w:bottom="141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71FD" w:rsidRDefault="001571FD" w14:paraId="2BBD1BA3" w14:textId="77777777">
      <w:r>
        <w:separator/>
      </w:r>
    </w:p>
  </w:endnote>
  <w:endnote w:type="continuationSeparator" w:id="0">
    <w:p w:rsidR="001571FD" w:rsidRDefault="001571FD" w14:paraId="19844926" w14:textId="77777777">
      <w:r>
        <w:continuationSeparator/>
      </w:r>
    </w:p>
  </w:endnote>
  <w:endnote w:type="continuationNotice" w:id="1">
    <w:p w:rsidR="001571FD" w:rsidRDefault="001571FD" w14:paraId="574FA94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4577" w:rsidR="0055643C" w:rsidRDefault="0055643C" w14:paraId="0B6045BE" w14:textId="3A7647E1">
    <w:pPr>
      <w:pStyle w:val="Piedepgina"/>
      <w:jc w:val="right"/>
      <w:rPr>
        <w:sz w:val="22"/>
        <w:szCs w:val="22"/>
      </w:rPr>
    </w:pPr>
    <w:r w:rsidRPr="00BF4577">
      <w:rPr>
        <w:sz w:val="22"/>
        <w:szCs w:val="22"/>
      </w:rPr>
      <w:fldChar w:fldCharType="begin"/>
    </w:r>
    <w:r w:rsidRPr="00BF4577">
      <w:rPr>
        <w:sz w:val="22"/>
        <w:szCs w:val="22"/>
      </w:rPr>
      <w:instrText>PAGE   \* MERGEFORMAT</w:instrText>
    </w:r>
    <w:r w:rsidRPr="00BF4577">
      <w:rPr>
        <w:sz w:val="22"/>
        <w:szCs w:val="22"/>
      </w:rPr>
      <w:fldChar w:fldCharType="separate"/>
    </w:r>
    <w:r w:rsidR="00BD47B8">
      <w:rPr>
        <w:noProof/>
        <w:sz w:val="22"/>
        <w:szCs w:val="22"/>
      </w:rPr>
      <w:t>1</w:t>
    </w:r>
    <w:r w:rsidRPr="00BF4577">
      <w:rPr>
        <w:sz w:val="22"/>
        <w:szCs w:val="22"/>
      </w:rPr>
      <w:fldChar w:fldCharType="end"/>
    </w:r>
  </w:p>
  <w:p w:rsidR="0055643C" w:rsidRDefault="0055643C" w14:paraId="0760423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71FD" w:rsidRDefault="001571FD" w14:paraId="5948FB20" w14:textId="77777777">
      <w:r>
        <w:separator/>
      </w:r>
    </w:p>
  </w:footnote>
  <w:footnote w:type="continuationSeparator" w:id="0">
    <w:p w:rsidR="001571FD" w:rsidRDefault="001571FD" w14:paraId="542536EA" w14:textId="77777777">
      <w:r>
        <w:continuationSeparator/>
      </w:r>
    </w:p>
  </w:footnote>
  <w:footnote w:type="continuationNotice" w:id="1">
    <w:p w:rsidR="001571FD" w:rsidRDefault="001571FD" w14:paraId="6B474B6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6BD8B8A5" w:rsidTr="00C2712F" w14:paraId="056FCB68" w14:textId="77777777">
      <w:trPr>
        <w:trHeight w:val="300"/>
      </w:trPr>
      <w:tc>
        <w:tcPr>
          <w:tcW w:w="3040" w:type="dxa"/>
        </w:tcPr>
        <w:p w:rsidR="6BD8B8A5" w:rsidP="00C2712F" w:rsidRDefault="6BD8B8A5" w14:paraId="00EE1331" w14:textId="248BD642">
          <w:pPr>
            <w:pStyle w:val="Encabezado"/>
            <w:ind w:left="-115"/>
          </w:pPr>
        </w:p>
      </w:tc>
      <w:tc>
        <w:tcPr>
          <w:tcW w:w="3040" w:type="dxa"/>
        </w:tcPr>
        <w:p w:rsidR="6BD8B8A5" w:rsidP="00C2712F" w:rsidRDefault="6BD8B8A5" w14:paraId="2B12D537" w14:textId="1160765D">
          <w:pPr>
            <w:pStyle w:val="Encabezado"/>
            <w:jc w:val="center"/>
          </w:pPr>
        </w:p>
      </w:tc>
      <w:tc>
        <w:tcPr>
          <w:tcW w:w="3040" w:type="dxa"/>
        </w:tcPr>
        <w:p w:rsidR="6BD8B8A5" w:rsidP="00C2712F" w:rsidRDefault="6BD8B8A5" w14:paraId="4D488139" w14:textId="3E541668">
          <w:pPr>
            <w:pStyle w:val="Encabezado"/>
            <w:ind w:right="-115"/>
            <w:jc w:val="right"/>
          </w:pPr>
        </w:p>
      </w:tc>
    </w:tr>
  </w:tbl>
  <w:p w:rsidR="00EA4E26" w:rsidRDefault="00EA4E26" w14:paraId="3593BA02" w14:textId="570CF8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350"/>
    <w:multiLevelType w:val="hybridMultilevel"/>
    <w:tmpl w:val="E4A051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754B6"/>
    <w:multiLevelType w:val="hybridMultilevel"/>
    <w:tmpl w:val="8F40F6E4"/>
    <w:lvl w:ilvl="0" w:tplc="CFF6BB02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41D"/>
    <w:multiLevelType w:val="multilevel"/>
    <w:tmpl w:val="A140A6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8B3A4A"/>
    <w:multiLevelType w:val="hybridMultilevel"/>
    <w:tmpl w:val="B52E328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4E0341"/>
    <w:multiLevelType w:val="hybridMultilevel"/>
    <w:tmpl w:val="35F210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397"/>
    <w:multiLevelType w:val="hybridMultilevel"/>
    <w:tmpl w:val="9FE47AE0"/>
    <w:lvl w:ilvl="0" w:tplc="46BAE30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86B53"/>
    <w:multiLevelType w:val="hybridMultilevel"/>
    <w:tmpl w:val="913E629E"/>
    <w:lvl w:ilvl="0" w:tplc="69C04F8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A7F6F"/>
    <w:multiLevelType w:val="multilevel"/>
    <w:tmpl w:val="3E98B7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604A0C"/>
    <w:multiLevelType w:val="hybridMultilevel"/>
    <w:tmpl w:val="93BAF2F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F78A8"/>
    <w:multiLevelType w:val="hybridMultilevel"/>
    <w:tmpl w:val="721AEC76"/>
    <w:lvl w:ilvl="0" w:tplc="1C50A420">
      <w:start w:val="1"/>
      <w:numFmt w:val="decimal"/>
      <w:lvlText w:val="%1."/>
      <w:lvlJc w:val="left"/>
      <w:pPr>
        <w:ind w:left="720" w:hanging="360"/>
      </w:pPr>
      <w:rPr>
        <w:rFonts w:hint="default" w:eastAsia="Cambria" w:cs="Arial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B5D99"/>
    <w:multiLevelType w:val="hybridMultilevel"/>
    <w:tmpl w:val="E9EA567A"/>
    <w:lvl w:ilvl="0" w:tplc="8EEEEC40">
      <w:start w:val="1"/>
      <w:numFmt w:val="ordinal"/>
      <w:lvlText w:val="Artículo %1."/>
      <w:lvlJc w:val="left"/>
      <w:pPr>
        <w:ind w:left="720" w:hanging="360"/>
      </w:pPr>
      <w:rPr>
        <w:rFonts w:hint="default" w:ascii="Arial" w:hAnsi="Arial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1859"/>
    <w:multiLevelType w:val="hybridMultilevel"/>
    <w:tmpl w:val="B40A52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E61A0"/>
    <w:multiLevelType w:val="hybridMultilevel"/>
    <w:tmpl w:val="D7427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eastAsia="Cambria" w:cs="Arial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00ABA"/>
    <w:multiLevelType w:val="hybridMultilevel"/>
    <w:tmpl w:val="0DF23D6A"/>
    <w:lvl w:ilvl="0" w:tplc="E7508C2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0D51E64"/>
    <w:multiLevelType w:val="hybridMultilevel"/>
    <w:tmpl w:val="721AE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eastAsia="Cambria" w:cs="Arial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64FB6"/>
    <w:multiLevelType w:val="hybridMultilevel"/>
    <w:tmpl w:val="830CF8EA"/>
    <w:lvl w:ilvl="0" w:tplc="CFF6BB02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71346"/>
    <w:multiLevelType w:val="hybridMultilevel"/>
    <w:tmpl w:val="A83A2A24"/>
    <w:lvl w:ilvl="0" w:tplc="8716F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01EEE"/>
    <w:multiLevelType w:val="hybridMultilevel"/>
    <w:tmpl w:val="C35AFFB4"/>
    <w:lvl w:ilvl="0" w:tplc="01904380">
      <w:start w:val="1"/>
      <w:numFmt w:val="ordinal"/>
      <w:lvlText w:val="Artículo %1."/>
      <w:lvlJc w:val="left"/>
      <w:pPr>
        <w:ind w:left="3479" w:hanging="360"/>
      </w:pPr>
      <w:rPr>
        <w:rFonts w:hint="default" w:ascii="Arial" w:hAnsi="Arial"/>
        <w:b/>
        <w:i w:val="0"/>
        <w:lang w:val="es-ES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96FF0"/>
    <w:multiLevelType w:val="hybridMultilevel"/>
    <w:tmpl w:val="49A815CC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FF14F9"/>
    <w:multiLevelType w:val="hybridMultilevel"/>
    <w:tmpl w:val="33BE7164"/>
    <w:lvl w:ilvl="0" w:tplc="068A52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B050"/>
        <w:u w:color="00206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E4D2000"/>
    <w:multiLevelType w:val="hybridMultilevel"/>
    <w:tmpl w:val="E4A05116"/>
    <w:lvl w:ilvl="0" w:tplc="3746F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3A7A1A"/>
    <w:multiLevelType w:val="hybridMultilevel"/>
    <w:tmpl w:val="742AFED8"/>
    <w:lvl w:ilvl="0" w:tplc="44667EF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F6716A"/>
    <w:multiLevelType w:val="multilevel"/>
    <w:tmpl w:val="0762A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B34D9E"/>
    <w:multiLevelType w:val="hybridMultilevel"/>
    <w:tmpl w:val="E0E072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13104"/>
    <w:multiLevelType w:val="hybridMultilevel"/>
    <w:tmpl w:val="35F210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B43EB"/>
    <w:multiLevelType w:val="hybridMultilevel"/>
    <w:tmpl w:val="09DA417C"/>
    <w:lvl w:ilvl="0" w:tplc="CDC2245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024E29"/>
    <w:multiLevelType w:val="hybridMultilevel"/>
    <w:tmpl w:val="5290B85C"/>
    <w:lvl w:ilvl="0" w:tplc="240A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E26B8A"/>
    <w:multiLevelType w:val="hybridMultilevel"/>
    <w:tmpl w:val="1F9A9E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00346"/>
    <w:multiLevelType w:val="hybridMultilevel"/>
    <w:tmpl w:val="D8BC4EC8"/>
    <w:lvl w:ilvl="0" w:tplc="CFF6BB02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80A69"/>
    <w:multiLevelType w:val="hybridMultilevel"/>
    <w:tmpl w:val="3CA017CC"/>
    <w:lvl w:ilvl="0" w:tplc="3ECEDF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9F307B"/>
    <w:multiLevelType w:val="hybridMultilevel"/>
    <w:tmpl w:val="86DC129C"/>
    <w:lvl w:ilvl="0" w:tplc="1B68EBC4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5AB697C"/>
    <w:multiLevelType w:val="multilevel"/>
    <w:tmpl w:val="0E029E5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6B30B2C"/>
    <w:multiLevelType w:val="hybridMultilevel"/>
    <w:tmpl w:val="7638E050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291082"/>
    <w:multiLevelType w:val="hybridMultilevel"/>
    <w:tmpl w:val="7D2EE1EC"/>
    <w:lvl w:ilvl="0" w:tplc="72DAA9F8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17D07"/>
    <w:multiLevelType w:val="hybridMultilevel"/>
    <w:tmpl w:val="9D0AF39C"/>
    <w:lvl w:ilvl="0" w:tplc="CB006106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23C291"/>
    <w:multiLevelType w:val="hybridMultilevel"/>
    <w:tmpl w:val="FFFFFFFF"/>
    <w:lvl w:ilvl="0" w:tplc="22D6AEA0">
      <w:start w:val="1"/>
      <w:numFmt w:val="upperRoman"/>
      <w:lvlText w:val="%1)"/>
      <w:lvlJc w:val="left"/>
      <w:pPr>
        <w:ind w:left="720" w:hanging="360"/>
      </w:pPr>
    </w:lvl>
    <w:lvl w:ilvl="1" w:tplc="BD46A396">
      <w:start w:val="1"/>
      <w:numFmt w:val="lowerLetter"/>
      <w:lvlText w:val="%2."/>
      <w:lvlJc w:val="left"/>
      <w:pPr>
        <w:ind w:left="1440" w:hanging="360"/>
      </w:pPr>
    </w:lvl>
    <w:lvl w:ilvl="2" w:tplc="624EB436">
      <w:start w:val="1"/>
      <w:numFmt w:val="lowerRoman"/>
      <w:lvlText w:val="%3."/>
      <w:lvlJc w:val="right"/>
      <w:pPr>
        <w:ind w:left="2160" w:hanging="180"/>
      </w:pPr>
    </w:lvl>
    <w:lvl w:ilvl="3" w:tplc="2D96623A">
      <w:start w:val="1"/>
      <w:numFmt w:val="decimal"/>
      <w:lvlText w:val="%4."/>
      <w:lvlJc w:val="left"/>
      <w:pPr>
        <w:ind w:left="2880" w:hanging="360"/>
      </w:pPr>
    </w:lvl>
    <w:lvl w:ilvl="4" w:tplc="D4A692B2">
      <w:start w:val="1"/>
      <w:numFmt w:val="lowerLetter"/>
      <w:lvlText w:val="%5."/>
      <w:lvlJc w:val="left"/>
      <w:pPr>
        <w:ind w:left="3600" w:hanging="360"/>
      </w:pPr>
    </w:lvl>
    <w:lvl w:ilvl="5" w:tplc="61847B3C">
      <w:start w:val="1"/>
      <w:numFmt w:val="lowerRoman"/>
      <w:lvlText w:val="%6."/>
      <w:lvlJc w:val="right"/>
      <w:pPr>
        <w:ind w:left="4320" w:hanging="180"/>
      </w:pPr>
    </w:lvl>
    <w:lvl w:ilvl="6" w:tplc="0ACC89F4">
      <w:start w:val="1"/>
      <w:numFmt w:val="decimal"/>
      <w:lvlText w:val="%7."/>
      <w:lvlJc w:val="left"/>
      <w:pPr>
        <w:ind w:left="5040" w:hanging="360"/>
      </w:pPr>
    </w:lvl>
    <w:lvl w:ilvl="7" w:tplc="BAF85856">
      <w:start w:val="1"/>
      <w:numFmt w:val="lowerLetter"/>
      <w:lvlText w:val="%8."/>
      <w:lvlJc w:val="left"/>
      <w:pPr>
        <w:ind w:left="5760" w:hanging="360"/>
      </w:pPr>
    </w:lvl>
    <w:lvl w:ilvl="8" w:tplc="4E98926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047AB"/>
    <w:multiLevelType w:val="hybridMultilevel"/>
    <w:tmpl w:val="D7DC9CCC"/>
    <w:lvl w:ilvl="0" w:tplc="897E4D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766421">
    <w:abstractNumId w:val="32"/>
  </w:num>
  <w:num w:numId="2" w16cid:durableId="774206310">
    <w:abstractNumId w:val="2"/>
  </w:num>
  <w:num w:numId="3" w16cid:durableId="192621439">
    <w:abstractNumId w:val="31"/>
  </w:num>
  <w:num w:numId="4" w16cid:durableId="1930120366">
    <w:abstractNumId w:val="8"/>
  </w:num>
  <w:num w:numId="5" w16cid:durableId="242374517">
    <w:abstractNumId w:val="23"/>
  </w:num>
  <w:num w:numId="6" w16cid:durableId="1993099459">
    <w:abstractNumId w:val="7"/>
  </w:num>
  <w:num w:numId="7" w16cid:durableId="10349659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0223344">
    <w:abstractNumId w:val="3"/>
  </w:num>
  <w:num w:numId="9" w16cid:durableId="418016540">
    <w:abstractNumId w:val="22"/>
  </w:num>
  <w:num w:numId="10" w16cid:durableId="646128781">
    <w:abstractNumId w:val="24"/>
  </w:num>
  <w:num w:numId="11" w16cid:durableId="2074042488">
    <w:abstractNumId w:val="4"/>
  </w:num>
  <w:num w:numId="12" w16cid:durableId="1141381806">
    <w:abstractNumId w:val="13"/>
  </w:num>
  <w:num w:numId="13" w16cid:durableId="766194072">
    <w:abstractNumId w:val="33"/>
  </w:num>
  <w:num w:numId="14" w16cid:durableId="825629023">
    <w:abstractNumId w:val="27"/>
  </w:num>
  <w:num w:numId="15" w16cid:durableId="1909343725">
    <w:abstractNumId w:val="11"/>
  </w:num>
  <w:num w:numId="16" w16cid:durableId="649362429">
    <w:abstractNumId w:val="20"/>
  </w:num>
  <w:num w:numId="17" w16cid:durableId="1861159763">
    <w:abstractNumId w:val="9"/>
  </w:num>
  <w:num w:numId="18" w16cid:durableId="2097095271">
    <w:abstractNumId w:val="0"/>
  </w:num>
  <w:num w:numId="19" w16cid:durableId="1957787601">
    <w:abstractNumId w:val="18"/>
  </w:num>
  <w:num w:numId="20" w16cid:durableId="801076702">
    <w:abstractNumId w:val="19"/>
  </w:num>
  <w:num w:numId="21" w16cid:durableId="902981496">
    <w:abstractNumId w:val="6"/>
  </w:num>
  <w:num w:numId="22" w16cid:durableId="1277978161">
    <w:abstractNumId w:val="26"/>
  </w:num>
  <w:num w:numId="23" w16cid:durableId="2090075821">
    <w:abstractNumId w:val="36"/>
  </w:num>
  <w:num w:numId="24" w16cid:durableId="150416870">
    <w:abstractNumId w:val="12"/>
  </w:num>
  <w:num w:numId="25" w16cid:durableId="1862278256">
    <w:abstractNumId w:val="21"/>
  </w:num>
  <w:num w:numId="26" w16cid:durableId="361245352">
    <w:abstractNumId w:val="14"/>
  </w:num>
  <w:num w:numId="27" w16cid:durableId="1951014580">
    <w:abstractNumId w:val="30"/>
  </w:num>
  <w:num w:numId="28" w16cid:durableId="278799406">
    <w:abstractNumId w:val="16"/>
  </w:num>
  <w:num w:numId="29" w16cid:durableId="446656222">
    <w:abstractNumId w:val="5"/>
  </w:num>
  <w:num w:numId="30" w16cid:durableId="1513377718">
    <w:abstractNumId w:val="35"/>
  </w:num>
  <w:num w:numId="31" w16cid:durableId="779493701">
    <w:abstractNumId w:val="1"/>
  </w:num>
  <w:num w:numId="32" w16cid:durableId="229313894">
    <w:abstractNumId w:val="15"/>
  </w:num>
  <w:num w:numId="33" w16cid:durableId="837891963">
    <w:abstractNumId w:val="10"/>
  </w:num>
  <w:num w:numId="34" w16cid:durableId="987973554">
    <w:abstractNumId w:val="17"/>
  </w:num>
  <w:num w:numId="35" w16cid:durableId="1770857120">
    <w:abstractNumId w:val="29"/>
  </w:num>
  <w:num w:numId="36" w16cid:durableId="1481119147">
    <w:abstractNumId w:val="34"/>
  </w:num>
  <w:num w:numId="37" w16cid:durableId="51655311">
    <w:abstractNumId w:val="25"/>
  </w:num>
  <w:num w:numId="38" w16cid:durableId="1032223191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C7"/>
    <w:rsid w:val="00000CAE"/>
    <w:rsid w:val="000012A5"/>
    <w:rsid w:val="00001C1C"/>
    <w:rsid w:val="00001F37"/>
    <w:rsid w:val="00002D27"/>
    <w:rsid w:val="00005010"/>
    <w:rsid w:val="00007645"/>
    <w:rsid w:val="000121D4"/>
    <w:rsid w:val="000121D5"/>
    <w:rsid w:val="00012ED8"/>
    <w:rsid w:val="00012F35"/>
    <w:rsid w:val="0001559C"/>
    <w:rsid w:val="00015C53"/>
    <w:rsid w:val="00016DAE"/>
    <w:rsid w:val="0001736E"/>
    <w:rsid w:val="0002018E"/>
    <w:rsid w:val="00020DC5"/>
    <w:rsid w:val="00022410"/>
    <w:rsid w:val="0002273A"/>
    <w:rsid w:val="00022A8F"/>
    <w:rsid w:val="00023056"/>
    <w:rsid w:val="00025561"/>
    <w:rsid w:val="000257FB"/>
    <w:rsid w:val="00030612"/>
    <w:rsid w:val="00031EDF"/>
    <w:rsid w:val="00032298"/>
    <w:rsid w:val="00032663"/>
    <w:rsid w:val="00034304"/>
    <w:rsid w:val="000359E2"/>
    <w:rsid w:val="00037635"/>
    <w:rsid w:val="0004429A"/>
    <w:rsid w:val="00045A91"/>
    <w:rsid w:val="00045BAA"/>
    <w:rsid w:val="00050F50"/>
    <w:rsid w:val="00051C21"/>
    <w:rsid w:val="000527A1"/>
    <w:rsid w:val="00052A6E"/>
    <w:rsid w:val="000537DE"/>
    <w:rsid w:val="00055A3D"/>
    <w:rsid w:val="00055AF8"/>
    <w:rsid w:val="0005698C"/>
    <w:rsid w:val="00057089"/>
    <w:rsid w:val="00057F22"/>
    <w:rsid w:val="000609A2"/>
    <w:rsid w:val="00060E11"/>
    <w:rsid w:val="00061605"/>
    <w:rsid w:val="000646E0"/>
    <w:rsid w:val="000647B9"/>
    <w:rsid w:val="00064DFC"/>
    <w:rsid w:val="00065373"/>
    <w:rsid w:val="000654D6"/>
    <w:rsid w:val="00065C21"/>
    <w:rsid w:val="000708BB"/>
    <w:rsid w:val="00073ABA"/>
    <w:rsid w:val="00073EF9"/>
    <w:rsid w:val="00073FB2"/>
    <w:rsid w:val="00076B3E"/>
    <w:rsid w:val="00076E9D"/>
    <w:rsid w:val="000771D0"/>
    <w:rsid w:val="000773D5"/>
    <w:rsid w:val="000777D1"/>
    <w:rsid w:val="00077B2F"/>
    <w:rsid w:val="00077BF2"/>
    <w:rsid w:val="0008051D"/>
    <w:rsid w:val="000807CF"/>
    <w:rsid w:val="00080FED"/>
    <w:rsid w:val="0008101D"/>
    <w:rsid w:val="0008109C"/>
    <w:rsid w:val="00081865"/>
    <w:rsid w:val="00082A15"/>
    <w:rsid w:val="00083CD9"/>
    <w:rsid w:val="0008445D"/>
    <w:rsid w:val="00084B99"/>
    <w:rsid w:val="00085D93"/>
    <w:rsid w:val="00086B9A"/>
    <w:rsid w:val="00087BE2"/>
    <w:rsid w:val="00090680"/>
    <w:rsid w:val="000907E1"/>
    <w:rsid w:val="00091020"/>
    <w:rsid w:val="00091175"/>
    <w:rsid w:val="00092500"/>
    <w:rsid w:val="00092926"/>
    <w:rsid w:val="00092D25"/>
    <w:rsid w:val="000930A3"/>
    <w:rsid w:val="0009374C"/>
    <w:rsid w:val="00093E45"/>
    <w:rsid w:val="000940ED"/>
    <w:rsid w:val="00094FA0"/>
    <w:rsid w:val="0009607F"/>
    <w:rsid w:val="00096103"/>
    <w:rsid w:val="00096230"/>
    <w:rsid w:val="000A1F0B"/>
    <w:rsid w:val="000A24FC"/>
    <w:rsid w:val="000A26E9"/>
    <w:rsid w:val="000A2A87"/>
    <w:rsid w:val="000A3227"/>
    <w:rsid w:val="000A3736"/>
    <w:rsid w:val="000A3B56"/>
    <w:rsid w:val="000A4365"/>
    <w:rsid w:val="000A4CAB"/>
    <w:rsid w:val="000A6FAD"/>
    <w:rsid w:val="000A7140"/>
    <w:rsid w:val="000A7FE6"/>
    <w:rsid w:val="000B03CE"/>
    <w:rsid w:val="000B112C"/>
    <w:rsid w:val="000B1652"/>
    <w:rsid w:val="000B1D84"/>
    <w:rsid w:val="000B4AE5"/>
    <w:rsid w:val="000B53E2"/>
    <w:rsid w:val="000B6321"/>
    <w:rsid w:val="000B6371"/>
    <w:rsid w:val="000B6957"/>
    <w:rsid w:val="000B70C3"/>
    <w:rsid w:val="000B7394"/>
    <w:rsid w:val="000B7BD1"/>
    <w:rsid w:val="000B7D6A"/>
    <w:rsid w:val="000C1249"/>
    <w:rsid w:val="000C1A06"/>
    <w:rsid w:val="000C4939"/>
    <w:rsid w:val="000C531F"/>
    <w:rsid w:val="000C5509"/>
    <w:rsid w:val="000C70E1"/>
    <w:rsid w:val="000C746E"/>
    <w:rsid w:val="000C7C9B"/>
    <w:rsid w:val="000D0059"/>
    <w:rsid w:val="000D1D30"/>
    <w:rsid w:val="000D38D7"/>
    <w:rsid w:val="000D60E0"/>
    <w:rsid w:val="000D6658"/>
    <w:rsid w:val="000D73CA"/>
    <w:rsid w:val="000D7D5E"/>
    <w:rsid w:val="000E0143"/>
    <w:rsid w:val="000E07AE"/>
    <w:rsid w:val="000E0D0C"/>
    <w:rsid w:val="000E15F0"/>
    <w:rsid w:val="000E183B"/>
    <w:rsid w:val="000E1FA0"/>
    <w:rsid w:val="000E2516"/>
    <w:rsid w:val="000E2B6D"/>
    <w:rsid w:val="000E3A82"/>
    <w:rsid w:val="000E46B1"/>
    <w:rsid w:val="000E4D62"/>
    <w:rsid w:val="000E5163"/>
    <w:rsid w:val="000E641E"/>
    <w:rsid w:val="000E66CF"/>
    <w:rsid w:val="000E705F"/>
    <w:rsid w:val="000F0C3E"/>
    <w:rsid w:val="000F10C1"/>
    <w:rsid w:val="000F28C2"/>
    <w:rsid w:val="000F2C34"/>
    <w:rsid w:val="000F4233"/>
    <w:rsid w:val="000F45D4"/>
    <w:rsid w:val="000F56ED"/>
    <w:rsid w:val="000F5793"/>
    <w:rsid w:val="000F6363"/>
    <w:rsid w:val="000F7437"/>
    <w:rsid w:val="000F7B4B"/>
    <w:rsid w:val="00100077"/>
    <w:rsid w:val="001016B6"/>
    <w:rsid w:val="001029BC"/>
    <w:rsid w:val="00103EEA"/>
    <w:rsid w:val="0010502C"/>
    <w:rsid w:val="0010542D"/>
    <w:rsid w:val="001057DC"/>
    <w:rsid w:val="00106A92"/>
    <w:rsid w:val="00107F9F"/>
    <w:rsid w:val="00110AAA"/>
    <w:rsid w:val="00112FB9"/>
    <w:rsid w:val="0011374B"/>
    <w:rsid w:val="00114B54"/>
    <w:rsid w:val="00114C04"/>
    <w:rsid w:val="00115864"/>
    <w:rsid w:val="00115965"/>
    <w:rsid w:val="00115AA1"/>
    <w:rsid w:val="00116CE6"/>
    <w:rsid w:val="00117F27"/>
    <w:rsid w:val="00117FE3"/>
    <w:rsid w:val="00120FD5"/>
    <w:rsid w:val="001217D9"/>
    <w:rsid w:val="00122A6E"/>
    <w:rsid w:val="001271F4"/>
    <w:rsid w:val="00127663"/>
    <w:rsid w:val="00127FB4"/>
    <w:rsid w:val="00130396"/>
    <w:rsid w:val="001316A4"/>
    <w:rsid w:val="0013192A"/>
    <w:rsid w:val="00133981"/>
    <w:rsid w:val="0013484B"/>
    <w:rsid w:val="001348E3"/>
    <w:rsid w:val="001362C5"/>
    <w:rsid w:val="0013693B"/>
    <w:rsid w:val="00140F3D"/>
    <w:rsid w:val="00141856"/>
    <w:rsid w:val="00142B15"/>
    <w:rsid w:val="00143B7F"/>
    <w:rsid w:val="001450E4"/>
    <w:rsid w:val="0014669F"/>
    <w:rsid w:val="00151F29"/>
    <w:rsid w:val="001521A5"/>
    <w:rsid w:val="0015233D"/>
    <w:rsid w:val="00152D19"/>
    <w:rsid w:val="00153795"/>
    <w:rsid w:val="00154A06"/>
    <w:rsid w:val="00155887"/>
    <w:rsid w:val="001571FD"/>
    <w:rsid w:val="00160E47"/>
    <w:rsid w:val="00162E6F"/>
    <w:rsid w:val="001631AD"/>
    <w:rsid w:val="00163B42"/>
    <w:rsid w:val="0016463A"/>
    <w:rsid w:val="00164853"/>
    <w:rsid w:val="00164EFE"/>
    <w:rsid w:val="00166ABE"/>
    <w:rsid w:val="00170398"/>
    <w:rsid w:val="00171A1D"/>
    <w:rsid w:val="00171D1C"/>
    <w:rsid w:val="00172393"/>
    <w:rsid w:val="00172A3B"/>
    <w:rsid w:val="00173C9F"/>
    <w:rsid w:val="00175670"/>
    <w:rsid w:val="00176588"/>
    <w:rsid w:val="00177EEE"/>
    <w:rsid w:val="001827A3"/>
    <w:rsid w:val="00182852"/>
    <w:rsid w:val="00183157"/>
    <w:rsid w:val="00183841"/>
    <w:rsid w:val="00183997"/>
    <w:rsid w:val="00183B0F"/>
    <w:rsid w:val="00183B52"/>
    <w:rsid w:val="00183D67"/>
    <w:rsid w:val="001846AB"/>
    <w:rsid w:val="00185809"/>
    <w:rsid w:val="00185BDE"/>
    <w:rsid w:val="001867F5"/>
    <w:rsid w:val="001869A7"/>
    <w:rsid w:val="00186C49"/>
    <w:rsid w:val="00190E31"/>
    <w:rsid w:val="0019106F"/>
    <w:rsid w:val="00192326"/>
    <w:rsid w:val="00192E5A"/>
    <w:rsid w:val="00192FC4"/>
    <w:rsid w:val="0019310A"/>
    <w:rsid w:val="0019415A"/>
    <w:rsid w:val="001947D8"/>
    <w:rsid w:val="00194D1B"/>
    <w:rsid w:val="0019674E"/>
    <w:rsid w:val="0019705B"/>
    <w:rsid w:val="001970D1"/>
    <w:rsid w:val="00197C3F"/>
    <w:rsid w:val="00197FAB"/>
    <w:rsid w:val="001A0D4E"/>
    <w:rsid w:val="001A2D9F"/>
    <w:rsid w:val="001A36B4"/>
    <w:rsid w:val="001A38A5"/>
    <w:rsid w:val="001A4955"/>
    <w:rsid w:val="001A4A37"/>
    <w:rsid w:val="001A6B48"/>
    <w:rsid w:val="001B0864"/>
    <w:rsid w:val="001B0C74"/>
    <w:rsid w:val="001B190A"/>
    <w:rsid w:val="001B1CE9"/>
    <w:rsid w:val="001B3781"/>
    <w:rsid w:val="001B564D"/>
    <w:rsid w:val="001B5832"/>
    <w:rsid w:val="001B6E50"/>
    <w:rsid w:val="001C03A2"/>
    <w:rsid w:val="001C0442"/>
    <w:rsid w:val="001C0B33"/>
    <w:rsid w:val="001C3F04"/>
    <w:rsid w:val="001C4048"/>
    <w:rsid w:val="001C4551"/>
    <w:rsid w:val="001C5168"/>
    <w:rsid w:val="001C518E"/>
    <w:rsid w:val="001C5447"/>
    <w:rsid w:val="001C5637"/>
    <w:rsid w:val="001C7402"/>
    <w:rsid w:val="001C7730"/>
    <w:rsid w:val="001D0222"/>
    <w:rsid w:val="001D02C3"/>
    <w:rsid w:val="001D0447"/>
    <w:rsid w:val="001D177B"/>
    <w:rsid w:val="001D19E6"/>
    <w:rsid w:val="001D2A4A"/>
    <w:rsid w:val="001D4969"/>
    <w:rsid w:val="001D4AFA"/>
    <w:rsid w:val="001D4D0E"/>
    <w:rsid w:val="001D54B2"/>
    <w:rsid w:val="001D5A2F"/>
    <w:rsid w:val="001D602C"/>
    <w:rsid w:val="001D6B7B"/>
    <w:rsid w:val="001D6C50"/>
    <w:rsid w:val="001D7100"/>
    <w:rsid w:val="001E0027"/>
    <w:rsid w:val="001E075B"/>
    <w:rsid w:val="001E101B"/>
    <w:rsid w:val="001E23ED"/>
    <w:rsid w:val="001E5091"/>
    <w:rsid w:val="001E55DB"/>
    <w:rsid w:val="001E6424"/>
    <w:rsid w:val="001E6832"/>
    <w:rsid w:val="001E6EE4"/>
    <w:rsid w:val="001E7C5D"/>
    <w:rsid w:val="001E7CC8"/>
    <w:rsid w:val="001E7F66"/>
    <w:rsid w:val="001F12D4"/>
    <w:rsid w:val="001F1CF0"/>
    <w:rsid w:val="001F214E"/>
    <w:rsid w:val="001F2F30"/>
    <w:rsid w:val="001F30E2"/>
    <w:rsid w:val="001F317A"/>
    <w:rsid w:val="001F5AED"/>
    <w:rsid w:val="001F6070"/>
    <w:rsid w:val="001F668F"/>
    <w:rsid w:val="002014EF"/>
    <w:rsid w:val="002028B4"/>
    <w:rsid w:val="00202A2A"/>
    <w:rsid w:val="002034F7"/>
    <w:rsid w:val="002050F9"/>
    <w:rsid w:val="002053D6"/>
    <w:rsid w:val="002107C0"/>
    <w:rsid w:val="0021229E"/>
    <w:rsid w:val="00212403"/>
    <w:rsid w:val="00213295"/>
    <w:rsid w:val="00213445"/>
    <w:rsid w:val="00214633"/>
    <w:rsid w:val="0021555B"/>
    <w:rsid w:val="00215B7C"/>
    <w:rsid w:val="002168D1"/>
    <w:rsid w:val="0021692E"/>
    <w:rsid w:val="00216C75"/>
    <w:rsid w:val="0022062F"/>
    <w:rsid w:val="002209F4"/>
    <w:rsid w:val="002213A9"/>
    <w:rsid w:val="00221469"/>
    <w:rsid w:val="00223C0E"/>
    <w:rsid w:val="002259FA"/>
    <w:rsid w:val="002266C2"/>
    <w:rsid w:val="00227310"/>
    <w:rsid w:val="002277C4"/>
    <w:rsid w:val="00227C1D"/>
    <w:rsid w:val="0023148E"/>
    <w:rsid w:val="00231EFB"/>
    <w:rsid w:val="00232459"/>
    <w:rsid w:val="002326DE"/>
    <w:rsid w:val="00232EF3"/>
    <w:rsid w:val="00234FD0"/>
    <w:rsid w:val="002357EB"/>
    <w:rsid w:val="00235EEB"/>
    <w:rsid w:val="00237B1C"/>
    <w:rsid w:val="00240682"/>
    <w:rsid w:val="00242EEA"/>
    <w:rsid w:val="002434A9"/>
    <w:rsid w:val="002442A9"/>
    <w:rsid w:val="00244CB4"/>
    <w:rsid w:val="002461A6"/>
    <w:rsid w:val="00246C1A"/>
    <w:rsid w:val="002479C0"/>
    <w:rsid w:val="00250173"/>
    <w:rsid w:val="00250C2B"/>
    <w:rsid w:val="0025192E"/>
    <w:rsid w:val="00251B75"/>
    <w:rsid w:val="00251E78"/>
    <w:rsid w:val="00252E9A"/>
    <w:rsid w:val="0025318A"/>
    <w:rsid w:val="00253C48"/>
    <w:rsid w:val="002540B9"/>
    <w:rsid w:val="00255E06"/>
    <w:rsid w:val="002601D8"/>
    <w:rsid w:val="00260884"/>
    <w:rsid w:val="00260A21"/>
    <w:rsid w:val="00262776"/>
    <w:rsid w:val="002628B3"/>
    <w:rsid w:val="00263766"/>
    <w:rsid w:val="00263859"/>
    <w:rsid w:val="002639E8"/>
    <w:rsid w:val="00263CCE"/>
    <w:rsid w:val="00267282"/>
    <w:rsid w:val="00270924"/>
    <w:rsid w:val="00270F90"/>
    <w:rsid w:val="002731A3"/>
    <w:rsid w:val="002741F6"/>
    <w:rsid w:val="0027498C"/>
    <w:rsid w:val="002768F1"/>
    <w:rsid w:val="00277CF5"/>
    <w:rsid w:val="00277DD9"/>
    <w:rsid w:val="0028109A"/>
    <w:rsid w:val="002813D1"/>
    <w:rsid w:val="00281CAF"/>
    <w:rsid w:val="002827F4"/>
    <w:rsid w:val="00282803"/>
    <w:rsid w:val="00282820"/>
    <w:rsid w:val="00282ADA"/>
    <w:rsid w:val="00282B68"/>
    <w:rsid w:val="00285171"/>
    <w:rsid w:val="002854F8"/>
    <w:rsid w:val="00285D67"/>
    <w:rsid w:val="002906AA"/>
    <w:rsid w:val="00290CA1"/>
    <w:rsid w:val="00290F67"/>
    <w:rsid w:val="00293FCD"/>
    <w:rsid w:val="00295E2D"/>
    <w:rsid w:val="00296AF3"/>
    <w:rsid w:val="00296B44"/>
    <w:rsid w:val="00297DB4"/>
    <w:rsid w:val="00297E81"/>
    <w:rsid w:val="002A00F1"/>
    <w:rsid w:val="002A093B"/>
    <w:rsid w:val="002A1D5C"/>
    <w:rsid w:val="002A1EEC"/>
    <w:rsid w:val="002A1FE7"/>
    <w:rsid w:val="002A214F"/>
    <w:rsid w:val="002A2155"/>
    <w:rsid w:val="002A28A2"/>
    <w:rsid w:val="002A2AB7"/>
    <w:rsid w:val="002A2DCE"/>
    <w:rsid w:val="002A35AB"/>
    <w:rsid w:val="002A4347"/>
    <w:rsid w:val="002A48F7"/>
    <w:rsid w:val="002A4F0E"/>
    <w:rsid w:val="002A6341"/>
    <w:rsid w:val="002A7BB9"/>
    <w:rsid w:val="002B011A"/>
    <w:rsid w:val="002B11C1"/>
    <w:rsid w:val="002B2AB3"/>
    <w:rsid w:val="002B4468"/>
    <w:rsid w:val="002B4564"/>
    <w:rsid w:val="002B57F7"/>
    <w:rsid w:val="002B6368"/>
    <w:rsid w:val="002B7E88"/>
    <w:rsid w:val="002C0EB6"/>
    <w:rsid w:val="002C1381"/>
    <w:rsid w:val="002C1568"/>
    <w:rsid w:val="002C1A04"/>
    <w:rsid w:val="002C20FF"/>
    <w:rsid w:val="002C214A"/>
    <w:rsid w:val="002C2DA3"/>
    <w:rsid w:val="002C4696"/>
    <w:rsid w:val="002C49C0"/>
    <w:rsid w:val="002C6006"/>
    <w:rsid w:val="002C6574"/>
    <w:rsid w:val="002C6D9D"/>
    <w:rsid w:val="002D1EA7"/>
    <w:rsid w:val="002D479C"/>
    <w:rsid w:val="002D51A8"/>
    <w:rsid w:val="002D5644"/>
    <w:rsid w:val="002D7877"/>
    <w:rsid w:val="002E0A17"/>
    <w:rsid w:val="002E1013"/>
    <w:rsid w:val="002E3466"/>
    <w:rsid w:val="002E460A"/>
    <w:rsid w:val="002E530A"/>
    <w:rsid w:val="002E61CC"/>
    <w:rsid w:val="002E6C3C"/>
    <w:rsid w:val="002E7EA8"/>
    <w:rsid w:val="002F0046"/>
    <w:rsid w:val="002F034E"/>
    <w:rsid w:val="002F07B1"/>
    <w:rsid w:val="002F1015"/>
    <w:rsid w:val="002F108C"/>
    <w:rsid w:val="002F34D4"/>
    <w:rsid w:val="002F3E59"/>
    <w:rsid w:val="002F47A9"/>
    <w:rsid w:val="002F5DF6"/>
    <w:rsid w:val="002F6A38"/>
    <w:rsid w:val="00300EB6"/>
    <w:rsid w:val="0030329B"/>
    <w:rsid w:val="0030336D"/>
    <w:rsid w:val="0030768C"/>
    <w:rsid w:val="00310417"/>
    <w:rsid w:val="00310E75"/>
    <w:rsid w:val="00310EC2"/>
    <w:rsid w:val="003130BE"/>
    <w:rsid w:val="00313F86"/>
    <w:rsid w:val="003142FB"/>
    <w:rsid w:val="00314D1C"/>
    <w:rsid w:val="003164D1"/>
    <w:rsid w:val="00320F53"/>
    <w:rsid w:val="00322424"/>
    <w:rsid w:val="00323616"/>
    <w:rsid w:val="003246ED"/>
    <w:rsid w:val="00324D09"/>
    <w:rsid w:val="003302D0"/>
    <w:rsid w:val="003319E3"/>
    <w:rsid w:val="00331E9F"/>
    <w:rsid w:val="003337E9"/>
    <w:rsid w:val="00334A70"/>
    <w:rsid w:val="00334E40"/>
    <w:rsid w:val="00336818"/>
    <w:rsid w:val="00340C25"/>
    <w:rsid w:val="00341399"/>
    <w:rsid w:val="003414DC"/>
    <w:rsid w:val="003428DF"/>
    <w:rsid w:val="00343A65"/>
    <w:rsid w:val="00345620"/>
    <w:rsid w:val="00346EB8"/>
    <w:rsid w:val="00347341"/>
    <w:rsid w:val="003503AF"/>
    <w:rsid w:val="00350CAA"/>
    <w:rsid w:val="00351FBC"/>
    <w:rsid w:val="00352247"/>
    <w:rsid w:val="00352A0F"/>
    <w:rsid w:val="00352BC2"/>
    <w:rsid w:val="00353081"/>
    <w:rsid w:val="00354500"/>
    <w:rsid w:val="00354E75"/>
    <w:rsid w:val="0035566C"/>
    <w:rsid w:val="0035618E"/>
    <w:rsid w:val="00356F0D"/>
    <w:rsid w:val="0035757F"/>
    <w:rsid w:val="00357C8B"/>
    <w:rsid w:val="00357DF4"/>
    <w:rsid w:val="003617DF"/>
    <w:rsid w:val="00361A0A"/>
    <w:rsid w:val="00361F93"/>
    <w:rsid w:val="00362A90"/>
    <w:rsid w:val="00362FC1"/>
    <w:rsid w:val="00363C9C"/>
    <w:rsid w:val="00364761"/>
    <w:rsid w:val="003659A7"/>
    <w:rsid w:val="00366105"/>
    <w:rsid w:val="00371BA5"/>
    <w:rsid w:val="00372850"/>
    <w:rsid w:val="0037319F"/>
    <w:rsid w:val="003744FD"/>
    <w:rsid w:val="00376CE2"/>
    <w:rsid w:val="00377893"/>
    <w:rsid w:val="00377B58"/>
    <w:rsid w:val="00380082"/>
    <w:rsid w:val="00381117"/>
    <w:rsid w:val="00381518"/>
    <w:rsid w:val="0038190C"/>
    <w:rsid w:val="00381C07"/>
    <w:rsid w:val="003827A5"/>
    <w:rsid w:val="00383256"/>
    <w:rsid w:val="003839D7"/>
    <w:rsid w:val="00384CDD"/>
    <w:rsid w:val="003860C5"/>
    <w:rsid w:val="003868BA"/>
    <w:rsid w:val="003871CF"/>
    <w:rsid w:val="00387F6A"/>
    <w:rsid w:val="00391C23"/>
    <w:rsid w:val="00392C3F"/>
    <w:rsid w:val="003949B4"/>
    <w:rsid w:val="0039566C"/>
    <w:rsid w:val="00395733"/>
    <w:rsid w:val="003A05C4"/>
    <w:rsid w:val="003A05FA"/>
    <w:rsid w:val="003A15E2"/>
    <w:rsid w:val="003A5296"/>
    <w:rsid w:val="003A5D1B"/>
    <w:rsid w:val="003B1CB3"/>
    <w:rsid w:val="003B41BD"/>
    <w:rsid w:val="003B4252"/>
    <w:rsid w:val="003B4776"/>
    <w:rsid w:val="003B4900"/>
    <w:rsid w:val="003B4B59"/>
    <w:rsid w:val="003B5892"/>
    <w:rsid w:val="003B5DDC"/>
    <w:rsid w:val="003B6505"/>
    <w:rsid w:val="003B651B"/>
    <w:rsid w:val="003B6A07"/>
    <w:rsid w:val="003B6EF4"/>
    <w:rsid w:val="003B7A34"/>
    <w:rsid w:val="003C02F5"/>
    <w:rsid w:val="003C0F7A"/>
    <w:rsid w:val="003C12AB"/>
    <w:rsid w:val="003C12C9"/>
    <w:rsid w:val="003C1471"/>
    <w:rsid w:val="003C1862"/>
    <w:rsid w:val="003C1A9E"/>
    <w:rsid w:val="003C21F5"/>
    <w:rsid w:val="003C2BE2"/>
    <w:rsid w:val="003C2C0B"/>
    <w:rsid w:val="003C312D"/>
    <w:rsid w:val="003C34C7"/>
    <w:rsid w:val="003C3B3D"/>
    <w:rsid w:val="003C41EF"/>
    <w:rsid w:val="003C4BFF"/>
    <w:rsid w:val="003C5725"/>
    <w:rsid w:val="003C5914"/>
    <w:rsid w:val="003C5E9A"/>
    <w:rsid w:val="003C67C1"/>
    <w:rsid w:val="003C70B9"/>
    <w:rsid w:val="003C7442"/>
    <w:rsid w:val="003C76D5"/>
    <w:rsid w:val="003C7856"/>
    <w:rsid w:val="003D3FD4"/>
    <w:rsid w:val="003D537C"/>
    <w:rsid w:val="003D5ABC"/>
    <w:rsid w:val="003D7346"/>
    <w:rsid w:val="003E1A87"/>
    <w:rsid w:val="003E25CA"/>
    <w:rsid w:val="003E30C3"/>
    <w:rsid w:val="003E3EB5"/>
    <w:rsid w:val="003E6350"/>
    <w:rsid w:val="003E6CE5"/>
    <w:rsid w:val="003E6F87"/>
    <w:rsid w:val="003E7863"/>
    <w:rsid w:val="003E7FDF"/>
    <w:rsid w:val="003F0EF3"/>
    <w:rsid w:val="003F245F"/>
    <w:rsid w:val="003F3D5F"/>
    <w:rsid w:val="003F43CB"/>
    <w:rsid w:val="003F4685"/>
    <w:rsid w:val="003F4BC3"/>
    <w:rsid w:val="003F53CB"/>
    <w:rsid w:val="003F55CB"/>
    <w:rsid w:val="003F59CB"/>
    <w:rsid w:val="003F6A96"/>
    <w:rsid w:val="003F6C6F"/>
    <w:rsid w:val="003F79DB"/>
    <w:rsid w:val="0040073A"/>
    <w:rsid w:val="00400DF3"/>
    <w:rsid w:val="0040110A"/>
    <w:rsid w:val="0040232F"/>
    <w:rsid w:val="00402A42"/>
    <w:rsid w:val="0040436C"/>
    <w:rsid w:val="00405D37"/>
    <w:rsid w:val="00406A5F"/>
    <w:rsid w:val="004070D8"/>
    <w:rsid w:val="00412318"/>
    <w:rsid w:val="00412FCB"/>
    <w:rsid w:val="0041400F"/>
    <w:rsid w:val="00416E76"/>
    <w:rsid w:val="00416F2B"/>
    <w:rsid w:val="004204CB"/>
    <w:rsid w:val="00422140"/>
    <w:rsid w:val="0042361D"/>
    <w:rsid w:val="00423C9A"/>
    <w:rsid w:val="0042420E"/>
    <w:rsid w:val="00425184"/>
    <w:rsid w:val="004257FD"/>
    <w:rsid w:val="0042688C"/>
    <w:rsid w:val="00431DB6"/>
    <w:rsid w:val="004329E2"/>
    <w:rsid w:val="004362F2"/>
    <w:rsid w:val="00437FB3"/>
    <w:rsid w:val="004413C3"/>
    <w:rsid w:val="00441660"/>
    <w:rsid w:val="00441F3D"/>
    <w:rsid w:val="0044295C"/>
    <w:rsid w:val="004440F0"/>
    <w:rsid w:val="00444540"/>
    <w:rsid w:val="00445559"/>
    <w:rsid w:val="0044567F"/>
    <w:rsid w:val="004465B2"/>
    <w:rsid w:val="00446D5B"/>
    <w:rsid w:val="004500BB"/>
    <w:rsid w:val="00450F96"/>
    <w:rsid w:val="004519C5"/>
    <w:rsid w:val="004523C1"/>
    <w:rsid w:val="00453DA0"/>
    <w:rsid w:val="004553FF"/>
    <w:rsid w:val="00457C46"/>
    <w:rsid w:val="00457D34"/>
    <w:rsid w:val="00462628"/>
    <w:rsid w:val="00463217"/>
    <w:rsid w:val="0046443A"/>
    <w:rsid w:val="0046467E"/>
    <w:rsid w:val="00465ABB"/>
    <w:rsid w:val="0046748B"/>
    <w:rsid w:val="004715DA"/>
    <w:rsid w:val="00471A9D"/>
    <w:rsid w:val="00471F51"/>
    <w:rsid w:val="00474835"/>
    <w:rsid w:val="004749D2"/>
    <w:rsid w:val="00475595"/>
    <w:rsid w:val="00475868"/>
    <w:rsid w:val="0047709D"/>
    <w:rsid w:val="0048192D"/>
    <w:rsid w:val="00483405"/>
    <w:rsid w:val="00483E97"/>
    <w:rsid w:val="004844AE"/>
    <w:rsid w:val="004846A9"/>
    <w:rsid w:val="00485C91"/>
    <w:rsid w:val="00486033"/>
    <w:rsid w:val="00486541"/>
    <w:rsid w:val="00486EC6"/>
    <w:rsid w:val="004876F7"/>
    <w:rsid w:val="00490A25"/>
    <w:rsid w:val="00490DCF"/>
    <w:rsid w:val="004923EE"/>
    <w:rsid w:val="0049244E"/>
    <w:rsid w:val="00492AB2"/>
    <w:rsid w:val="0049313A"/>
    <w:rsid w:val="00495A11"/>
    <w:rsid w:val="00496F1D"/>
    <w:rsid w:val="004A031A"/>
    <w:rsid w:val="004A1428"/>
    <w:rsid w:val="004A185C"/>
    <w:rsid w:val="004A22D3"/>
    <w:rsid w:val="004A31E7"/>
    <w:rsid w:val="004A5935"/>
    <w:rsid w:val="004A5F6B"/>
    <w:rsid w:val="004A699E"/>
    <w:rsid w:val="004A708A"/>
    <w:rsid w:val="004A7266"/>
    <w:rsid w:val="004B11B8"/>
    <w:rsid w:val="004B1A0F"/>
    <w:rsid w:val="004B22AC"/>
    <w:rsid w:val="004B256C"/>
    <w:rsid w:val="004B5282"/>
    <w:rsid w:val="004B6D35"/>
    <w:rsid w:val="004B72EE"/>
    <w:rsid w:val="004B7A3F"/>
    <w:rsid w:val="004C1E7E"/>
    <w:rsid w:val="004C3BA6"/>
    <w:rsid w:val="004C3DAA"/>
    <w:rsid w:val="004C5DF9"/>
    <w:rsid w:val="004C6A85"/>
    <w:rsid w:val="004C7DA7"/>
    <w:rsid w:val="004D0122"/>
    <w:rsid w:val="004D03DD"/>
    <w:rsid w:val="004D0AFA"/>
    <w:rsid w:val="004D11AA"/>
    <w:rsid w:val="004D1504"/>
    <w:rsid w:val="004D282B"/>
    <w:rsid w:val="004D5713"/>
    <w:rsid w:val="004D5BCF"/>
    <w:rsid w:val="004D74D9"/>
    <w:rsid w:val="004D7919"/>
    <w:rsid w:val="004D7CBE"/>
    <w:rsid w:val="004E0673"/>
    <w:rsid w:val="004E14F6"/>
    <w:rsid w:val="004E1F50"/>
    <w:rsid w:val="004E36A7"/>
    <w:rsid w:val="004E4F58"/>
    <w:rsid w:val="004E6D2C"/>
    <w:rsid w:val="004F0A27"/>
    <w:rsid w:val="004F0F01"/>
    <w:rsid w:val="004F3495"/>
    <w:rsid w:val="004F3712"/>
    <w:rsid w:val="004F3914"/>
    <w:rsid w:val="004F4897"/>
    <w:rsid w:val="004F4E3A"/>
    <w:rsid w:val="004F6633"/>
    <w:rsid w:val="004F732D"/>
    <w:rsid w:val="00500068"/>
    <w:rsid w:val="0050045A"/>
    <w:rsid w:val="005006B4"/>
    <w:rsid w:val="00501071"/>
    <w:rsid w:val="00501C19"/>
    <w:rsid w:val="005030C3"/>
    <w:rsid w:val="005057F6"/>
    <w:rsid w:val="0050673B"/>
    <w:rsid w:val="00510E3F"/>
    <w:rsid w:val="00510F54"/>
    <w:rsid w:val="005111BB"/>
    <w:rsid w:val="005135E1"/>
    <w:rsid w:val="005172C7"/>
    <w:rsid w:val="00517AEC"/>
    <w:rsid w:val="00520AA9"/>
    <w:rsid w:val="00521C4C"/>
    <w:rsid w:val="005225B7"/>
    <w:rsid w:val="00522D55"/>
    <w:rsid w:val="00523482"/>
    <w:rsid w:val="005234A2"/>
    <w:rsid w:val="005238E9"/>
    <w:rsid w:val="00524A75"/>
    <w:rsid w:val="005252EC"/>
    <w:rsid w:val="00526DEC"/>
    <w:rsid w:val="0052728A"/>
    <w:rsid w:val="005273ED"/>
    <w:rsid w:val="00527640"/>
    <w:rsid w:val="00527745"/>
    <w:rsid w:val="00527E90"/>
    <w:rsid w:val="005327E2"/>
    <w:rsid w:val="005331F0"/>
    <w:rsid w:val="00533228"/>
    <w:rsid w:val="00533945"/>
    <w:rsid w:val="00535570"/>
    <w:rsid w:val="0053609D"/>
    <w:rsid w:val="00537530"/>
    <w:rsid w:val="005378CB"/>
    <w:rsid w:val="0054400E"/>
    <w:rsid w:val="00545A2F"/>
    <w:rsid w:val="005465CD"/>
    <w:rsid w:val="00546FC9"/>
    <w:rsid w:val="0054759B"/>
    <w:rsid w:val="00550284"/>
    <w:rsid w:val="00550B2A"/>
    <w:rsid w:val="00552279"/>
    <w:rsid w:val="00552420"/>
    <w:rsid w:val="0055278C"/>
    <w:rsid w:val="00552BFC"/>
    <w:rsid w:val="00552C71"/>
    <w:rsid w:val="00553327"/>
    <w:rsid w:val="005540AF"/>
    <w:rsid w:val="00554DCE"/>
    <w:rsid w:val="0055539B"/>
    <w:rsid w:val="0055643C"/>
    <w:rsid w:val="00556762"/>
    <w:rsid w:val="0055711C"/>
    <w:rsid w:val="00560142"/>
    <w:rsid w:val="005604C8"/>
    <w:rsid w:val="0056051D"/>
    <w:rsid w:val="005618E6"/>
    <w:rsid w:val="0056228B"/>
    <w:rsid w:val="00562B0B"/>
    <w:rsid w:val="00563F60"/>
    <w:rsid w:val="00565919"/>
    <w:rsid w:val="00566599"/>
    <w:rsid w:val="00566FCF"/>
    <w:rsid w:val="005671E4"/>
    <w:rsid w:val="00567E2E"/>
    <w:rsid w:val="005700A6"/>
    <w:rsid w:val="00570D18"/>
    <w:rsid w:val="00570D56"/>
    <w:rsid w:val="0057126B"/>
    <w:rsid w:val="00571864"/>
    <w:rsid w:val="005718CA"/>
    <w:rsid w:val="00571B00"/>
    <w:rsid w:val="00572C45"/>
    <w:rsid w:val="00573314"/>
    <w:rsid w:val="005737F7"/>
    <w:rsid w:val="00575204"/>
    <w:rsid w:val="005754D0"/>
    <w:rsid w:val="00576087"/>
    <w:rsid w:val="005764F8"/>
    <w:rsid w:val="00576895"/>
    <w:rsid w:val="00581DF1"/>
    <w:rsid w:val="00582168"/>
    <w:rsid w:val="005826C4"/>
    <w:rsid w:val="00582C72"/>
    <w:rsid w:val="005851B8"/>
    <w:rsid w:val="00585324"/>
    <w:rsid w:val="005860A1"/>
    <w:rsid w:val="005872C5"/>
    <w:rsid w:val="0059142F"/>
    <w:rsid w:val="00591A1D"/>
    <w:rsid w:val="00592A20"/>
    <w:rsid w:val="00592A8F"/>
    <w:rsid w:val="005932B3"/>
    <w:rsid w:val="00593432"/>
    <w:rsid w:val="00593715"/>
    <w:rsid w:val="00593A2A"/>
    <w:rsid w:val="00596C71"/>
    <w:rsid w:val="005A022B"/>
    <w:rsid w:val="005A1FFD"/>
    <w:rsid w:val="005A38E3"/>
    <w:rsid w:val="005A432E"/>
    <w:rsid w:val="005A613E"/>
    <w:rsid w:val="005A6A4E"/>
    <w:rsid w:val="005A70EE"/>
    <w:rsid w:val="005B17E8"/>
    <w:rsid w:val="005B190F"/>
    <w:rsid w:val="005B2FA2"/>
    <w:rsid w:val="005B47AF"/>
    <w:rsid w:val="005B4B49"/>
    <w:rsid w:val="005B5D3A"/>
    <w:rsid w:val="005B6695"/>
    <w:rsid w:val="005B6A01"/>
    <w:rsid w:val="005B6D64"/>
    <w:rsid w:val="005B7C5E"/>
    <w:rsid w:val="005B7EB5"/>
    <w:rsid w:val="005B7EFC"/>
    <w:rsid w:val="005C09B1"/>
    <w:rsid w:val="005C0D92"/>
    <w:rsid w:val="005C181F"/>
    <w:rsid w:val="005C2613"/>
    <w:rsid w:val="005C3634"/>
    <w:rsid w:val="005C4C9E"/>
    <w:rsid w:val="005C6AFF"/>
    <w:rsid w:val="005C7918"/>
    <w:rsid w:val="005D00ED"/>
    <w:rsid w:val="005D0C4B"/>
    <w:rsid w:val="005D1452"/>
    <w:rsid w:val="005D1DC5"/>
    <w:rsid w:val="005D3D81"/>
    <w:rsid w:val="005D4262"/>
    <w:rsid w:val="005D426C"/>
    <w:rsid w:val="005D4D0D"/>
    <w:rsid w:val="005D528D"/>
    <w:rsid w:val="005D5ACB"/>
    <w:rsid w:val="005D5AFB"/>
    <w:rsid w:val="005D5BB1"/>
    <w:rsid w:val="005D6257"/>
    <w:rsid w:val="005D6DBF"/>
    <w:rsid w:val="005D734F"/>
    <w:rsid w:val="005D74F8"/>
    <w:rsid w:val="005D7C31"/>
    <w:rsid w:val="005E0123"/>
    <w:rsid w:val="005E1BFF"/>
    <w:rsid w:val="005E325D"/>
    <w:rsid w:val="005E3261"/>
    <w:rsid w:val="005E3981"/>
    <w:rsid w:val="005E4009"/>
    <w:rsid w:val="005E442F"/>
    <w:rsid w:val="005E5949"/>
    <w:rsid w:val="005E6A9F"/>
    <w:rsid w:val="005F085B"/>
    <w:rsid w:val="005F2B1C"/>
    <w:rsid w:val="005F2B5E"/>
    <w:rsid w:val="005F3690"/>
    <w:rsid w:val="005F3AF3"/>
    <w:rsid w:val="005F5897"/>
    <w:rsid w:val="005F6A9D"/>
    <w:rsid w:val="0060013B"/>
    <w:rsid w:val="00600BF1"/>
    <w:rsid w:val="00601261"/>
    <w:rsid w:val="00601635"/>
    <w:rsid w:val="006021A3"/>
    <w:rsid w:val="006030E3"/>
    <w:rsid w:val="006046E1"/>
    <w:rsid w:val="006047B0"/>
    <w:rsid w:val="00605327"/>
    <w:rsid w:val="00605A0F"/>
    <w:rsid w:val="006060D4"/>
    <w:rsid w:val="00606348"/>
    <w:rsid w:val="00606365"/>
    <w:rsid w:val="0060659E"/>
    <w:rsid w:val="00606F8E"/>
    <w:rsid w:val="0061019C"/>
    <w:rsid w:val="00611B35"/>
    <w:rsid w:val="006124B2"/>
    <w:rsid w:val="00614477"/>
    <w:rsid w:val="006171E0"/>
    <w:rsid w:val="0062192D"/>
    <w:rsid w:val="00621ACC"/>
    <w:rsid w:val="00622A28"/>
    <w:rsid w:val="00624489"/>
    <w:rsid w:val="0062479B"/>
    <w:rsid w:val="00624916"/>
    <w:rsid w:val="00624E5E"/>
    <w:rsid w:val="00625AEA"/>
    <w:rsid w:val="006260DA"/>
    <w:rsid w:val="0062690B"/>
    <w:rsid w:val="00627569"/>
    <w:rsid w:val="00627D4F"/>
    <w:rsid w:val="00630B3D"/>
    <w:rsid w:val="00630B85"/>
    <w:rsid w:val="00630E7E"/>
    <w:rsid w:val="006327D5"/>
    <w:rsid w:val="006330FC"/>
    <w:rsid w:val="00636144"/>
    <w:rsid w:val="006372C8"/>
    <w:rsid w:val="00640333"/>
    <w:rsid w:val="006410A0"/>
    <w:rsid w:val="006421BF"/>
    <w:rsid w:val="006422BC"/>
    <w:rsid w:val="0064254D"/>
    <w:rsid w:val="006434DF"/>
    <w:rsid w:val="00644A50"/>
    <w:rsid w:val="00644D46"/>
    <w:rsid w:val="00644D77"/>
    <w:rsid w:val="006464CF"/>
    <w:rsid w:val="00646DF1"/>
    <w:rsid w:val="00647D6E"/>
    <w:rsid w:val="00650B32"/>
    <w:rsid w:val="006545ED"/>
    <w:rsid w:val="006559F1"/>
    <w:rsid w:val="00655AA9"/>
    <w:rsid w:val="00656AF7"/>
    <w:rsid w:val="00660782"/>
    <w:rsid w:val="0066171D"/>
    <w:rsid w:val="00661773"/>
    <w:rsid w:val="00661907"/>
    <w:rsid w:val="00663AC5"/>
    <w:rsid w:val="00664507"/>
    <w:rsid w:val="006648C4"/>
    <w:rsid w:val="006665ED"/>
    <w:rsid w:val="00667C2A"/>
    <w:rsid w:val="006714A4"/>
    <w:rsid w:val="00672184"/>
    <w:rsid w:val="006722B5"/>
    <w:rsid w:val="00673BC1"/>
    <w:rsid w:val="006745CE"/>
    <w:rsid w:val="00675723"/>
    <w:rsid w:val="00675BEC"/>
    <w:rsid w:val="00675C6E"/>
    <w:rsid w:val="006760E7"/>
    <w:rsid w:val="00680509"/>
    <w:rsid w:val="00680B82"/>
    <w:rsid w:val="006814B0"/>
    <w:rsid w:val="00682496"/>
    <w:rsid w:val="006828B3"/>
    <w:rsid w:val="00682DAB"/>
    <w:rsid w:val="0068493A"/>
    <w:rsid w:val="00685557"/>
    <w:rsid w:val="00686256"/>
    <w:rsid w:val="0069046C"/>
    <w:rsid w:val="0069095E"/>
    <w:rsid w:val="00691A2B"/>
    <w:rsid w:val="00692A0E"/>
    <w:rsid w:val="00694B30"/>
    <w:rsid w:val="00694F6E"/>
    <w:rsid w:val="00695C23"/>
    <w:rsid w:val="006967C3"/>
    <w:rsid w:val="00697D21"/>
    <w:rsid w:val="006A0174"/>
    <w:rsid w:val="006A139B"/>
    <w:rsid w:val="006A1715"/>
    <w:rsid w:val="006A1722"/>
    <w:rsid w:val="006A1A01"/>
    <w:rsid w:val="006A1E69"/>
    <w:rsid w:val="006A1EF7"/>
    <w:rsid w:val="006A2A29"/>
    <w:rsid w:val="006A404C"/>
    <w:rsid w:val="006A5091"/>
    <w:rsid w:val="006A5E49"/>
    <w:rsid w:val="006A5EAB"/>
    <w:rsid w:val="006A628D"/>
    <w:rsid w:val="006A72A0"/>
    <w:rsid w:val="006A761F"/>
    <w:rsid w:val="006B071B"/>
    <w:rsid w:val="006B122D"/>
    <w:rsid w:val="006B1308"/>
    <w:rsid w:val="006B148A"/>
    <w:rsid w:val="006B2484"/>
    <w:rsid w:val="006B2B3F"/>
    <w:rsid w:val="006B2F07"/>
    <w:rsid w:val="006B40D0"/>
    <w:rsid w:val="006B481A"/>
    <w:rsid w:val="006B5590"/>
    <w:rsid w:val="006B572D"/>
    <w:rsid w:val="006B7C39"/>
    <w:rsid w:val="006B7DB6"/>
    <w:rsid w:val="006B7DCB"/>
    <w:rsid w:val="006B7ED7"/>
    <w:rsid w:val="006C0B3A"/>
    <w:rsid w:val="006C0F73"/>
    <w:rsid w:val="006C1C5D"/>
    <w:rsid w:val="006C1EAF"/>
    <w:rsid w:val="006C2CAF"/>
    <w:rsid w:val="006C4046"/>
    <w:rsid w:val="006C4E09"/>
    <w:rsid w:val="006D0148"/>
    <w:rsid w:val="006D020D"/>
    <w:rsid w:val="006D1E70"/>
    <w:rsid w:val="006D33A6"/>
    <w:rsid w:val="006D4785"/>
    <w:rsid w:val="006D482E"/>
    <w:rsid w:val="006D572E"/>
    <w:rsid w:val="006D5E7C"/>
    <w:rsid w:val="006D6039"/>
    <w:rsid w:val="006D7CB2"/>
    <w:rsid w:val="006E0524"/>
    <w:rsid w:val="006E0854"/>
    <w:rsid w:val="006E18C5"/>
    <w:rsid w:val="006E1E5B"/>
    <w:rsid w:val="006E1FD8"/>
    <w:rsid w:val="006E22AE"/>
    <w:rsid w:val="006E3234"/>
    <w:rsid w:val="006E4133"/>
    <w:rsid w:val="006E6376"/>
    <w:rsid w:val="006F1697"/>
    <w:rsid w:val="006F1D1B"/>
    <w:rsid w:val="006F2687"/>
    <w:rsid w:val="006F52B4"/>
    <w:rsid w:val="006F6581"/>
    <w:rsid w:val="006F680F"/>
    <w:rsid w:val="006F6A50"/>
    <w:rsid w:val="006F7544"/>
    <w:rsid w:val="006F7668"/>
    <w:rsid w:val="006F7A67"/>
    <w:rsid w:val="006F7C6F"/>
    <w:rsid w:val="007000BB"/>
    <w:rsid w:val="00702F96"/>
    <w:rsid w:val="007057DE"/>
    <w:rsid w:val="00706247"/>
    <w:rsid w:val="00706ACD"/>
    <w:rsid w:val="00711538"/>
    <w:rsid w:val="007118E5"/>
    <w:rsid w:val="0071299D"/>
    <w:rsid w:val="007146B1"/>
    <w:rsid w:val="00714841"/>
    <w:rsid w:val="00714F58"/>
    <w:rsid w:val="0071593A"/>
    <w:rsid w:val="00716014"/>
    <w:rsid w:val="007160FA"/>
    <w:rsid w:val="007202F2"/>
    <w:rsid w:val="00720898"/>
    <w:rsid w:val="00721D1F"/>
    <w:rsid w:val="0072239E"/>
    <w:rsid w:val="00724E8A"/>
    <w:rsid w:val="00727DCD"/>
    <w:rsid w:val="0073121D"/>
    <w:rsid w:val="007328A1"/>
    <w:rsid w:val="00732EA8"/>
    <w:rsid w:val="0073457C"/>
    <w:rsid w:val="00734FBF"/>
    <w:rsid w:val="007360EF"/>
    <w:rsid w:val="007361FC"/>
    <w:rsid w:val="00736467"/>
    <w:rsid w:val="007376B9"/>
    <w:rsid w:val="00740632"/>
    <w:rsid w:val="007406D4"/>
    <w:rsid w:val="007409C1"/>
    <w:rsid w:val="00741F4E"/>
    <w:rsid w:val="007421BB"/>
    <w:rsid w:val="007425F9"/>
    <w:rsid w:val="007433E5"/>
    <w:rsid w:val="007441C4"/>
    <w:rsid w:val="00744D12"/>
    <w:rsid w:val="00745150"/>
    <w:rsid w:val="00745485"/>
    <w:rsid w:val="00745BD6"/>
    <w:rsid w:val="007465D7"/>
    <w:rsid w:val="007474A4"/>
    <w:rsid w:val="00747645"/>
    <w:rsid w:val="0075120F"/>
    <w:rsid w:val="00751800"/>
    <w:rsid w:val="007526E8"/>
    <w:rsid w:val="00753343"/>
    <w:rsid w:val="007535A9"/>
    <w:rsid w:val="00753FCF"/>
    <w:rsid w:val="00754A60"/>
    <w:rsid w:val="00755C2C"/>
    <w:rsid w:val="00755F83"/>
    <w:rsid w:val="00756106"/>
    <w:rsid w:val="0075666E"/>
    <w:rsid w:val="00757832"/>
    <w:rsid w:val="00760380"/>
    <w:rsid w:val="007605A2"/>
    <w:rsid w:val="007617AF"/>
    <w:rsid w:val="007627AD"/>
    <w:rsid w:val="007637B7"/>
    <w:rsid w:val="007638E5"/>
    <w:rsid w:val="00763FDD"/>
    <w:rsid w:val="00764E60"/>
    <w:rsid w:val="00764F65"/>
    <w:rsid w:val="007652B0"/>
    <w:rsid w:val="00766BCF"/>
    <w:rsid w:val="007671A2"/>
    <w:rsid w:val="007709BD"/>
    <w:rsid w:val="00771463"/>
    <w:rsid w:val="007714A6"/>
    <w:rsid w:val="00772FBC"/>
    <w:rsid w:val="00773866"/>
    <w:rsid w:val="007754E5"/>
    <w:rsid w:val="007763AE"/>
    <w:rsid w:val="0077647C"/>
    <w:rsid w:val="00776FC8"/>
    <w:rsid w:val="00780924"/>
    <w:rsid w:val="00780D2E"/>
    <w:rsid w:val="0078301C"/>
    <w:rsid w:val="00783D7C"/>
    <w:rsid w:val="00785125"/>
    <w:rsid w:val="007852BE"/>
    <w:rsid w:val="0078549F"/>
    <w:rsid w:val="007867A9"/>
    <w:rsid w:val="007876E8"/>
    <w:rsid w:val="007909D3"/>
    <w:rsid w:val="007915CE"/>
    <w:rsid w:val="007921A1"/>
    <w:rsid w:val="0079332A"/>
    <w:rsid w:val="00793495"/>
    <w:rsid w:val="00795443"/>
    <w:rsid w:val="007A0305"/>
    <w:rsid w:val="007A0F77"/>
    <w:rsid w:val="007A1C69"/>
    <w:rsid w:val="007A2654"/>
    <w:rsid w:val="007A37DF"/>
    <w:rsid w:val="007A42E5"/>
    <w:rsid w:val="007A5447"/>
    <w:rsid w:val="007A5EB4"/>
    <w:rsid w:val="007A6A5D"/>
    <w:rsid w:val="007A742E"/>
    <w:rsid w:val="007A74E9"/>
    <w:rsid w:val="007A7A54"/>
    <w:rsid w:val="007B094F"/>
    <w:rsid w:val="007B0C98"/>
    <w:rsid w:val="007B143D"/>
    <w:rsid w:val="007B2575"/>
    <w:rsid w:val="007B46F8"/>
    <w:rsid w:val="007B5219"/>
    <w:rsid w:val="007B64E1"/>
    <w:rsid w:val="007B71E4"/>
    <w:rsid w:val="007B74A0"/>
    <w:rsid w:val="007C00DA"/>
    <w:rsid w:val="007C010B"/>
    <w:rsid w:val="007C075F"/>
    <w:rsid w:val="007C0A71"/>
    <w:rsid w:val="007C2188"/>
    <w:rsid w:val="007C226F"/>
    <w:rsid w:val="007C2670"/>
    <w:rsid w:val="007C2684"/>
    <w:rsid w:val="007C2D5F"/>
    <w:rsid w:val="007C31E3"/>
    <w:rsid w:val="007C4795"/>
    <w:rsid w:val="007C48A4"/>
    <w:rsid w:val="007C4DEC"/>
    <w:rsid w:val="007C7372"/>
    <w:rsid w:val="007C7461"/>
    <w:rsid w:val="007D0570"/>
    <w:rsid w:val="007D0D5E"/>
    <w:rsid w:val="007D22FF"/>
    <w:rsid w:val="007D2FE4"/>
    <w:rsid w:val="007D424F"/>
    <w:rsid w:val="007D481E"/>
    <w:rsid w:val="007D5CD1"/>
    <w:rsid w:val="007D639F"/>
    <w:rsid w:val="007E1D00"/>
    <w:rsid w:val="007E1F9F"/>
    <w:rsid w:val="007E3CA6"/>
    <w:rsid w:val="007E4ECA"/>
    <w:rsid w:val="007E5647"/>
    <w:rsid w:val="007E7092"/>
    <w:rsid w:val="007E719F"/>
    <w:rsid w:val="007E7ED1"/>
    <w:rsid w:val="007F02F6"/>
    <w:rsid w:val="007F1553"/>
    <w:rsid w:val="007F1996"/>
    <w:rsid w:val="007F2AE2"/>
    <w:rsid w:val="007F2FA8"/>
    <w:rsid w:val="007F33F5"/>
    <w:rsid w:val="007F3AF7"/>
    <w:rsid w:val="007F3FD6"/>
    <w:rsid w:val="007F429A"/>
    <w:rsid w:val="007F74BB"/>
    <w:rsid w:val="007F7840"/>
    <w:rsid w:val="008001A8"/>
    <w:rsid w:val="00800A1A"/>
    <w:rsid w:val="00800CFF"/>
    <w:rsid w:val="0080111F"/>
    <w:rsid w:val="00803DE2"/>
    <w:rsid w:val="00804755"/>
    <w:rsid w:val="008060D7"/>
    <w:rsid w:val="0080636C"/>
    <w:rsid w:val="00806940"/>
    <w:rsid w:val="00807109"/>
    <w:rsid w:val="00807674"/>
    <w:rsid w:val="00810DAF"/>
    <w:rsid w:val="008118D6"/>
    <w:rsid w:val="00812526"/>
    <w:rsid w:val="0081351B"/>
    <w:rsid w:val="00814C9A"/>
    <w:rsid w:val="008158C7"/>
    <w:rsid w:val="0081631A"/>
    <w:rsid w:val="0081684C"/>
    <w:rsid w:val="0081724E"/>
    <w:rsid w:val="008176C7"/>
    <w:rsid w:val="00821289"/>
    <w:rsid w:val="008233F4"/>
    <w:rsid w:val="00823513"/>
    <w:rsid w:val="00823D71"/>
    <w:rsid w:val="00824AA7"/>
    <w:rsid w:val="00824B9F"/>
    <w:rsid w:val="00827236"/>
    <w:rsid w:val="00830029"/>
    <w:rsid w:val="00830BBE"/>
    <w:rsid w:val="00831124"/>
    <w:rsid w:val="008314C4"/>
    <w:rsid w:val="00831C74"/>
    <w:rsid w:val="00835807"/>
    <w:rsid w:val="00836245"/>
    <w:rsid w:val="00836760"/>
    <w:rsid w:val="00836A4F"/>
    <w:rsid w:val="008371AC"/>
    <w:rsid w:val="00837546"/>
    <w:rsid w:val="008403A0"/>
    <w:rsid w:val="008403F8"/>
    <w:rsid w:val="00842F8C"/>
    <w:rsid w:val="00843385"/>
    <w:rsid w:val="00843676"/>
    <w:rsid w:val="008457BF"/>
    <w:rsid w:val="008457FF"/>
    <w:rsid w:val="0084592B"/>
    <w:rsid w:val="00846B4B"/>
    <w:rsid w:val="00847A02"/>
    <w:rsid w:val="00849469"/>
    <w:rsid w:val="00850A49"/>
    <w:rsid w:val="00850B32"/>
    <w:rsid w:val="008520C8"/>
    <w:rsid w:val="008524E2"/>
    <w:rsid w:val="008554DE"/>
    <w:rsid w:val="008555F1"/>
    <w:rsid w:val="008556C5"/>
    <w:rsid w:val="0085590C"/>
    <w:rsid w:val="00855C07"/>
    <w:rsid w:val="00856370"/>
    <w:rsid w:val="0085669C"/>
    <w:rsid w:val="00856D66"/>
    <w:rsid w:val="008601FE"/>
    <w:rsid w:val="00860B3C"/>
    <w:rsid w:val="00861380"/>
    <w:rsid w:val="00861BF2"/>
    <w:rsid w:val="00863387"/>
    <w:rsid w:val="0086392E"/>
    <w:rsid w:val="00863DF0"/>
    <w:rsid w:val="00864342"/>
    <w:rsid w:val="00864A2B"/>
    <w:rsid w:val="008659A1"/>
    <w:rsid w:val="00865F09"/>
    <w:rsid w:val="00866541"/>
    <w:rsid w:val="008672D7"/>
    <w:rsid w:val="00867314"/>
    <w:rsid w:val="00867475"/>
    <w:rsid w:val="00867AD3"/>
    <w:rsid w:val="00867EBB"/>
    <w:rsid w:val="00870A08"/>
    <w:rsid w:val="0087241B"/>
    <w:rsid w:val="0087271A"/>
    <w:rsid w:val="00872F94"/>
    <w:rsid w:val="008733EE"/>
    <w:rsid w:val="00873BF4"/>
    <w:rsid w:val="00873DBC"/>
    <w:rsid w:val="0087466B"/>
    <w:rsid w:val="00875E37"/>
    <w:rsid w:val="00876604"/>
    <w:rsid w:val="00876C0E"/>
    <w:rsid w:val="00880E84"/>
    <w:rsid w:val="008814F0"/>
    <w:rsid w:val="00881908"/>
    <w:rsid w:val="0088292F"/>
    <w:rsid w:val="00882C36"/>
    <w:rsid w:val="00884601"/>
    <w:rsid w:val="008849F7"/>
    <w:rsid w:val="008855E1"/>
    <w:rsid w:val="00885747"/>
    <w:rsid w:val="00886727"/>
    <w:rsid w:val="00887DB1"/>
    <w:rsid w:val="008907A1"/>
    <w:rsid w:val="00890ACB"/>
    <w:rsid w:val="00894AE5"/>
    <w:rsid w:val="00894E9F"/>
    <w:rsid w:val="00894F31"/>
    <w:rsid w:val="008952FE"/>
    <w:rsid w:val="00895630"/>
    <w:rsid w:val="00896DC7"/>
    <w:rsid w:val="00896F25"/>
    <w:rsid w:val="00897166"/>
    <w:rsid w:val="00897D77"/>
    <w:rsid w:val="008A148E"/>
    <w:rsid w:val="008A16CE"/>
    <w:rsid w:val="008A1E86"/>
    <w:rsid w:val="008A1EA2"/>
    <w:rsid w:val="008A260F"/>
    <w:rsid w:val="008A3908"/>
    <w:rsid w:val="008A39E6"/>
    <w:rsid w:val="008A4121"/>
    <w:rsid w:val="008A44BC"/>
    <w:rsid w:val="008A5367"/>
    <w:rsid w:val="008A6453"/>
    <w:rsid w:val="008A67A3"/>
    <w:rsid w:val="008B0077"/>
    <w:rsid w:val="008B2FAA"/>
    <w:rsid w:val="008B3384"/>
    <w:rsid w:val="008B3C03"/>
    <w:rsid w:val="008B3C58"/>
    <w:rsid w:val="008B4FB9"/>
    <w:rsid w:val="008B5934"/>
    <w:rsid w:val="008B687D"/>
    <w:rsid w:val="008B68B6"/>
    <w:rsid w:val="008B6BB7"/>
    <w:rsid w:val="008B7D1E"/>
    <w:rsid w:val="008C2056"/>
    <w:rsid w:val="008C2E54"/>
    <w:rsid w:val="008C59DB"/>
    <w:rsid w:val="008C6C35"/>
    <w:rsid w:val="008C77D6"/>
    <w:rsid w:val="008C7D65"/>
    <w:rsid w:val="008C7FF0"/>
    <w:rsid w:val="008D02F2"/>
    <w:rsid w:val="008D0E87"/>
    <w:rsid w:val="008D3FFF"/>
    <w:rsid w:val="008D49A3"/>
    <w:rsid w:val="008D4F66"/>
    <w:rsid w:val="008D66CC"/>
    <w:rsid w:val="008D72BC"/>
    <w:rsid w:val="008D78DF"/>
    <w:rsid w:val="008E0C25"/>
    <w:rsid w:val="008E0D21"/>
    <w:rsid w:val="008E1AB7"/>
    <w:rsid w:val="008E1DA7"/>
    <w:rsid w:val="008E1FD9"/>
    <w:rsid w:val="008E6D6D"/>
    <w:rsid w:val="008E703A"/>
    <w:rsid w:val="008E77CC"/>
    <w:rsid w:val="008E7A7E"/>
    <w:rsid w:val="008F1AC1"/>
    <w:rsid w:val="008F2A44"/>
    <w:rsid w:val="008F4FC9"/>
    <w:rsid w:val="008F5536"/>
    <w:rsid w:val="008F62C2"/>
    <w:rsid w:val="008F6F1D"/>
    <w:rsid w:val="008F7B78"/>
    <w:rsid w:val="008F7EE5"/>
    <w:rsid w:val="00901E40"/>
    <w:rsid w:val="00902B24"/>
    <w:rsid w:val="00903B4C"/>
    <w:rsid w:val="00903C96"/>
    <w:rsid w:val="00905D23"/>
    <w:rsid w:val="00905FE8"/>
    <w:rsid w:val="00906E98"/>
    <w:rsid w:val="009072CE"/>
    <w:rsid w:val="009077A2"/>
    <w:rsid w:val="00907BF7"/>
    <w:rsid w:val="00907EC3"/>
    <w:rsid w:val="00911821"/>
    <w:rsid w:val="00913589"/>
    <w:rsid w:val="009146A8"/>
    <w:rsid w:val="009156ED"/>
    <w:rsid w:val="00915BBE"/>
    <w:rsid w:val="009176F9"/>
    <w:rsid w:val="00920347"/>
    <w:rsid w:val="00920B51"/>
    <w:rsid w:val="0092126D"/>
    <w:rsid w:val="00921CF4"/>
    <w:rsid w:val="00922051"/>
    <w:rsid w:val="00923560"/>
    <w:rsid w:val="0092424B"/>
    <w:rsid w:val="009257CF"/>
    <w:rsid w:val="00925AC0"/>
    <w:rsid w:val="00926AE8"/>
    <w:rsid w:val="00926B1B"/>
    <w:rsid w:val="00927BC7"/>
    <w:rsid w:val="0093121C"/>
    <w:rsid w:val="009323E8"/>
    <w:rsid w:val="0093244A"/>
    <w:rsid w:val="00933F70"/>
    <w:rsid w:val="009341E4"/>
    <w:rsid w:val="009363FF"/>
    <w:rsid w:val="00936638"/>
    <w:rsid w:val="009366EF"/>
    <w:rsid w:val="00937A32"/>
    <w:rsid w:val="009407B5"/>
    <w:rsid w:val="00941D13"/>
    <w:rsid w:val="00941E31"/>
    <w:rsid w:val="00942222"/>
    <w:rsid w:val="00942273"/>
    <w:rsid w:val="00942D9C"/>
    <w:rsid w:val="00943B5D"/>
    <w:rsid w:val="009442AD"/>
    <w:rsid w:val="00946568"/>
    <w:rsid w:val="00946992"/>
    <w:rsid w:val="00951496"/>
    <w:rsid w:val="009534C2"/>
    <w:rsid w:val="00954379"/>
    <w:rsid w:val="00954EF7"/>
    <w:rsid w:val="009550B9"/>
    <w:rsid w:val="009560AD"/>
    <w:rsid w:val="0095775A"/>
    <w:rsid w:val="00957E0C"/>
    <w:rsid w:val="00957FC1"/>
    <w:rsid w:val="009637FC"/>
    <w:rsid w:val="00970EB9"/>
    <w:rsid w:val="00970ED1"/>
    <w:rsid w:val="00971A36"/>
    <w:rsid w:val="00972210"/>
    <w:rsid w:val="009725B7"/>
    <w:rsid w:val="00972714"/>
    <w:rsid w:val="00972920"/>
    <w:rsid w:val="009732B5"/>
    <w:rsid w:val="00975A28"/>
    <w:rsid w:val="0097701E"/>
    <w:rsid w:val="00977CDF"/>
    <w:rsid w:val="00980D2F"/>
    <w:rsid w:val="00981721"/>
    <w:rsid w:val="0098222E"/>
    <w:rsid w:val="00983A64"/>
    <w:rsid w:val="0098496D"/>
    <w:rsid w:val="00984BD4"/>
    <w:rsid w:val="009858A4"/>
    <w:rsid w:val="00986067"/>
    <w:rsid w:val="00986283"/>
    <w:rsid w:val="00986F9F"/>
    <w:rsid w:val="0098794B"/>
    <w:rsid w:val="00990EA9"/>
    <w:rsid w:val="0099108F"/>
    <w:rsid w:val="00991CF9"/>
    <w:rsid w:val="009925D4"/>
    <w:rsid w:val="00993BBF"/>
    <w:rsid w:val="00994074"/>
    <w:rsid w:val="00994243"/>
    <w:rsid w:val="00994A11"/>
    <w:rsid w:val="00996683"/>
    <w:rsid w:val="00996A6B"/>
    <w:rsid w:val="00996C6B"/>
    <w:rsid w:val="00996F2E"/>
    <w:rsid w:val="00997BF3"/>
    <w:rsid w:val="009A0F9C"/>
    <w:rsid w:val="009A1420"/>
    <w:rsid w:val="009A2A71"/>
    <w:rsid w:val="009A31F7"/>
    <w:rsid w:val="009A339B"/>
    <w:rsid w:val="009A34C3"/>
    <w:rsid w:val="009A66A0"/>
    <w:rsid w:val="009A66F1"/>
    <w:rsid w:val="009A6B81"/>
    <w:rsid w:val="009B00D4"/>
    <w:rsid w:val="009B0978"/>
    <w:rsid w:val="009B0FD3"/>
    <w:rsid w:val="009B1580"/>
    <w:rsid w:val="009B1D22"/>
    <w:rsid w:val="009B290B"/>
    <w:rsid w:val="009B2BE9"/>
    <w:rsid w:val="009B4534"/>
    <w:rsid w:val="009B5129"/>
    <w:rsid w:val="009B6B57"/>
    <w:rsid w:val="009B74AD"/>
    <w:rsid w:val="009B7735"/>
    <w:rsid w:val="009B7B90"/>
    <w:rsid w:val="009B7D3B"/>
    <w:rsid w:val="009C0BC7"/>
    <w:rsid w:val="009C14D5"/>
    <w:rsid w:val="009C1A63"/>
    <w:rsid w:val="009C2EB9"/>
    <w:rsid w:val="009C404F"/>
    <w:rsid w:val="009C4835"/>
    <w:rsid w:val="009C5C1C"/>
    <w:rsid w:val="009D0080"/>
    <w:rsid w:val="009D0B1C"/>
    <w:rsid w:val="009D1728"/>
    <w:rsid w:val="009D275B"/>
    <w:rsid w:val="009D34CD"/>
    <w:rsid w:val="009D35DD"/>
    <w:rsid w:val="009D5719"/>
    <w:rsid w:val="009D61EA"/>
    <w:rsid w:val="009D6581"/>
    <w:rsid w:val="009D675B"/>
    <w:rsid w:val="009D6856"/>
    <w:rsid w:val="009E025E"/>
    <w:rsid w:val="009E0951"/>
    <w:rsid w:val="009E143A"/>
    <w:rsid w:val="009E143E"/>
    <w:rsid w:val="009E2800"/>
    <w:rsid w:val="009E30C0"/>
    <w:rsid w:val="009E36CF"/>
    <w:rsid w:val="009E3987"/>
    <w:rsid w:val="009E48D1"/>
    <w:rsid w:val="009E4C49"/>
    <w:rsid w:val="009E54F6"/>
    <w:rsid w:val="009E555C"/>
    <w:rsid w:val="009E5F71"/>
    <w:rsid w:val="009E627E"/>
    <w:rsid w:val="009E6C7B"/>
    <w:rsid w:val="009E7501"/>
    <w:rsid w:val="009F0F52"/>
    <w:rsid w:val="009F1BD3"/>
    <w:rsid w:val="009F1E32"/>
    <w:rsid w:val="009F2D46"/>
    <w:rsid w:val="009F4053"/>
    <w:rsid w:val="009F4C54"/>
    <w:rsid w:val="009F7724"/>
    <w:rsid w:val="009F78B7"/>
    <w:rsid w:val="00A00CDC"/>
    <w:rsid w:val="00A0179C"/>
    <w:rsid w:val="00A01B14"/>
    <w:rsid w:val="00A02D92"/>
    <w:rsid w:val="00A02F3D"/>
    <w:rsid w:val="00A03328"/>
    <w:rsid w:val="00A04AAB"/>
    <w:rsid w:val="00A059C3"/>
    <w:rsid w:val="00A05CF2"/>
    <w:rsid w:val="00A05EE9"/>
    <w:rsid w:val="00A06EFB"/>
    <w:rsid w:val="00A07462"/>
    <w:rsid w:val="00A074CD"/>
    <w:rsid w:val="00A075A5"/>
    <w:rsid w:val="00A104E4"/>
    <w:rsid w:val="00A1138B"/>
    <w:rsid w:val="00A12BA6"/>
    <w:rsid w:val="00A132F0"/>
    <w:rsid w:val="00A1537D"/>
    <w:rsid w:val="00A15E70"/>
    <w:rsid w:val="00A1653F"/>
    <w:rsid w:val="00A167D4"/>
    <w:rsid w:val="00A16DC6"/>
    <w:rsid w:val="00A17376"/>
    <w:rsid w:val="00A2045A"/>
    <w:rsid w:val="00A20C40"/>
    <w:rsid w:val="00A20D9E"/>
    <w:rsid w:val="00A20E89"/>
    <w:rsid w:val="00A217BE"/>
    <w:rsid w:val="00A24105"/>
    <w:rsid w:val="00A2412A"/>
    <w:rsid w:val="00A2548B"/>
    <w:rsid w:val="00A2646A"/>
    <w:rsid w:val="00A30267"/>
    <w:rsid w:val="00A308D3"/>
    <w:rsid w:val="00A30FEC"/>
    <w:rsid w:val="00A33543"/>
    <w:rsid w:val="00A33ACF"/>
    <w:rsid w:val="00A35E0B"/>
    <w:rsid w:val="00A36EC0"/>
    <w:rsid w:val="00A374A0"/>
    <w:rsid w:val="00A377E9"/>
    <w:rsid w:val="00A4140F"/>
    <w:rsid w:val="00A42947"/>
    <w:rsid w:val="00A43476"/>
    <w:rsid w:val="00A443A3"/>
    <w:rsid w:val="00A4534F"/>
    <w:rsid w:val="00A461B4"/>
    <w:rsid w:val="00A476CC"/>
    <w:rsid w:val="00A47D73"/>
    <w:rsid w:val="00A535E4"/>
    <w:rsid w:val="00A53F5F"/>
    <w:rsid w:val="00A546FF"/>
    <w:rsid w:val="00A552EF"/>
    <w:rsid w:val="00A55DF1"/>
    <w:rsid w:val="00A564B7"/>
    <w:rsid w:val="00A60541"/>
    <w:rsid w:val="00A64A03"/>
    <w:rsid w:val="00A65A61"/>
    <w:rsid w:val="00A66301"/>
    <w:rsid w:val="00A66484"/>
    <w:rsid w:val="00A66FB6"/>
    <w:rsid w:val="00A674FB"/>
    <w:rsid w:val="00A67B61"/>
    <w:rsid w:val="00A70AD9"/>
    <w:rsid w:val="00A71346"/>
    <w:rsid w:val="00A7532E"/>
    <w:rsid w:val="00A7699C"/>
    <w:rsid w:val="00A76B80"/>
    <w:rsid w:val="00A77965"/>
    <w:rsid w:val="00A77EBB"/>
    <w:rsid w:val="00A80879"/>
    <w:rsid w:val="00A815BF"/>
    <w:rsid w:val="00A81EA1"/>
    <w:rsid w:val="00A82D3A"/>
    <w:rsid w:val="00A84AE7"/>
    <w:rsid w:val="00A871C2"/>
    <w:rsid w:val="00A87AEE"/>
    <w:rsid w:val="00A87F0F"/>
    <w:rsid w:val="00A900EE"/>
    <w:rsid w:val="00A92169"/>
    <w:rsid w:val="00A92702"/>
    <w:rsid w:val="00A92EF5"/>
    <w:rsid w:val="00A9592D"/>
    <w:rsid w:val="00A95BF8"/>
    <w:rsid w:val="00A95C08"/>
    <w:rsid w:val="00AA1EE9"/>
    <w:rsid w:val="00AA2C20"/>
    <w:rsid w:val="00AA4253"/>
    <w:rsid w:val="00AA6867"/>
    <w:rsid w:val="00AA6D92"/>
    <w:rsid w:val="00AB00F3"/>
    <w:rsid w:val="00AB0F59"/>
    <w:rsid w:val="00AB1B86"/>
    <w:rsid w:val="00AB603E"/>
    <w:rsid w:val="00AB7113"/>
    <w:rsid w:val="00AC066E"/>
    <w:rsid w:val="00AC582E"/>
    <w:rsid w:val="00AC58AC"/>
    <w:rsid w:val="00AC6B91"/>
    <w:rsid w:val="00AC7D2E"/>
    <w:rsid w:val="00AD141B"/>
    <w:rsid w:val="00AD177A"/>
    <w:rsid w:val="00AD19D6"/>
    <w:rsid w:val="00AD4304"/>
    <w:rsid w:val="00AD510D"/>
    <w:rsid w:val="00AD68E1"/>
    <w:rsid w:val="00AD6E12"/>
    <w:rsid w:val="00AD71B9"/>
    <w:rsid w:val="00AD782D"/>
    <w:rsid w:val="00AE2337"/>
    <w:rsid w:val="00AE2E67"/>
    <w:rsid w:val="00AE3B52"/>
    <w:rsid w:val="00AE45F4"/>
    <w:rsid w:val="00AE6764"/>
    <w:rsid w:val="00AE7389"/>
    <w:rsid w:val="00AE7C0A"/>
    <w:rsid w:val="00AF0757"/>
    <w:rsid w:val="00AF1D71"/>
    <w:rsid w:val="00AF295A"/>
    <w:rsid w:val="00AF2F61"/>
    <w:rsid w:val="00AF3AB8"/>
    <w:rsid w:val="00AF3BCC"/>
    <w:rsid w:val="00AF50E2"/>
    <w:rsid w:val="00AF543C"/>
    <w:rsid w:val="00B0159B"/>
    <w:rsid w:val="00B01751"/>
    <w:rsid w:val="00B033DB"/>
    <w:rsid w:val="00B035C7"/>
    <w:rsid w:val="00B03C89"/>
    <w:rsid w:val="00B049B0"/>
    <w:rsid w:val="00B04C12"/>
    <w:rsid w:val="00B054CD"/>
    <w:rsid w:val="00B062CD"/>
    <w:rsid w:val="00B06D84"/>
    <w:rsid w:val="00B07BE1"/>
    <w:rsid w:val="00B07C2B"/>
    <w:rsid w:val="00B07EEA"/>
    <w:rsid w:val="00B10B4C"/>
    <w:rsid w:val="00B14BCC"/>
    <w:rsid w:val="00B1632D"/>
    <w:rsid w:val="00B20828"/>
    <w:rsid w:val="00B2171F"/>
    <w:rsid w:val="00B21FEC"/>
    <w:rsid w:val="00B220FB"/>
    <w:rsid w:val="00B2248B"/>
    <w:rsid w:val="00B232B6"/>
    <w:rsid w:val="00B23CA5"/>
    <w:rsid w:val="00B249E2"/>
    <w:rsid w:val="00B24DA8"/>
    <w:rsid w:val="00B24EB8"/>
    <w:rsid w:val="00B264D9"/>
    <w:rsid w:val="00B3137A"/>
    <w:rsid w:val="00B32589"/>
    <w:rsid w:val="00B351C6"/>
    <w:rsid w:val="00B35B14"/>
    <w:rsid w:val="00B3676B"/>
    <w:rsid w:val="00B36EFF"/>
    <w:rsid w:val="00B375BA"/>
    <w:rsid w:val="00B379FA"/>
    <w:rsid w:val="00B37EA5"/>
    <w:rsid w:val="00B405FA"/>
    <w:rsid w:val="00B40D98"/>
    <w:rsid w:val="00B41F61"/>
    <w:rsid w:val="00B440F9"/>
    <w:rsid w:val="00B44B8B"/>
    <w:rsid w:val="00B44E9A"/>
    <w:rsid w:val="00B476DC"/>
    <w:rsid w:val="00B47D09"/>
    <w:rsid w:val="00B510DA"/>
    <w:rsid w:val="00B51291"/>
    <w:rsid w:val="00B5157B"/>
    <w:rsid w:val="00B519CC"/>
    <w:rsid w:val="00B525EA"/>
    <w:rsid w:val="00B536BC"/>
    <w:rsid w:val="00B54A40"/>
    <w:rsid w:val="00B554EE"/>
    <w:rsid w:val="00B555E5"/>
    <w:rsid w:val="00B55A4E"/>
    <w:rsid w:val="00B57838"/>
    <w:rsid w:val="00B57DB9"/>
    <w:rsid w:val="00B624BD"/>
    <w:rsid w:val="00B626FE"/>
    <w:rsid w:val="00B639C0"/>
    <w:rsid w:val="00B63A1B"/>
    <w:rsid w:val="00B63AC6"/>
    <w:rsid w:val="00B63E64"/>
    <w:rsid w:val="00B651C3"/>
    <w:rsid w:val="00B666A4"/>
    <w:rsid w:val="00B679AC"/>
    <w:rsid w:val="00B70270"/>
    <w:rsid w:val="00B72F9E"/>
    <w:rsid w:val="00B73A54"/>
    <w:rsid w:val="00B742CD"/>
    <w:rsid w:val="00B744D8"/>
    <w:rsid w:val="00B7486C"/>
    <w:rsid w:val="00B74905"/>
    <w:rsid w:val="00B76261"/>
    <w:rsid w:val="00B77668"/>
    <w:rsid w:val="00B80298"/>
    <w:rsid w:val="00B80343"/>
    <w:rsid w:val="00B809D0"/>
    <w:rsid w:val="00B8172A"/>
    <w:rsid w:val="00B833EF"/>
    <w:rsid w:val="00B84053"/>
    <w:rsid w:val="00B8487A"/>
    <w:rsid w:val="00B8588C"/>
    <w:rsid w:val="00B858E4"/>
    <w:rsid w:val="00B85D80"/>
    <w:rsid w:val="00B85E8E"/>
    <w:rsid w:val="00B90448"/>
    <w:rsid w:val="00B92CCE"/>
    <w:rsid w:val="00B93A27"/>
    <w:rsid w:val="00B944CB"/>
    <w:rsid w:val="00B9452F"/>
    <w:rsid w:val="00B9570D"/>
    <w:rsid w:val="00B96428"/>
    <w:rsid w:val="00B9649C"/>
    <w:rsid w:val="00B96B34"/>
    <w:rsid w:val="00B970DB"/>
    <w:rsid w:val="00B971E2"/>
    <w:rsid w:val="00B979B8"/>
    <w:rsid w:val="00BA0F20"/>
    <w:rsid w:val="00BA28D3"/>
    <w:rsid w:val="00BA33DC"/>
    <w:rsid w:val="00BA40D8"/>
    <w:rsid w:val="00BA4A9F"/>
    <w:rsid w:val="00BA5044"/>
    <w:rsid w:val="00BA57A9"/>
    <w:rsid w:val="00BA5C4D"/>
    <w:rsid w:val="00BA7D38"/>
    <w:rsid w:val="00BB0C83"/>
    <w:rsid w:val="00BB11BB"/>
    <w:rsid w:val="00BB3DB3"/>
    <w:rsid w:val="00BB43CB"/>
    <w:rsid w:val="00BB4E0B"/>
    <w:rsid w:val="00BB648B"/>
    <w:rsid w:val="00BB7572"/>
    <w:rsid w:val="00BB7659"/>
    <w:rsid w:val="00BB788B"/>
    <w:rsid w:val="00BC1CFE"/>
    <w:rsid w:val="00BC1D2C"/>
    <w:rsid w:val="00BC1DEA"/>
    <w:rsid w:val="00BC2532"/>
    <w:rsid w:val="00BC2E56"/>
    <w:rsid w:val="00BC2F5A"/>
    <w:rsid w:val="00BC4C43"/>
    <w:rsid w:val="00BC537D"/>
    <w:rsid w:val="00BC5D57"/>
    <w:rsid w:val="00BC6F4C"/>
    <w:rsid w:val="00BC6F7D"/>
    <w:rsid w:val="00BC782F"/>
    <w:rsid w:val="00BC7923"/>
    <w:rsid w:val="00BC7E81"/>
    <w:rsid w:val="00BD18F8"/>
    <w:rsid w:val="00BD39FC"/>
    <w:rsid w:val="00BD3ABF"/>
    <w:rsid w:val="00BD47B8"/>
    <w:rsid w:val="00BD5A1F"/>
    <w:rsid w:val="00BD6D03"/>
    <w:rsid w:val="00BD79F9"/>
    <w:rsid w:val="00BE0477"/>
    <w:rsid w:val="00BE12FF"/>
    <w:rsid w:val="00BE1502"/>
    <w:rsid w:val="00BE1621"/>
    <w:rsid w:val="00BE1C33"/>
    <w:rsid w:val="00BE27D2"/>
    <w:rsid w:val="00BE2E6C"/>
    <w:rsid w:val="00BE36AF"/>
    <w:rsid w:val="00BE3F47"/>
    <w:rsid w:val="00BE4A70"/>
    <w:rsid w:val="00BE547B"/>
    <w:rsid w:val="00BE6350"/>
    <w:rsid w:val="00BF0B66"/>
    <w:rsid w:val="00BF0ED2"/>
    <w:rsid w:val="00BF1F87"/>
    <w:rsid w:val="00BF2990"/>
    <w:rsid w:val="00BF4577"/>
    <w:rsid w:val="00BF4AC9"/>
    <w:rsid w:val="00BF4B78"/>
    <w:rsid w:val="00BF51AD"/>
    <w:rsid w:val="00BF6169"/>
    <w:rsid w:val="00BF73FA"/>
    <w:rsid w:val="00C02C63"/>
    <w:rsid w:val="00C0322C"/>
    <w:rsid w:val="00C03483"/>
    <w:rsid w:val="00C03964"/>
    <w:rsid w:val="00C0416F"/>
    <w:rsid w:val="00C0444C"/>
    <w:rsid w:val="00C06AB9"/>
    <w:rsid w:val="00C07CD3"/>
    <w:rsid w:val="00C07DA3"/>
    <w:rsid w:val="00C11E00"/>
    <w:rsid w:val="00C1526B"/>
    <w:rsid w:val="00C179F6"/>
    <w:rsid w:val="00C17BDC"/>
    <w:rsid w:val="00C17FFD"/>
    <w:rsid w:val="00C22F67"/>
    <w:rsid w:val="00C23337"/>
    <w:rsid w:val="00C23AC4"/>
    <w:rsid w:val="00C23B99"/>
    <w:rsid w:val="00C23E80"/>
    <w:rsid w:val="00C24265"/>
    <w:rsid w:val="00C259F7"/>
    <w:rsid w:val="00C25D21"/>
    <w:rsid w:val="00C2636C"/>
    <w:rsid w:val="00C26922"/>
    <w:rsid w:val="00C27030"/>
    <w:rsid w:val="00C2712F"/>
    <w:rsid w:val="00C272F8"/>
    <w:rsid w:val="00C276C1"/>
    <w:rsid w:val="00C31915"/>
    <w:rsid w:val="00C33731"/>
    <w:rsid w:val="00C33F54"/>
    <w:rsid w:val="00C34C12"/>
    <w:rsid w:val="00C35594"/>
    <w:rsid w:val="00C35995"/>
    <w:rsid w:val="00C409A5"/>
    <w:rsid w:val="00C40C05"/>
    <w:rsid w:val="00C40C56"/>
    <w:rsid w:val="00C416AE"/>
    <w:rsid w:val="00C41A80"/>
    <w:rsid w:val="00C41E9E"/>
    <w:rsid w:val="00C42823"/>
    <w:rsid w:val="00C43036"/>
    <w:rsid w:val="00C43B8D"/>
    <w:rsid w:val="00C44396"/>
    <w:rsid w:val="00C444DF"/>
    <w:rsid w:val="00C45461"/>
    <w:rsid w:val="00C454CE"/>
    <w:rsid w:val="00C45E3A"/>
    <w:rsid w:val="00C47DBB"/>
    <w:rsid w:val="00C47DC5"/>
    <w:rsid w:val="00C47DFB"/>
    <w:rsid w:val="00C51E57"/>
    <w:rsid w:val="00C526C0"/>
    <w:rsid w:val="00C54B77"/>
    <w:rsid w:val="00C564FB"/>
    <w:rsid w:val="00C56CB1"/>
    <w:rsid w:val="00C56CBA"/>
    <w:rsid w:val="00C56DC0"/>
    <w:rsid w:val="00C56FFB"/>
    <w:rsid w:val="00C5701F"/>
    <w:rsid w:val="00C57B84"/>
    <w:rsid w:val="00C6015C"/>
    <w:rsid w:val="00C619E3"/>
    <w:rsid w:val="00C61DDD"/>
    <w:rsid w:val="00C627FF"/>
    <w:rsid w:val="00C643C8"/>
    <w:rsid w:val="00C64D2F"/>
    <w:rsid w:val="00C65C92"/>
    <w:rsid w:val="00C70D39"/>
    <w:rsid w:val="00C70DC0"/>
    <w:rsid w:val="00C71BDF"/>
    <w:rsid w:val="00C72959"/>
    <w:rsid w:val="00C729DE"/>
    <w:rsid w:val="00C73BAE"/>
    <w:rsid w:val="00C74264"/>
    <w:rsid w:val="00C74334"/>
    <w:rsid w:val="00C7484D"/>
    <w:rsid w:val="00C7536A"/>
    <w:rsid w:val="00C765CB"/>
    <w:rsid w:val="00C76C02"/>
    <w:rsid w:val="00C76F3A"/>
    <w:rsid w:val="00C81B02"/>
    <w:rsid w:val="00C8206C"/>
    <w:rsid w:val="00C82094"/>
    <w:rsid w:val="00C82873"/>
    <w:rsid w:val="00C8355F"/>
    <w:rsid w:val="00C83B81"/>
    <w:rsid w:val="00C846C6"/>
    <w:rsid w:val="00C846CF"/>
    <w:rsid w:val="00C94CF8"/>
    <w:rsid w:val="00CA0C59"/>
    <w:rsid w:val="00CA18C2"/>
    <w:rsid w:val="00CA19FD"/>
    <w:rsid w:val="00CA2A65"/>
    <w:rsid w:val="00CA5E2B"/>
    <w:rsid w:val="00CA67D4"/>
    <w:rsid w:val="00CA6D79"/>
    <w:rsid w:val="00CB0C6B"/>
    <w:rsid w:val="00CB16DB"/>
    <w:rsid w:val="00CB22D0"/>
    <w:rsid w:val="00CB2A0F"/>
    <w:rsid w:val="00CB57EE"/>
    <w:rsid w:val="00CB5C56"/>
    <w:rsid w:val="00CC2B49"/>
    <w:rsid w:val="00CC3044"/>
    <w:rsid w:val="00CC3065"/>
    <w:rsid w:val="00CC3A2C"/>
    <w:rsid w:val="00CC46C0"/>
    <w:rsid w:val="00CC4B0C"/>
    <w:rsid w:val="00CC5E5C"/>
    <w:rsid w:val="00CC7045"/>
    <w:rsid w:val="00CC72A5"/>
    <w:rsid w:val="00CD0C61"/>
    <w:rsid w:val="00CD15EA"/>
    <w:rsid w:val="00CD185B"/>
    <w:rsid w:val="00CD1D50"/>
    <w:rsid w:val="00CD5A92"/>
    <w:rsid w:val="00CD65F9"/>
    <w:rsid w:val="00CD6DAA"/>
    <w:rsid w:val="00CE0C8A"/>
    <w:rsid w:val="00CE12DE"/>
    <w:rsid w:val="00CE1553"/>
    <w:rsid w:val="00CE1DEE"/>
    <w:rsid w:val="00CE2258"/>
    <w:rsid w:val="00CE5C50"/>
    <w:rsid w:val="00CE66C7"/>
    <w:rsid w:val="00CE6D25"/>
    <w:rsid w:val="00CE77A8"/>
    <w:rsid w:val="00CE7FA6"/>
    <w:rsid w:val="00CF1137"/>
    <w:rsid w:val="00CF1F09"/>
    <w:rsid w:val="00CF2D53"/>
    <w:rsid w:val="00CF364D"/>
    <w:rsid w:val="00CF399E"/>
    <w:rsid w:val="00CF54E7"/>
    <w:rsid w:val="00CF5772"/>
    <w:rsid w:val="00CF606A"/>
    <w:rsid w:val="00CF6FFF"/>
    <w:rsid w:val="00CF7067"/>
    <w:rsid w:val="00CF7C83"/>
    <w:rsid w:val="00D003AC"/>
    <w:rsid w:val="00D01B14"/>
    <w:rsid w:val="00D01B4F"/>
    <w:rsid w:val="00D030E2"/>
    <w:rsid w:val="00D0394D"/>
    <w:rsid w:val="00D046F5"/>
    <w:rsid w:val="00D04AB9"/>
    <w:rsid w:val="00D06364"/>
    <w:rsid w:val="00D06668"/>
    <w:rsid w:val="00D110D1"/>
    <w:rsid w:val="00D111FA"/>
    <w:rsid w:val="00D128B8"/>
    <w:rsid w:val="00D15C77"/>
    <w:rsid w:val="00D15DD5"/>
    <w:rsid w:val="00D15F45"/>
    <w:rsid w:val="00D2125F"/>
    <w:rsid w:val="00D216A0"/>
    <w:rsid w:val="00D223BF"/>
    <w:rsid w:val="00D230BB"/>
    <w:rsid w:val="00D2597E"/>
    <w:rsid w:val="00D2607B"/>
    <w:rsid w:val="00D270F8"/>
    <w:rsid w:val="00D27F95"/>
    <w:rsid w:val="00D317FA"/>
    <w:rsid w:val="00D33393"/>
    <w:rsid w:val="00D342DB"/>
    <w:rsid w:val="00D34C25"/>
    <w:rsid w:val="00D37276"/>
    <w:rsid w:val="00D37E23"/>
    <w:rsid w:val="00D3AAC2"/>
    <w:rsid w:val="00D40DC1"/>
    <w:rsid w:val="00D414BD"/>
    <w:rsid w:val="00D41A81"/>
    <w:rsid w:val="00D43AF5"/>
    <w:rsid w:val="00D43E4E"/>
    <w:rsid w:val="00D447E5"/>
    <w:rsid w:val="00D44F9F"/>
    <w:rsid w:val="00D4570E"/>
    <w:rsid w:val="00D46377"/>
    <w:rsid w:val="00D46777"/>
    <w:rsid w:val="00D46BCC"/>
    <w:rsid w:val="00D5148F"/>
    <w:rsid w:val="00D516E1"/>
    <w:rsid w:val="00D5234C"/>
    <w:rsid w:val="00D52A1A"/>
    <w:rsid w:val="00D53BE8"/>
    <w:rsid w:val="00D544D2"/>
    <w:rsid w:val="00D55488"/>
    <w:rsid w:val="00D558B3"/>
    <w:rsid w:val="00D5614F"/>
    <w:rsid w:val="00D56A6F"/>
    <w:rsid w:val="00D57DEB"/>
    <w:rsid w:val="00D602AF"/>
    <w:rsid w:val="00D61664"/>
    <w:rsid w:val="00D638A9"/>
    <w:rsid w:val="00D64449"/>
    <w:rsid w:val="00D65140"/>
    <w:rsid w:val="00D664C4"/>
    <w:rsid w:val="00D6662E"/>
    <w:rsid w:val="00D66811"/>
    <w:rsid w:val="00D669AB"/>
    <w:rsid w:val="00D673ED"/>
    <w:rsid w:val="00D71662"/>
    <w:rsid w:val="00D721D9"/>
    <w:rsid w:val="00D72AA5"/>
    <w:rsid w:val="00D73618"/>
    <w:rsid w:val="00D74264"/>
    <w:rsid w:val="00D746FD"/>
    <w:rsid w:val="00D7562D"/>
    <w:rsid w:val="00D757FE"/>
    <w:rsid w:val="00D75873"/>
    <w:rsid w:val="00D76500"/>
    <w:rsid w:val="00D8062D"/>
    <w:rsid w:val="00D80B00"/>
    <w:rsid w:val="00D81C8A"/>
    <w:rsid w:val="00D82238"/>
    <w:rsid w:val="00D83719"/>
    <w:rsid w:val="00D913B2"/>
    <w:rsid w:val="00D9215B"/>
    <w:rsid w:val="00D93824"/>
    <w:rsid w:val="00D938F7"/>
    <w:rsid w:val="00D9484B"/>
    <w:rsid w:val="00D965B7"/>
    <w:rsid w:val="00D96E70"/>
    <w:rsid w:val="00D9721B"/>
    <w:rsid w:val="00DA0019"/>
    <w:rsid w:val="00DA1379"/>
    <w:rsid w:val="00DA1C7E"/>
    <w:rsid w:val="00DA3F8B"/>
    <w:rsid w:val="00DA5CF9"/>
    <w:rsid w:val="00DA5D58"/>
    <w:rsid w:val="00DA75A3"/>
    <w:rsid w:val="00DA7D61"/>
    <w:rsid w:val="00DB09B4"/>
    <w:rsid w:val="00DB12F4"/>
    <w:rsid w:val="00DB7181"/>
    <w:rsid w:val="00DB7799"/>
    <w:rsid w:val="00DB78F9"/>
    <w:rsid w:val="00DB7EAE"/>
    <w:rsid w:val="00DC0629"/>
    <w:rsid w:val="00DC0805"/>
    <w:rsid w:val="00DC19D7"/>
    <w:rsid w:val="00DC2928"/>
    <w:rsid w:val="00DC522E"/>
    <w:rsid w:val="00DC6253"/>
    <w:rsid w:val="00DC669E"/>
    <w:rsid w:val="00DC7615"/>
    <w:rsid w:val="00DD02D0"/>
    <w:rsid w:val="00DD0DB9"/>
    <w:rsid w:val="00DD109B"/>
    <w:rsid w:val="00DD2362"/>
    <w:rsid w:val="00DD3C95"/>
    <w:rsid w:val="00DD3D7E"/>
    <w:rsid w:val="00DD43F5"/>
    <w:rsid w:val="00DD5446"/>
    <w:rsid w:val="00DD5F2E"/>
    <w:rsid w:val="00DE1397"/>
    <w:rsid w:val="00DE1C55"/>
    <w:rsid w:val="00DE381B"/>
    <w:rsid w:val="00DE3C7A"/>
    <w:rsid w:val="00DE424A"/>
    <w:rsid w:val="00DE4C5C"/>
    <w:rsid w:val="00DE52D3"/>
    <w:rsid w:val="00DE7EA7"/>
    <w:rsid w:val="00DF08E4"/>
    <w:rsid w:val="00DF0E3D"/>
    <w:rsid w:val="00DF1F19"/>
    <w:rsid w:val="00DF3AA3"/>
    <w:rsid w:val="00DF3F00"/>
    <w:rsid w:val="00DF4CC1"/>
    <w:rsid w:val="00DF57AC"/>
    <w:rsid w:val="00DF6C7A"/>
    <w:rsid w:val="00E0141D"/>
    <w:rsid w:val="00E02596"/>
    <w:rsid w:val="00E0286A"/>
    <w:rsid w:val="00E04307"/>
    <w:rsid w:val="00E05307"/>
    <w:rsid w:val="00E05964"/>
    <w:rsid w:val="00E06436"/>
    <w:rsid w:val="00E0690B"/>
    <w:rsid w:val="00E072DA"/>
    <w:rsid w:val="00E07B8E"/>
    <w:rsid w:val="00E1009F"/>
    <w:rsid w:val="00E113F5"/>
    <w:rsid w:val="00E14E4D"/>
    <w:rsid w:val="00E17E74"/>
    <w:rsid w:val="00E203B5"/>
    <w:rsid w:val="00E20887"/>
    <w:rsid w:val="00E2112F"/>
    <w:rsid w:val="00E21407"/>
    <w:rsid w:val="00E224A6"/>
    <w:rsid w:val="00E22C38"/>
    <w:rsid w:val="00E22F05"/>
    <w:rsid w:val="00E244E8"/>
    <w:rsid w:val="00E24B5E"/>
    <w:rsid w:val="00E25310"/>
    <w:rsid w:val="00E25A60"/>
    <w:rsid w:val="00E27E1C"/>
    <w:rsid w:val="00E30213"/>
    <w:rsid w:val="00E3152F"/>
    <w:rsid w:val="00E31FE7"/>
    <w:rsid w:val="00E33326"/>
    <w:rsid w:val="00E35103"/>
    <w:rsid w:val="00E36018"/>
    <w:rsid w:val="00E3607A"/>
    <w:rsid w:val="00E36ED9"/>
    <w:rsid w:val="00E417B9"/>
    <w:rsid w:val="00E4255A"/>
    <w:rsid w:val="00E42B41"/>
    <w:rsid w:val="00E45D2D"/>
    <w:rsid w:val="00E45FF0"/>
    <w:rsid w:val="00E466D2"/>
    <w:rsid w:val="00E469DA"/>
    <w:rsid w:val="00E47836"/>
    <w:rsid w:val="00E47C5E"/>
    <w:rsid w:val="00E47DC3"/>
    <w:rsid w:val="00E50294"/>
    <w:rsid w:val="00E506DF"/>
    <w:rsid w:val="00E517F2"/>
    <w:rsid w:val="00E521FF"/>
    <w:rsid w:val="00E52B4C"/>
    <w:rsid w:val="00E56359"/>
    <w:rsid w:val="00E56C44"/>
    <w:rsid w:val="00E57A73"/>
    <w:rsid w:val="00E610C8"/>
    <w:rsid w:val="00E61D24"/>
    <w:rsid w:val="00E62A36"/>
    <w:rsid w:val="00E64741"/>
    <w:rsid w:val="00E652C0"/>
    <w:rsid w:val="00E7551E"/>
    <w:rsid w:val="00E76A46"/>
    <w:rsid w:val="00E77D84"/>
    <w:rsid w:val="00E812EB"/>
    <w:rsid w:val="00E81340"/>
    <w:rsid w:val="00E81673"/>
    <w:rsid w:val="00E8167A"/>
    <w:rsid w:val="00E81D42"/>
    <w:rsid w:val="00E82116"/>
    <w:rsid w:val="00E82676"/>
    <w:rsid w:val="00E82E77"/>
    <w:rsid w:val="00E83688"/>
    <w:rsid w:val="00E8513E"/>
    <w:rsid w:val="00E8703D"/>
    <w:rsid w:val="00E87467"/>
    <w:rsid w:val="00E87FAF"/>
    <w:rsid w:val="00E9163A"/>
    <w:rsid w:val="00E920BD"/>
    <w:rsid w:val="00E93837"/>
    <w:rsid w:val="00E971F9"/>
    <w:rsid w:val="00E979E5"/>
    <w:rsid w:val="00EA0475"/>
    <w:rsid w:val="00EA16D0"/>
    <w:rsid w:val="00EA43B6"/>
    <w:rsid w:val="00EA43E0"/>
    <w:rsid w:val="00EA4E26"/>
    <w:rsid w:val="00EA50CD"/>
    <w:rsid w:val="00EA71D8"/>
    <w:rsid w:val="00EA797F"/>
    <w:rsid w:val="00EB02F6"/>
    <w:rsid w:val="00EB06CC"/>
    <w:rsid w:val="00EB1EEB"/>
    <w:rsid w:val="00EB2D4E"/>
    <w:rsid w:val="00EB3741"/>
    <w:rsid w:val="00EB37B8"/>
    <w:rsid w:val="00EB3E91"/>
    <w:rsid w:val="00EB3F2B"/>
    <w:rsid w:val="00EB4FB2"/>
    <w:rsid w:val="00EB5AD1"/>
    <w:rsid w:val="00EB5C7C"/>
    <w:rsid w:val="00EB6CAB"/>
    <w:rsid w:val="00EB7FA4"/>
    <w:rsid w:val="00EC0D49"/>
    <w:rsid w:val="00EC19BE"/>
    <w:rsid w:val="00EC271B"/>
    <w:rsid w:val="00EC2948"/>
    <w:rsid w:val="00EC3BEF"/>
    <w:rsid w:val="00EC49A4"/>
    <w:rsid w:val="00EC5F48"/>
    <w:rsid w:val="00EC6055"/>
    <w:rsid w:val="00ED15FC"/>
    <w:rsid w:val="00ED18FA"/>
    <w:rsid w:val="00ED222C"/>
    <w:rsid w:val="00ED22A7"/>
    <w:rsid w:val="00ED28AC"/>
    <w:rsid w:val="00ED2B88"/>
    <w:rsid w:val="00ED2F19"/>
    <w:rsid w:val="00ED3B1B"/>
    <w:rsid w:val="00ED3DE0"/>
    <w:rsid w:val="00ED3E8D"/>
    <w:rsid w:val="00ED3FC6"/>
    <w:rsid w:val="00ED4561"/>
    <w:rsid w:val="00ED55F4"/>
    <w:rsid w:val="00ED5B52"/>
    <w:rsid w:val="00ED6609"/>
    <w:rsid w:val="00ED6B6C"/>
    <w:rsid w:val="00ED6B6D"/>
    <w:rsid w:val="00ED6D35"/>
    <w:rsid w:val="00ED7A93"/>
    <w:rsid w:val="00EE032D"/>
    <w:rsid w:val="00EE0FD2"/>
    <w:rsid w:val="00EE2824"/>
    <w:rsid w:val="00EE3121"/>
    <w:rsid w:val="00EE717B"/>
    <w:rsid w:val="00EE7294"/>
    <w:rsid w:val="00EF2A7E"/>
    <w:rsid w:val="00EF4313"/>
    <w:rsid w:val="00EF4B9C"/>
    <w:rsid w:val="00EF4FF8"/>
    <w:rsid w:val="00EF680B"/>
    <w:rsid w:val="00EF7917"/>
    <w:rsid w:val="00F01B1E"/>
    <w:rsid w:val="00F0207B"/>
    <w:rsid w:val="00F0246D"/>
    <w:rsid w:val="00F03549"/>
    <w:rsid w:val="00F0412F"/>
    <w:rsid w:val="00F041EF"/>
    <w:rsid w:val="00F047E6"/>
    <w:rsid w:val="00F04C21"/>
    <w:rsid w:val="00F05795"/>
    <w:rsid w:val="00F1007F"/>
    <w:rsid w:val="00F102E2"/>
    <w:rsid w:val="00F11FCC"/>
    <w:rsid w:val="00F12267"/>
    <w:rsid w:val="00F1357A"/>
    <w:rsid w:val="00F165B7"/>
    <w:rsid w:val="00F17320"/>
    <w:rsid w:val="00F177B3"/>
    <w:rsid w:val="00F204C3"/>
    <w:rsid w:val="00F21EC3"/>
    <w:rsid w:val="00F231F1"/>
    <w:rsid w:val="00F23902"/>
    <w:rsid w:val="00F247D5"/>
    <w:rsid w:val="00F2498B"/>
    <w:rsid w:val="00F249AF"/>
    <w:rsid w:val="00F25766"/>
    <w:rsid w:val="00F26969"/>
    <w:rsid w:val="00F27129"/>
    <w:rsid w:val="00F27E00"/>
    <w:rsid w:val="00F30693"/>
    <w:rsid w:val="00F33E09"/>
    <w:rsid w:val="00F342E8"/>
    <w:rsid w:val="00F3535D"/>
    <w:rsid w:val="00F3792A"/>
    <w:rsid w:val="00F37FF9"/>
    <w:rsid w:val="00F419AA"/>
    <w:rsid w:val="00F41C2D"/>
    <w:rsid w:val="00F43D96"/>
    <w:rsid w:val="00F4488E"/>
    <w:rsid w:val="00F45681"/>
    <w:rsid w:val="00F47EE7"/>
    <w:rsid w:val="00F504D2"/>
    <w:rsid w:val="00F50F0F"/>
    <w:rsid w:val="00F51E6B"/>
    <w:rsid w:val="00F52734"/>
    <w:rsid w:val="00F5367B"/>
    <w:rsid w:val="00F55D19"/>
    <w:rsid w:val="00F5656E"/>
    <w:rsid w:val="00F56860"/>
    <w:rsid w:val="00F56AF0"/>
    <w:rsid w:val="00F617EB"/>
    <w:rsid w:val="00F61A29"/>
    <w:rsid w:val="00F62247"/>
    <w:rsid w:val="00F62FAE"/>
    <w:rsid w:val="00F63583"/>
    <w:rsid w:val="00F64C9B"/>
    <w:rsid w:val="00F64EF2"/>
    <w:rsid w:val="00F6563C"/>
    <w:rsid w:val="00F663EB"/>
    <w:rsid w:val="00F66D25"/>
    <w:rsid w:val="00F67A65"/>
    <w:rsid w:val="00F67B41"/>
    <w:rsid w:val="00F67F38"/>
    <w:rsid w:val="00F70300"/>
    <w:rsid w:val="00F708E4"/>
    <w:rsid w:val="00F72016"/>
    <w:rsid w:val="00F72034"/>
    <w:rsid w:val="00F72E4E"/>
    <w:rsid w:val="00F73253"/>
    <w:rsid w:val="00F770C9"/>
    <w:rsid w:val="00F77583"/>
    <w:rsid w:val="00F77E1E"/>
    <w:rsid w:val="00F77ED6"/>
    <w:rsid w:val="00F80965"/>
    <w:rsid w:val="00F81100"/>
    <w:rsid w:val="00F81F2F"/>
    <w:rsid w:val="00F8200D"/>
    <w:rsid w:val="00F841E2"/>
    <w:rsid w:val="00F84516"/>
    <w:rsid w:val="00F85007"/>
    <w:rsid w:val="00F85A98"/>
    <w:rsid w:val="00F8696B"/>
    <w:rsid w:val="00F9063D"/>
    <w:rsid w:val="00F90F07"/>
    <w:rsid w:val="00F90F30"/>
    <w:rsid w:val="00F91A02"/>
    <w:rsid w:val="00F93448"/>
    <w:rsid w:val="00F94C7A"/>
    <w:rsid w:val="00F954CA"/>
    <w:rsid w:val="00FA0BE6"/>
    <w:rsid w:val="00FA171A"/>
    <w:rsid w:val="00FA335D"/>
    <w:rsid w:val="00FA4BB8"/>
    <w:rsid w:val="00FA4C10"/>
    <w:rsid w:val="00FA6792"/>
    <w:rsid w:val="00FB011B"/>
    <w:rsid w:val="00FB125F"/>
    <w:rsid w:val="00FB2527"/>
    <w:rsid w:val="00FB28F6"/>
    <w:rsid w:val="00FB2ACC"/>
    <w:rsid w:val="00FB2B75"/>
    <w:rsid w:val="00FB3700"/>
    <w:rsid w:val="00FB3E16"/>
    <w:rsid w:val="00FB3E53"/>
    <w:rsid w:val="00FB4B59"/>
    <w:rsid w:val="00FB60D6"/>
    <w:rsid w:val="00FB63F0"/>
    <w:rsid w:val="00FB679A"/>
    <w:rsid w:val="00FB6B14"/>
    <w:rsid w:val="00FC0E0F"/>
    <w:rsid w:val="00FC158A"/>
    <w:rsid w:val="00FC16D8"/>
    <w:rsid w:val="00FC18EE"/>
    <w:rsid w:val="00FC1CA0"/>
    <w:rsid w:val="00FC48EE"/>
    <w:rsid w:val="00FC4BC7"/>
    <w:rsid w:val="00FC550C"/>
    <w:rsid w:val="00FC7087"/>
    <w:rsid w:val="00FD009E"/>
    <w:rsid w:val="00FD090C"/>
    <w:rsid w:val="00FD0DB0"/>
    <w:rsid w:val="00FD1743"/>
    <w:rsid w:val="00FD179E"/>
    <w:rsid w:val="00FD27DE"/>
    <w:rsid w:val="00FD3CA7"/>
    <w:rsid w:val="00FD3FFF"/>
    <w:rsid w:val="00FD499E"/>
    <w:rsid w:val="00FD544B"/>
    <w:rsid w:val="00FD5E2E"/>
    <w:rsid w:val="00FD74F2"/>
    <w:rsid w:val="00FE0A2D"/>
    <w:rsid w:val="00FE1200"/>
    <w:rsid w:val="00FE15AF"/>
    <w:rsid w:val="00FE6390"/>
    <w:rsid w:val="00FE7FA4"/>
    <w:rsid w:val="00FF0814"/>
    <w:rsid w:val="00FF0BAC"/>
    <w:rsid w:val="00FF1B05"/>
    <w:rsid w:val="00FF304B"/>
    <w:rsid w:val="00FF31DD"/>
    <w:rsid w:val="00FF3AA1"/>
    <w:rsid w:val="00FF4827"/>
    <w:rsid w:val="00FF4CA1"/>
    <w:rsid w:val="00FF530B"/>
    <w:rsid w:val="00FF6500"/>
    <w:rsid w:val="00FF6CB4"/>
    <w:rsid w:val="00FF78AC"/>
    <w:rsid w:val="0112377C"/>
    <w:rsid w:val="011AE89A"/>
    <w:rsid w:val="01245BB0"/>
    <w:rsid w:val="0147F4B4"/>
    <w:rsid w:val="0157ED72"/>
    <w:rsid w:val="016B2520"/>
    <w:rsid w:val="01725CC8"/>
    <w:rsid w:val="01787C7F"/>
    <w:rsid w:val="017B7BC2"/>
    <w:rsid w:val="017EC3BD"/>
    <w:rsid w:val="01B925FF"/>
    <w:rsid w:val="01FD58A5"/>
    <w:rsid w:val="0218601B"/>
    <w:rsid w:val="02283AF3"/>
    <w:rsid w:val="0256DFA6"/>
    <w:rsid w:val="027E6770"/>
    <w:rsid w:val="02A65972"/>
    <w:rsid w:val="02D1A739"/>
    <w:rsid w:val="0300FA9B"/>
    <w:rsid w:val="030DCA11"/>
    <w:rsid w:val="03125889"/>
    <w:rsid w:val="03251D99"/>
    <w:rsid w:val="034C7399"/>
    <w:rsid w:val="034F4ABF"/>
    <w:rsid w:val="0373FCE4"/>
    <w:rsid w:val="04107840"/>
    <w:rsid w:val="04250B59"/>
    <w:rsid w:val="043A0F6E"/>
    <w:rsid w:val="0496385B"/>
    <w:rsid w:val="04CB4A92"/>
    <w:rsid w:val="05003A83"/>
    <w:rsid w:val="059352D9"/>
    <w:rsid w:val="05FB5768"/>
    <w:rsid w:val="064E1E36"/>
    <w:rsid w:val="065AA5D0"/>
    <w:rsid w:val="06768166"/>
    <w:rsid w:val="067EACEE"/>
    <w:rsid w:val="06927B36"/>
    <w:rsid w:val="06B058D6"/>
    <w:rsid w:val="06B6BB8D"/>
    <w:rsid w:val="06D10084"/>
    <w:rsid w:val="06FA9083"/>
    <w:rsid w:val="073FCE2F"/>
    <w:rsid w:val="074F701B"/>
    <w:rsid w:val="076DC808"/>
    <w:rsid w:val="07957872"/>
    <w:rsid w:val="07D617B9"/>
    <w:rsid w:val="07E36738"/>
    <w:rsid w:val="07FB9376"/>
    <w:rsid w:val="0809AD44"/>
    <w:rsid w:val="0832C46C"/>
    <w:rsid w:val="085F4FA9"/>
    <w:rsid w:val="08633E0D"/>
    <w:rsid w:val="0872F7A7"/>
    <w:rsid w:val="08784FEC"/>
    <w:rsid w:val="087C6ED4"/>
    <w:rsid w:val="08AC175B"/>
    <w:rsid w:val="08D060F2"/>
    <w:rsid w:val="09128195"/>
    <w:rsid w:val="09186CFE"/>
    <w:rsid w:val="09385447"/>
    <w:rsid w:val="0970BF49"/>
    <w:rsid w:val="0977FC3A"/>
    <w:rsid w:val="0998E6D8"/>
    <w:rsid w:val="09D0E139"/>
    <w:rsid w:val="09E08756"/>
    <w:rsid w:val="09F2C452"/>
    <w:rsid w:val="0A1A0927"/>
    <w:rsid w:val="0A2C8AED"/>
    <w:rsid w:val="0A311699"/>
    <w:rsid w:val="0A896062"/>
    <w:rsid w:val="0A91F13F"/>
    <w:rsid w:val="0A9D62E9"/>
    <w:rsid w:val="0AA33E94"/>
    <w:rsid w:val="0ACA98AB"/>
    <w:rsid w:val="0AD8EC85"/>
    <w:rsid w:val="0AE0B350"/>
    <w:rsid w:val="0B1DD13C"/>
    <w:rsid w:val="0B1FB444"/>
    <w:rsid w:val="0B290F17"/>
    <w:rsid w:val="0B441528"/>
    <w:rsid w:val="0B6A652E"/>
    <w:rsid w:val="0BF11004"/>
    <w:rsid w:val="0C1DD4CB"/>
    <w:rsid w:val="0C3BFAA4"/>
    <w:rsid w:val="0C5EAC8B"/>
    <w:rsid w:val="0C5FD8C9"/>
    <w:rsid w:val="0C85EC7C"/>
    <w:rsid w:val="0CAF5077"/>
    <w:rsid w:val="0CC1DEF7"/>
    <w:rsid w:val="0CDC1679"/>
    <w:rsid w:val="0CEBCA8E"/>
    <w:rsid w:val="0D592B67"/>
    <w:rsid w:val="0D6FFA58"/>
    <w:rsid w:val="0D940716"/>
    <w:rsid w:val="0DC764D6"/>
    <w:rsid w:val="0DE7B04A"/>
    <w:rsid w:val="0DED3C3F"/>
    <w:rsid w:val="0E07319B"/>
    <w:rsid w:val="0E14F3C6"/>
    <w:rsid w:val="0E420A7B"/>
    <w:rsid w:val="0E49A2FA"/>
    <w:rsid w:val="0E550F0C"/>
    <w:rsid w:val="0E56ADE4"/>
    <w:rsid w:val="0E7B511B"/>
    <w:rsid w:val="0ECC316C"/>
    <w:rsid w:val="0EFE47E6"/>
    <w:rsid w:val="0F05F7D8"/>
    <w:rsid w:val="0F1ECCA4"/>
    <w:rsid w:val="0F205E99"/>
    <w:rsid w:val="0F492E36"/>
    <w:rsid w:val="0F752F99"/>
    <w:rsid w:val="0FA273D0"/>
    <w:rsid w:val="0FC9A8E3"/>
    <w:rsid w:val="0FE60781"/>
    <w:rsid w:val="1021CDF7"/>
    <w:rsid w:val="1021F338"/>
    <w:rsid w:val="102B50B0"/>
    <w:rsid w:val="10785FB4"/>
    <w:rsid w:val="10BAD0FC"/>
    <w:rsid w:val="10FB6738"/>
    <w:rsid w:val="11319944"/>
    <w:rsid w:val="11642D8E"/>
    <w:rsid w:val="1166713E"/>
    <w:rsid w:val="1181BF6A"/>
    <w:rsid w:val="11AB9D58"/>
    <w:rsid w:val="11C207C3"/>
    <w:rsid w:val="11ED40F0"/>
    <w:rsid w:val="11FE1864"/>
    <w:rsid w:val="120D5796"/>
    <w:rsid w:val="12242D25"/>
    <w:rsid w:val="12263C7C"/>
    <w:rsid w:val="1233C374"/>
    <w:rsid w:val="1273B656"/>
    <w:rsid w:val="128A56FD"/>
    <w:rsid w:val="12A19A18"/>
    <w:rsid w:val="12E4AFC0"/>
    <w:rsid w:val="12F98104"/>
    <w:rsid w:val="1348F8DD"/>
    <w:rsid w:val="13A04FDC"/>
    <w:rsid w:val="13FFFCC0"/>
    <w:rsid w:val="1419EBD3"/>
    <w:rsid w:val="141C5F07"/>
    <w:rsid w:val="144DEBC6"/>
    <w:rsid w:val="14602A20"/>
    <w:rsid w:val="1469811B"/>
    <w:rsid w:val="1471A481"/>
    <w:rsid w:val="147A4E43"/>
    <w:rsid w:val="14B5080F"/>
    <w:rsid w:val="14C88ACD"/>
    <w:rsid w:val="14CF6671"/>
    <w:rsid w:val="14F86842"/>
    <w:rsid w:val="1514E970"/>
    <w:rsid w:val="154645BD"/>
    <w:rsid w:val="158EE52E"/>
    <w:rsid w:val="15991786"/>
    <w:rsid w:val="15BDFB03"/>
    <w:rsid w:val="15EBEA3D"/>
    <w:rsid w:val="1610C39D"/>
    <w:rsid w:val="164E162C"/>
    <w:rsid w:val="1679078C"/>
    <w:rsid w:val="16BE0AA5"/>
    <w:rsid w:val="16D44937"/>
    <w:rsid w:val="1707F5F1"/>
    <w:rsid w:val="17AB6F40"/>
    <w:rsid w:val="17B176A3"/>
    <w:rsid w:val="17F0D522"/>
    <w:rsid w:val="17F375BC"/>
    <w:rsid w:val="17F762BB"/>
    <w:rsid w:val="18340723"/>
    <w:rsid w:val="18482792"/>
    <w:rsid w:val="1854A1B9"/>
    <w:rsid w:val="18682937"/>
    <w:rsid w:val="186DE899"/>
    <w:rsid w:val="1874593E"/>
    <w:rsid w:val="1888F5A1"/>
    <w:rsid w:val="189AF3C8"/>
    <w:rsid w:val="189E72F9"/>
    <w:rsid w:val="18CBA69B"/>
    <w:rsid w:val="18F677CB"/>
    <w:rsid w:val="18F7B153"/>
    <w:rsid w:val="19050485"/>
    <w:rsid w:val="191DA434"/>
    <w:rsid w:val="1996B653"/>
    <w:rsid w:val="19D6D20C"/>
    <w:rsid w:val="19F4F50A"/>
    <w:rsid w:val="1A019F55"/>
    <w:rsid w:val="1A175295"/>
    <w:rsid w:val="1A6CAFB0"/>
    <w:rsid w:val="1A830423"/>
    <w:rsid w:val="1A8F1A8B"/>
    <w:rsid w:val="1AA9CDC2"/>
    <w:rsid w:val="1AB98ECA"/>
    <w:rsid w:val="1AE46B27"/>
    <w:rsid w:val="1AFA5132"/>
    <w:rsid w:val="1B04959F"/>
    <w:rsid w:val="1B157CF2"/>
    <w:rsid w:val="1B4EEBFF"/>
    <w:rsid w:val="1B5E471D"/>
    <w:rsid w:val="1B66FC96"/>
    <w:rsid w:val="1B75EFE2"/>
    <w:rsid w:val="1B8401C7"/>
    <w:rsid w:val="1B8E1C20"/>
    <w:rsid w:val="1BB28940"/>
    <w:rsid w:val="1BB5FE18"/>
    <w:rsid w:val="1BCAB517"/>
    <w:rsid w:val="1BCFCBF1"/>
    <w:rsid w:val="1BD21117"/>
    <w:rsid w:val="1BDC480D"/>
    <w:rsid w:val="1BFFDDC0"/>
    <w:rsid w:val="1C2B93E7"/>
    <w:rsid w:val="1C67C52F"/>
    <w:rsid w:val="1C6CCAD7"/>
    <w:rsid w:val="1C7A7ABD"/>
    <w:rsid w:val="1C836947"/>
    <w:rsid w:val="1C8AA347"/>
    <w:rsid w:val="1CA13CC2"/>
    <w:rsid w:val="1CB8B5FA"/>
    <w:rsid w:val="1CD1D9FE"/>
    <w:rsid w:val="1CD298B6"/>
    <w:rsid w:val="1CD4CBEC"/>
    <w:rsid w:val="1D25F467"/>
    <w:rsid w:val="1D42F521"/>
    <w:rsid w:val="1D484F19"/>
    <w:rsid w:val="1D66AA36"/>
    <w:rsid w:val="1DCA2329"/>
    <w:rsid w:val="1DD5FC67"/>
    <w:rsid w:val="1DD7A288"/>
    <w:rsid w:val="1DF09814"/>
    <w:rsid w:val="1DFD29FD"/>
    <w:rsid w:val="1E377CA9"/>
    <w:rsid w:val="1E39CE30"/>
    <w:rsid w:val="1E5330F9"/>
    <w:rsid w:val="1E802E7B"/>
    <w:rsid w:val="1E869302"/>
    <w:rsid w:val="1E8A0938"/>
    <w:rsid w:val="1E8F8D3E"/>
    <w:rsid w:val="1E92E919"/>
    <w:rsid w:val="1E943671"/>
    <w:rsid w:val="1EC166C4"/>
    <w:rsid w:val="1EEA2A02"/>
    <w:rsid w:val="1EFA37F7"/>
    <w:rsid w:val="1F02EF55"/>
    <w:rsid w:val="1F2A4916"/>
    <w:rsid w:val="1F3D11EB"/>
    <w:rsid w:val="1F44FA80"/>
    <w:rsid w:val="1F472988"/>
    <w:rsid w:val="1F91748A"/>
    <w:rsid w:val="1FBA0214"/>
    <w:rsid w:val="2006232C"/>
    <w:rsid w:val="200CB18C"/>
    <w:rsid w:val="2054F2E2"/>
    <w:rsid w:val="208AFEFC"/>
    <w:rsid w:val="20A9C4DA"/>
    <w:rsid w:val="20C10746"/>
    <w:rsid w:val="20C59A5D"/>
    <w:rsid w:val="20DA1BD4"/>
    <w:rsid w:val="20E49815"/>
    <w:rsid w:val="2108003D"/>
    <w:rsid w:val="213B4F28"/>
    <w:rsid w:val="21454354"/>
    <w:rsid w:val="2193C395"/>
    <w:rsid w:val="21AD605C"/>
    <w:rsid w:val="21D4CB70"/>
    <w:rsid w:val="21F45B91"/>
    <w:rsid w:val="22639DCC"/>
    <w:rsid w:val="22B2DEC3"/>
    <w:rsid w:val="22D5E094"/>
    <w:rsid w:val="22F0EA36"/>
    <w:rsid w:val="22FDC94A"/>
    <w:rsid w:val="232C6DBB"/>
    <w:rsid w:val="2331AECC"/>
    <w:rsid w:val="234CBD8D"/>
    <w:rsid w:val="2354F78D"/>
    <w:rsid w:val="23581B3F"/>
    <w:rsid w:val="2363D031"/>
    <w:rsid w:val="23769E79"/>
    <w:rsid w:val="237E76B9"/>
    <w:rsid w:val="2382AEF3"/>
    <w:rsid w:val="23A240A6"/>
    <w:rsid w:val="23BC7894"/>
    <w:rsid w:val="23BD22DA"/>
    <w:rsid w:val="23BE0C2B"/>
    <w:rsid w:val="23CCD95E"/>
    <w:rsid w:val="23DB6538"/>
    <w:rsid w:val="23F16E34"/>
    <w:rsid w:val="242D564D"/>
    <w:rsid w:val="24368C61"/>
    <w:rsid w:val="24703DB7"/>
    <w:rsid w:val="24816A8F"/>
    <w:rsid w:val="2493C232"/>
    <w:rsid w:val="24A99125"/>
    <w:rsid w:val="24B7A1F6"/>
    <w:rsid w:val="24C16F49"/>
    <w:rsid w:val="24DCB21E"/>
    <w:rsid w:val="24E28BAD"/>
    <w:rsid w:val="24E3301E"/>
    <w:rsid w:val="25182CE8"/>
    <w:rsid w:val="252947F5"/>
    <w:rsid w:val="256B2EAF"/>
    <w:rsid w:val="2570D6CD"/>
    <w:rsid w:val="25A51446"/>
    <w:rsid w:val="25D91134"/>
    <w:rsid w:val="25DE9F35"/>
    <w:rsid w:val="25E0285C"/>
    <w:rsid w:val="25F57843"/>
    <w:rsid w:val="25F9D8F9"/>
    <w:rsid w:val="26112C93"/>
    <w:rsid w:val="2620FFA6"/>
    <w:rsid w:val="26281003"/>
    <w:rsid w:val="262E8D6D"/>
    <w:rsid w:val="2680EC47"/>
    <w:rsid w:val="26E68347"/>
    <w:rsid w:val="26F159E1"/>
    <w:rsid w:val="2704A6A6"/>
    <w:rsid w:val="270F484C"/>
    <w:rsid w:val="271B6ABB"/>
    <w:rsid w:val="273D4252"/>
    <w:rsid w:val="277764B9"/>
    <w:rsid w:val="27901E0F"/>
    <w:rsid w:val="27DE848C"/>
    <w:rsid w:val="27E73852"/>
    <w:rsid w:val="281D6099"/>
    <w:rsid w:val="28376973"/>
    <w:rsid w:val="2839361E"/>
    <w:rsid w:val="2884359C"/>
    <w:rsid w:val="28CE31E0"/>
    <w:rsid w:val="28E7D190"/>
    <w:rsid w:val="29411C4C"/>
    <w:rsid w:val="296460B7"/>
    <w:rsid w:val="297294E3"/>
    <w:rsid w:val="297D7331"/>
    <w:rsid w:val="29B56F08"/>
    <w:rsid w:val="29D0C2F5"/>
    <w:rsid w:val="29E054C2"/>
    <w:rsid w:val="29FDBB87"/>
    <w:rsid w:val="2A1579A8"/>
    <w:rsid w:val="2A160C53"/>
    <w:rsid w:val="2A2694E1"/>
    <w:rsid w:val="2A4A7B36"/>
    <w:rsid w:val="2A7AB2A7"/>
    <w:rsid w:val="2AB0FB64"/>
    <w:rsid w:val="2AE8FE6C"/>
    <w:rsid w:val="2B0ACB10"/>
    <w:rsid w:val="2B43E12C"/>
    <w:rsid w:val="2B47D169"/>
    <w:rsid w:val="2B4DA97D"/>
    <w:rsid w:val="2B762D6A"/>
    <w:rsid w:val="2BC88698"/>
    <w:rsid w:val="2BF4363F"/>
    <w:rsid w:val="2C019F85"/>
    <w:rsid w:val="2C38637F"/>
    <w:rsid w:val="2CB3CF11"/>
    <w:rsid w:val="2CBFCCC7"/>
    <w:rsid w:val="2CC1547D"/>
    <w:rsid w:val="2CD6C281"/>
    <w:rsid w:val="2CF7F22E"/>
    <w:rsid w:val="2D26D0F7"/>
    <w:rsid w:val="2D40388C"/>
    <w:rsid w:val="2D6CBABC"/>
    <w:rsid w:val="2D7BF9AC"/>
    <w:rsid w:val="2D7EA0F4"/>
    <w:rsid w:val="2DA14766"/>
    <w:rsid w:val="2DA25D7C"/>
    <w:rsid w:val="2DB645D3"/>
    <w:rsid w:val="2DCEA015"/>
    <w:rsid w:val="2DD13A59"/>
    <w:rsid w:val="2DD8F420"/>
    <w:rsid w:val="2DE58889"/>
    <w:rsid w:val="2DECB40B"/>
    <w:rsid w:val="2E1451ED"/>
    <w:rsid w:val="2E2EF0D5"/>
    <w:rsid w:val="2E31AAFA"/>
    <w:rsid w:val="2E545AC8"/>
    <w:rsid w:val="2E6A95C8"/>
    <w:rsid w:val="2E95A2A8"/>
    <w:rsid w:val="2EA1376D"/>
    <w:rsid w:val="2ECCFA8B"/>
    <w:rsid w:val="2F0E6083"/>
    <w:rsid w:val="2F0EB992"/>
    <w:rsid w:val="2F3121BA"/>
    <w:rsid w:val="2F3AAF68"/>
    <w:rsid w:val="2F3B5A97"/>
    <w:rsid w:val="2F53D190"/>
    <w:rsid w:val="2F5F19E2"/>
    <w:rsid w:val="2F781A9C"/>
    <w:rsid w:val="2F84598B"/>
    <w:rsid w:val="2F951A2E"/>
    <w:rsid w:val="2FAE7A0A"/>
    <w:rsid w:val="2FD30AFE"/>
    <w:rsid w:val="2FF0E361"/>
    <w:rsid w:val="30138438"/>
    <w:rsid w:val="302BB8CD"/>
    <w:rsid w:val="302BF3F0"/>
    <w:rsid w:val="303C1302"/>
    <w:rsid w:val="308E1282"/>
    <w:rsid w:val="30E1151C"/>
    <w:rsid w:val="31066448"/>
    <w:rsid w:val="3118EA7F"/>
    <w:rsid w:val="313DFA11"/>
    <w:rsid w:val="315B3936"/>
    <w:rsid w:val="317FADCC"/>
    <w:rsid w:val="31B97913"/>
    <w:rsid w:val="31C4A4BB"/>
    <w:rsid w:val="31DE6982"/>
    <w:rsid w:val="31E7F74D"/>
    <w:rsid w:val="321832FB"/>
    <w:rsid w:val="321EE087"/>
    <w:rsid w:val="323322AF"/>
    <w:rsid w:val="323542EC"/>
    <w:rsid w:val="3254AEA0"/>
    <w:rsid w:val="32718319"/>
    <w:rsid w:val="32D183E1"/>
    <w:rsid w:val="32D93E33"/>
    <w:rsid w:val="3320A6EC"/>
    <w:rsid w:val="337AD06C"/>
    <w:rsid w:val="33883EB9"/>
    <w:rsid w:val="339FAA28"/>
    <w:rsid w:val="34194695"/>
    <w:rsid w:val="34767E18"/>
    <w:rsid w:val="3476B7B4"/>
    <w:rsid w:val="347DAA62"/>
    <w:rsid w:val="34B262EB"/>
    <w:rsid w:val="34E21BCF"/>
    <w:rsid w:val="35197481"/>
    <w:rsid w:val="35203BED"/>
    <w:rsid w:val="355E43C8"/>
    <w:rsid w:val="35843B1D"/>
    <w:rsid w:val="359FE768"/>
    <w:rsid w:val="35A23304"/>
    <w:rsid w:val="35DF102B"/>
    <w:rsid w:val="35E8F2B3"/>
    <w:rsid w:val="36295F25"/>
    <w:rsid w:val="365E40EB"/>
    <w:rsid w:val="3663C349"/>
    <w:rsid w:val="36863E7C"/>
    <w:rsid w:val="36941E79"/>
    <w:rsid w:val="36B22177"/>
    <w:rsid w:val="36C07297"/>
    <w:rsid w:val="36FD4301"/>
    <w:rsid w:val="370554D3"/>
    <w:rsid w:val="371E3073"/>
    <w:rsid w:val="37461894"/>
    <w:rsid w:val="37485103"/>
    <w:rsid w:val="374E2C8A"/>
    <w:rsid w:val="374E744A"/>
    <w:rsid w:val="37A90A25"/>
    <w:rsid w:val="37DC628C"/>
    <w:rsid w:val="37E780E1"/>
    <w:rsid w:val="380787D0"/>
    <w:rsid w:val="38A82854"/>
    <w:rsid w:val="38E91B6D"/>
    <w:rsid w:val="3905D485"/>
    <w:rsid w:val="3928D822"/>
    <w:rsid w:val="393ECECA"/>
    <w:rsid w:val="3951E42D"/>
    <w:rsid w:val="395DA46A"/>
    <w:rsid w:val="39989D65"/>
    <w:rsid w:val="39BDEC0C"/>
    <w:rsid w:val="39F97411"/>
    <w:rsid w:val="3A000099"/>
    <w:rsid w:val="3A11C702"/>
    <w:rsid w:val="3AA3D104"/>
    <w:rsid w:val="3AB31FA3"/>
    <w:rsid w:val="3AE45F2D"/>
    <w:rsid w:val="3AFDAF33"/>
    <w:rsid w:val="3B070AA7"/>
    <w:rsid w:val="3B11D017"/>
    <w:rsid w:val="3B3DC41C"/>
    <w:rsid w:val="3B63B528"/>
    <w:rsid w:val="3B7082F2"/>
    <w:rsid w:val="3B87A03D"/>
    <w:rsid w:val="3BA52429"/>
    <w:rsid w:val="3BBEAB87"/>
    <w:rsid w:val="3BDF3488"/>
    <w:rsid w:val="3C074930"/>
    <w:rsid w:val="3C23F262"/>
    <w:rsid w:val="3C26C52E"/>
    <w:rsid w:val="3C3D7547"/>
    <w:rsid w:val="3C4592A1"/>
    <w:rsid w:val="3C4BCD98"/>
    <w:rsid w:val="3C6FD69C"/>
    <w:rsid w:val="3C97F69F"/>
    <w:rsid w:val="3CED65B7"/>
    <w:rsid w:val="3CFC6C50"/>
    <w:rsid w:val="3D1A8F76"/>
    <w:rsid w:val="3D38FF37"/>
    <w:rsid w:val="3DCAFC49"/>
    <w:rsid w:val="3DEFA81D"/>
    <w:rsid w:val="3DFF162B"/>
    <w:rsid w:val="3E6D5A8A"/>
    <w:rsid w:val="3EC48931"/>
    <w:rsid w:val="3EE81878"/>
    <w:rsid w:val="3EECB6D1"/>
    <w:rsid w:val="3EF476C8"/>
    <w:rsid w:val="3F031DDF"/>
    <w:rsid w:val="3F08B6BC"/>
    <w:rsid w:val="3F13768B"/>
    <w:rsid w:val="3F139430"/>
    <w:rsid w:val="3F56D02E"/>
    <w:rsid w:val="3F5EDB26"/>
    <w:rsid w:val="3F69F72A"/>
    <w:rsid w:val="3FD2B56B"/>
    <w:rsid w:val="3FD427E7"/>
    <w:rsid w:val="3FE4679C"/>
    <w:rsid w:val="4009AF0A"/>
    <w:rsid w:val="40256B6C"/>
    <w:rsid w:val="40396C7E"/>
    <w:rsid w:val="40447E99"/>
    <w:rsid w:val="40462FEA"/>
    <w:rsid w:val="406C1A8F"/>
    <w:rsid w:val="4087F5BA"/>
    <w:rsid w:val="40905DFF"/>
    <w:rsid w:val="40BC79C5"/>
    <w:rsid w:val="40F10EBC"/>
    <w:rsid w:val="4144A783"/>
    <w:rsid w:val="4146FC8F"/>
    <w:rsid w:val="41F3E03D"/>
    <w:rsid w:val="422C3DC4"/>
    <w:rsid w:val="423A3ECA"/>
    <w:rsid w:val="4259157E"/>
    <w:rsid w:val="42632229"/>
    <w:rsid w:val="42B499CD"/>
    <w:rsid w:val="42D6813A"/>
    <w:rsid w:val="42FACCD7"/>
    <w:rsid w:val="431B6C37"/>
    <w:rsid w:val="4332347E"/>
    <w:rsid w:val="435F4E8D"/>
    <w:rsid w:val="43AC1B66"/>
    <w:rsid w:val="43B17B06"/>
    <w:rsid w:val="43E73AEC"/>
    <w:rsid w:val="440FDA9D"/>
    <w:rsid w:val="4414162E"/>
    <w:rsid w:val="442DD6B4"/>
    <w:rsid w:val="44314D84"/>
    <w:rsid w:val="4436AE1C"/>
    <w:rsid w:val="44604EFD"/>
    <w:rsid w:val="446C6716"/>
    <w:rsid w:val="44768886"/>
    <w:rsid w:val="4497595B"/>
    <w:rsid w:val="44ADCE6C"/>
    <w:rsid w:val="44F85572"/>
    <w:rsid w:val="45189925"/>
    <w:rsid w:val="451BE9A7"/>
    <w:rsid w:val="4557DECB"/>
    <w:rsid w:val="456A5AC6"/>
    <w:rsid w:val="458B7D95"/>
    <w:rsid w:val="4592D017"/>
    <w:rsid w:val="45A18F0D"/>
    <w:rsid w:val="45FC064B"/>
    <w:rsid w:val="460B2468"/>
    <w:rsid w:val="460B8294"/>
    <w:rsid w:val="463A5DCD"/>
    <w:rsid w:val="46882BC5"/>
    <w:rsid w:val="46A2EC6D"/>
    <w:rsid w:val="46F8BB13"/>
    <w:rsid w:val="47269157"/>
    <w:rsid w:val="4748F1B3"/>
    <w:rsid w:val="474A94EB"/>
    <w:rsid w:val="475F715E"/>
    <w:rsid w:val="47999C57"/>
    <w:rsid w:val="47B0EB00"/>
    <w:rsid w:val="47D20B4F"/>
    <w:rsid w:val="486D1485"/>
    <w:rsid w:val="48835EAB"/>
    <w:rsid w:val="48AB8DEC"/>
    <w:rsid w:val="48D5874A"/>
    <w:rsid w:val="48EE37EF"/>
    <w:rsid w:val="49075223"/>
    <w:rsid w:val="492F4571"/>
    <w:rsid w:val="49377470"/>
    <w:rsid w:val="49CEC4F0"/>
    <w:rsid w:val="49D8E474"/>
    <w:rsid w:val="49DDF04F"/>
    <w:rsid w:val="49F09FA7"/>
    <w:rsid w:val="4A4BD1ED"/>
    <w:rsid w:val="4A596AC6"/>
    <w:rsid w:val="4A93A4E2"/>
    <w:rsid w:val="4AB47603"/>
    <w:rsid w:val="4AC20623"/>
    <w:rsid w:val="4AD068E7"/>
    <w:rsid w:val="4AE2FAB2"/>
    <w:rsid w:val="4AE46B70"/>
    <w:rsid w:val="4B084C04"/>
    <w:rsid w:val="4B0C03F3"/>
    <w:rsid w:val="4B58B013"/>
    <w:rsid w:val="4B794679"/>
    <w:rsid w:val="4B879263"/>
    <w:rsid w:val="4B97BA55"/>
    <w:rsid w:val="4C225D78"/>
    <w:rsid w:val="4C288A44"/>
    <w:rsid w:val="4C5EAE46"/>
    <w:rsid w:val="4CEDAC2D"/>
    <w:rsid w:val="4D147E76"/>
    <w:rsid w:val="4D472A42"/>
    <w:rsid w:val="4D494D84"/>
    <w:rsid w:val="4D6D5A2E"/>
    <w:rsid w:val="4D72F1FF"/>
    <w:rsid w:val="4DA6704A"/>
    <w:rsid w:val="4DC0DC30"/>
    <w:rsid w:val="4DF0FEF5"/>
    <w:rsid w:val="4E00EB73"/>
    <w:rsid w:val="4E221DC6"/>
    <w:rsid w:val="4E39D039"/>
    <w:rsid w:val="4E525C45"/>
    <w:rsid w:val="4E7417E1"/>
    <w:rsid w:val="4E78DE84"/>
    <w:rsid w:val="4E8F8B64"/>
    <w:rsid w:val="4E98319C"/>
    <w:rsid w:val="4EE1EB7D"/>
    <w:rsid w:val="4F1CF0EE"/>
    <w:rsid w:val="4F43D023"/>
    <w:rsid w:val="4F69E147"/>
    <w:rsid w:val="4F8F2463"/>
    <w:rsid w:val="4FA82D75"/>
    <w:rsid w:val="4FB7FAFB"/>
    <w:rsid w:val="5056A37A"/>
    <w:rsid w:val="50817B13"/>
    <w:rsid w:val="5084B364"/>
    <w:rsid w:val="5086F33F"/>
    <w:rsid w:val="50976F57"/>
    <w:rsid w:val="50D35063"/>
    <w:rsid w:val="50F9FD03"/>
    <w:rsid w:val="50FA3F83"/>
    <w:rsid w:val="5119F94F"/>
    <w:rsid w:val="511A2D5F"/>
    <w:rsid w:val="5137BCEA"/>
    <w:rsid w:val="516667F4"/>
    <w:rsid w:val="518871B3"/>
    <w:rsid w:val="51C3FD28"/>
    <w:rsid w:val="51EDF58A"/>
    <w:rsid w:val="5233201D"/>
    <w:rsid w:val="526D453D"/>
    <w:rsid w:val="52A4827A"/>
    <w:rsid w:val="52BBFD69"/>
    <w:rsid w:val="52CAC81B"/>
    <w:rsid w:val="52D53550"/>
    <w:rsid w:val="53406E44"/>
    <w:rsid w:val="5346BE3E"/>
    <w:rsid w:val="53A531D5"/>
    <w:rsid w:val="53BA2935"/>
    <w:rsid w:val="53C2C956"/>
    <w:rsid w:val="53D0023F"/>
    <w:rsid w:val="53D4BB7D"/>
    <w:rsid w:val="53DEF68D"/>
    <w:rsid w:val="53EF588C"/>
    <w:rsid w:val="5409D25B"/>
    <w:rsid w:val="540DB52F"/>
    <w:rsid w:val="5445429A"/>
    <w:rsid w:val="54480FD1"/>
    <w:rsid w:val="54753AB6"/>
    <w:rsid w:val="5482E788"/>
    <w:rsid w:val="548BDC58"/>
    <w:rsid w:val="548EF6FF"/>
    <w:rsid w:val="549E1BF1"/>
    <w:rsid w:val="54A4B3BC"/>
    <w:rsid w:val="54A901A2"/>
    <w:rsid w:val="54C5BFCB"/>
    <w:rsid w:val="54CA6BB5"/>
    <w:rsid w:val="54D1C3D3"/>
    <w:rsid w:val="54DFFB4A"/>
    <w:rsid w:val="54E5FE9A"/>
    <w:rsid w:val="54FB0672"/>
    <w:rsid w:val="55043CA4"/>
    <w:rsid w:val="5516ED93"/>
    <w:rsid w:val="553E1358"/>
    <w:rsid w:val="55423A2E"/>
    <w:rsid w:val="5590EC27"/>
    <w:rsid w:val="55C39920"/>
    <w:rsid w:val="56082398"/>
    <w:rsid w:val="5630BD9C"/>
    <w:rsid w:val="5649E639"/>
    <w:rsid w:val="564E4E22"/>
    <w:rsid w:val="56626800"/>
    <w:rsid w:val="56B4DBB1"/>
    <w:rsid w:val="56B9987A"/>
    <w:rsid w:val="56D2C933"/>
    <w:rsid w:val="570595BB"/>
    <w:rsid w:val="57076C4A"/>
    <w:rsid w:val="576C428C"/>
    <w:rsid w:val="5773D57E"/>
    <w:rsid w:val="578510E1"/>
    <w:rsid w:val="57AF5CD1"/>
    <w:rsid w:val="5814F8BB"/>
    <w:rsid w:val="5826F32F"/>
    <w:rsid w:val="5863EE18"/>
    <w:rsid w:val="58714DE4"/>
    <w:rsid w:val="5885BF4B"/>
    <w:rsid w:val="5887B4D6"/>
    <w:rsid w:val="5890AAEE"/>
    <w:rsid w:val="58955F0A"/>
    <w:rsid w:val="589C4C9B"/>
    <w:rsid w:val="58ABB73E"/>
    <w:rsid w:val="58D71CEF"/>
    <w:rsid w:val="58F976B1"/>
    <w:rsid w:val="59172023"/>
    <w:rsid w:val="594EB2F3"/>
    <w:rsid w:val="599DAD12"/>
    <w:rsid w:val="5A2588D4"/>
    <w:rsid w:val="5A2F8D5E"/>
    <w:rsid w:val="5A5337AC"/>
    <w:rsid w:val="5A763259"/>
    <w:rsid w:val="5A812D3E"/>
    <w:rsid w:val="5A88063A"/>
    <w:rsid w:val="5A964770"/>
    <w:rsid w:val="5AB3F016"/>
    <w:rsid w:val="5AC17A2D"/>
    <w:rsid w:val="5AD32065"/>
    <w:rsid w:val="5ADC0678"/>
    <w:rsid w:val="5AE1014B"/>
    <w:rsid w:val="5B5373B9"/>
    <w:rsid w:val="5B7382AD"/>
    <w:rsid w:val="5B950FD4"/>
    <w:rsid w:val="5BBAED3A"/>
    <w:rsid w:val="5BC1EBC7"/>
    <w:rsid w:val="5C106D59"/>
    <w:rsid w:val="5C1A8E9D"/>
    <w:rsid w:val="5C307237"/>
    <w:rsid w:val="5C41EE19"/>
    <w:rsid w:val="5C54F632"/>
    <w:rsid w:val="5C698081"/>
    <w:rsid w:val="5C7AEE29"/>
    <w:rsid w:val="5CD95A4F"/>
    <w:rsid w:val="5CD9DA48"/>
    <w:rsid w:val="5CDEA029"/>
    <w:rsid w:val="5D02A2A1"/>
    <w:rsid w:val="5D0BB6CE"/>
    <w:rsid w:val="5D1FD954"/>
    <w:rsid w:val="5DA0C3DE"/>
    <w:rsid w:val="5DB9744C"/>
    <w:rsid w:val="5DBC34E8"/>
    <w:rsid w:val="5DD4AD59"/>
    <w:rsid w:val="5DE46ECB"/>
    <w:rsid w:val="5E190F18"/>
    <w:rsid w:val="5E2ACB05"/>
    <w:rsid w:val="5E87222F"/>
    <w:rsid w:val="5EB4D564"/>
    <w:rsid w:val="5EC90AC3"/>
    <w:rsid w:val="5EF2DBE7"/>
    <w:rsid w:val="5F504482"/>
    <w:rsid w:val="5F5F6AEC"/>
    <w:rsid w:val="5F883133"/>
    <w:rsid w:val="5FA4F588"/>
    <w:rsid w:val="5FBB55D0"/>
    <w:rsid w:val="5FC04C48"/>
    <w:rsid w:val="5FEA301B"/>
    <w:rsid w:val="600A5EE0"/>
    <w:rsid w:val="6016A50C"/>
    <w:rsid w:val="60A1FC79"/>
    <w:rsid w:val="60A7EBE6"/>
    <w:rsid w:val="60DAD9B7"/>
    <w:rsid w:val="60DD315D"/>
    <w:rsid w:val="60E9091E"/>
    <w:rsid w:val="611F8C17"/>
    <w:rsid w:val="6128F072"/>
    <w:rsid w:val="617AE767"/>
    <w:rsid w:val="6232482E"/>
    <w:rsid w:val="6233ADA0"/>
    <w:rsid w:val="625D94A9"/>
    <w:rsid w:val="62657DB4"/>
    <w:rsid w:val="62723B2C"/>
    <w:rsid w:val="628B97EA"/>
    <w:rsid w:val="62AB3F1F"/>
    <w:rsid w:val="62E4C801"/>
    <w:rsid w:val="63058631"/>
    <w:rsid w:val="630765FB"/>
    <w:rsid w:val="630CCD9D"/>
    <w:rsid w:val="632EE9BF"/>
    <w:rsid w:val="636FEF32"/>
    <w:rsid w:val="6371CD36"/>
    <w:rsid w:val="638FA595"/>
    <w:rsid w:val="63B83CDF"/>
    <w:rsid w:val="63DBF197"/>
    <w:rsid w:val="63E735E3"/>
    <w:rsid w:val="642DB67D"/>
    <w:rsid w:val="647C94A9"/>
    <w:rsid w:val="64915130"/>
    <w:rsid w:val="64A6970C"/>
    <w:rsid w:val="64B03F7E"/>
    <w:rsid w:val="64C9EB0B"/>
    <w:rsid w:val="64D04927"/>
    <w:rsid w:val="651D2077"/>
    <w:rsid w:val="6526253C"/>
    <w:rsid w:val="652FA127"/>
    <w:rsid w:val="6579B488"/>
    <w:rsid w:val="65C1B8E5"/>
    <w:rsid w:val="65D73D7F"/>
    <w:rsid w:val="65F9B13D"/>
    <w:rsid w:val="660D5938"/>
    <w:rsid w:val="661EA941"/>
    <w:rsid w:val="66497A5F"/>
    <w:rsid w:val="666E3498"/>
    <w:rsid w:val="66A4AFAF"/>
    <w:rsid w:val="66E7E631"/>
    <w:rsid w:val="66EDD489"/>
    <w:rsid w:val="67444A24"/>
    <w:rsid w:val="6757E3A9"/>
    <w:rsid w:val="676F1D60"/>
    <w:rsid w:val="67DE74CD"/>
    <w:rsid w:val="67E96F62"/>
    <w:rsid w:val="680112FA"/>
    <w:rsid w:val="6832758C"/>
    <w:rsid w:val="68645AF2"/>
    <w:rsid w:val="68936BDE"/>
    <w:rsid w:val="68B11ED6"/>
    <w:rsid w:val="68C7F959"/>
    <w:rsid w:val="68D0018F"/>
    <w:rsid w:val="68D613DB"/>
    <w:rsid w:val="68E38E75"/>
    <w:rsid w:val="68FC59DA"/>
    <w:rsid w:val="6903A890"/>
    <w:rsid w:val="690AEDC1"/>
    <w:rsid w:val="6938740F"/>
    <w:rsid w:val="69648FC2"/>
    <w:rsid w:val="6993366C"/>
    <w:rsid w:val="69A791F6"/>
    <w:rsid w:val="69DADA74"/>
    <w:rsid w:val="6A23C8E4"/>
    <w:rsid w:val="6A262865"/>
    <w:rsid w:val="6A705A3D"/>
    <w:rsid w:val="6AA2AC01"/>
    <w:rsid w:val="6AAF4F35"/>
    <w:rsid w:val="6AEF86A4"/>
    <w:rsid w:val="6B21279E"/>
    <w:rsid w:val="6B85B8EB"/>
    <w:rsid w:val="6B948E4B"/>
    <w:rsid w:val="6BADD5B9"/>
    <w:rsid w:val="6BC36F0B"/>
    <w:rsid w:val="6BCFC932"/>
    <w:rsid w:val="6BD8B8A5"/>
    <w:rsid w:val="6C1C470E"/>
    <w:rsid w:val="6C431B63"/>
    <w:rsid w:val="6C8E2C22"/>
    <w:rsid w:val="6D04512E"/>
    <w:rsid w:val="6D3EB3C9"/>
    <w:rsid w:val="6D42B55F"/>
    <w:rsid w:val="6D738C39"/>
    <w:rsid w:val="6D9E8864"/>
    <w:rsid w:val="6DBA7BEA"/>
    <w:rsid w:val="6DDDA4F2"/>
    <w:rsid w:val="6E1AE795"/>
    <w:rsid w:val="6E20DFDC"/>
    <w:rsid w:val="6E28A2F6"/>
    <w:rsid w:val="6E40E5AD"/>
    <w:rsid w:val="6E452621"/>
    <w:rsid w:val="6E7707BC"/>
    <w:rsid w:val="6E779B33"/>
    <w:rsid w:val="6EC4BA3C"/>
    <w:rsid w:val="6EC815F6"/>
    <w:rsid w:val="6EECA0DF"/>
    <w:rsid w:val="6F008343"/>
    <w:rsid w:val="6F0DE261"/>
    <w:rsid w:val="6F260752"/>
    <w:rsid w:val="6F5277EB"/>
    <w:rsid w:val="6F5BEEDA"/>
    <w:rsid w:val="6F797BDF"/>
    <w:rsid w:val="6F98D759"/>
    <w:rsid w:val="6FBA94F6"/>
    <w:rsid w:val="6FBE3874"/>
    <w:rsid w:val="6FD8B87A"/>
    <w:rsid w:val="700E0B84"/>
    <w:rsid w:val="70312440"/>
    <w:rsid w:val="705D595D"/>
    <w:rsid w:val="707EDB82"/>
    <w:rsid w:val="70FDACA2"/>
    <w:rsid w:val="71064F33"/>
    <w:rsid w:val="7115539F"/>
    <w:rsid w:val="713BFBB1"/>
    <w:rsid w:val="715F71F6"/>
    <w:rsid w:val="717544E0"/>
    <w:rsid w:val="71858AD3"/>
    <w:rsid w:val="71961E7F"/>
    <w:rsid w:val="71E66FF3"/>
    <w:rsid w:val="71E7F950"/>
    <w:rsid w:val="71FBE078"/>
    <w:rsid w:val="720B368F"/>
    <w:rsid w:val="721DAB44"/>
    <w:rsid w:val="72414E80"/>
    <w:rsid w:val="725A251E"/>
    <w:rsid w:val="726CB2A6"/>
    <w:rsid w:val="727A329A"/>
    <w:rsid w:val="727CBF35"/>
    <w:rsid w:val="72B11CA1"/>
    <w:rsid w:val="72F298B8"/>
    <w:rsid w:val="73083C5D"/>
    <w:rsid w:val="730846E9"/>
    <w:rsid w:val="731C9958"/>
    <w:rsid w:val="7340912A"/>
    <w:rsid w:val="7388144C"/>
    <w:rsid w:val="73886BF5"/>
    <w:rsid w:val="744CED02"/>
    <w:rsid w:val="74605908"/>
    <w:rsid w:val="7462D619"/>
    <w:rsid w:val="748BBA0A"/>
    <w:rsid w:val="749540E0"/>
    <w:rsid w:val="749582E1"/>
    <w:rsid w:val="74B6390E"/>
    <w:rsid w:val="752C8166"/>
    <w:rsid w:val="7530FE31"/>
    <w:rsid w:val="75532618"/>
    <w:rsid w:val="758A344D"/>
    <w:rsid w:val="75A033F2"/>
    <w:rsid w:val="75BD4495"/>
    <w:rsid w:val="75C933A7"/>
    <w:rsid w:val="75E60A46"/>
    <w:rsid w:val="75E8BD63"/>
    <w:rsid w:val="7605D9C5"/>
    <w:rsid w:val="76141A4E"/>
    <w:rsid w:val="7647F1D5"/>
    <w:rsid w:val="7651FB00"/>
    <w:rsid w:val="7683B1FC"/>
    <w:rsid w:val="768784CA"/>
    <w:rsid w:val="77154939"/>
    <w:rsid w:val="773D485F"/>
    <w:rsid w:val="773E640F"/>
    <w:rsid w:val="77434391"/>
    <w:rsid w:val="77514934"/>
    <w:rsid w:val="77FB8C39"/>
    <w:rsid w:val="7810BE18"/>
    <w:rsid w:val="781E26A3"/>
    <w:rsid w:val="781E700E"/>
    <w:rsid w:val="787A1CA4"/>
    <w:rsid w:val="788BA7F6"/>
    <w:rsid w:val="78BF694C"/>
    <w:rsid w:val="78CB8E34"/>
    <w:rsid w:val="793D12E1"/>
    <w:rsid w:val="7946FAB7"/>
    <w:rsid w:val="7953A4A7"/>
    <w:rsid w:val="79592EA6"/>
    <w:rsid w:val="795CD125"/>
    <w:rsid w:val="795D24AA"/>
    <w:rsid w:val="798AFFA3"/>
    <w:rsid w:val="7992671B"/>
    <w:rsid w:val="79B1B898"/>
    <w:rsid w:val="79D1F831"/>
    <w:rsid w:val="7A5DA650"/>
    <w:rsid w:val="7A67963A"/>
    <w:rsid w:val="7A786429"/>
    <w:rsid w:val="7A7D8CF5"/>
    <w:rsid w:val="7A81D0C1"/>
    <w:rsid w:val="7A941B9E"/>
    <w:rsid w:val="7AB21105"/>
    <w:rsid w:val="7AB7E1F9"/>
    <w:rsid w:val="7AE8CF20"/>
    <w:rsid w:val="7AF2C90D"/>
    <w:rsid w:val="7AF32308"/>
    <w:rsid w:val="7B03D3CF"/>
    <w:rsid w:val="7B2613FA"/>
    <w:rsid w:val="7B2C71E6"/>
    <w:rsid w:val="7B3C33EA"/>
    <w:rsid w:val="7B427EAD"/>
    <w:rsid w:val="7B4CC8D3"/>
    <w:rsid w:val="7B64A27B"/>
    <w:rsid w:val="7B8A409A"/>
    <w:rsid w:val="7BE0EEE1"/>
    <w:rsid w:val="7BE5235F"/>
    <w:rsid w:val="7BE9725E"/>
    <w:rsid w:val="7C28672B"/>
    <w:rsid w:val="7C47F6C1"/>
    <w:rsid w:val="7C667AF6"/>
    <w:rsid w:val="7C6DD54D"/>
    <w:rsid w:val="7C90AC79"/>
    <w:rsid w:val="7C9692B1"/>
    <w:rsid w:val="7CE3E517"/>
    <w:rsid w:val="7CF90E99"/>
    <w:rsid w:val="7D003EF7"/>
    <w:rsid w:val="7D07EF57"/>
    <w:rsid w:val="7D232522"/>
    <w:rsid w:val="7D2AABF7"/>
    <w:rsid w:val="7D2CEDE7"/>
    <w:rsid w:val="7D69D6E6"/>
    <w:rsid w:val="7DA9DEE1"/>
    <w:rsid w:val="7DBD4FA8"/>
    <w:rsid w:val="7DD299E0"/>
    <w:rsid w:val="7DEA44A2"/>
    <w:rsid w:val="7E1679C9"/>
    <w:rsid w:val="7E29F7AF"/>
    <w:rsid w:val="7E6A2A18"/>
    <w:rsid w:val="7EB353AB"/>
    <w:rsid w:val="7EBE5373"/>
    <w:rsid w:val="7ECE1C43"/>
    <w:rsid w:val="7EDE42FF"/>
    <w:rsid w:val="7F090D38"/>
    <w:rsid w:val="7F1D1AEB"/>
    <w:rsid w:val="7F239501"/>
    <w:rsid w:val="7F5438DB"/>
    <w:rsid w:val="7FA4B870"/>
    <w:rsid w:val="7FAEBE9A"/>
    <w:rsid w:val="7FE3784B"/>
    <w:rsid w:val="7FF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A0471"/>
  <w15:docId w15:val="{C99D04BF-A182-44CB-B395-1D1E7DCDC4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E1F50"/>
    <w:rPr>
      <w:rFonts w:ascii="Arial" w:hAnsi="Arial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CE1DE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notaalpie">
    <w:name w:val="footnote reference"/>
    <w:uiPriority w:val="99"/>
    <w:semiHidden/>
    <w:rsid w:val="00FD499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D499E"/>
    <w:pPr>
      <w:jc w:val="both"/>
    </w:pPr>
    <w:rPr>
      <w:rFonts w:ascii="Comic Sans MS" w:hAnsi="Comic Sans MS"/>
      <w:szCs w:val="20"/>
    </w:rPr>
  </w:style>
  <w:style w:type="paragraph" w:styleId="Textodeglobo">
    <w:name w:val="Balloon Text"/>
    <w:basedOn w:val="Normal"/>
    <w:semiHidden/>
    <w:rsid w:val="005B190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581DF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81DF1"/>
  </w:style>
  <w:style w:type="character" w:styleId="Hipervnculo">
    <w:name w:val="Hyperlink"/>
    <w:rsid w:val="00CE66C7"/>
    <w:rPr>
      <w:color w:val="0000FF"/>
      <w:u w:val="single"/>
    </w:rPr>
  </w:style>
  <w:style w:type="character" w:styleId="textonavy1" w:customStyle="1">
    <w:name w:val="texto_navy1"/>
    <w:rsid w:val="00CE66C7"/>
    <w:rPr>
      <w:color w:val="000080"/>
    </w:rPr>
  </w:style>
  <w:style w:type="paragraph" w:styleId="Mapadeldocumento">
    <w:name w:val="Document Map"/>
    <w:basedOn w:val="Normal"/>
    <w:semiHidden/>
    <w:rsid w:val="00591A1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tulo1Car" w:customStyle="1">
    <w:name w:val="Título 1 Car"/>
    <w:link w:val="Ttulo1"/>
    <w:uiPriority w:val="9"/>
    <w:rsid w:val="00CE1DEE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E1DEE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character" w:styleId="TextonotapieCar" w:customStyle="1">
    <w:name w:val="Texto nota pie Car"/>
    <w:link w:val="Textonotapie"/>
    <w:uiPriority w:val="99"/>
    <w:semiHidden/>
    <w:rsid w:val="00CE1DEE"/>
    <w:rPr>
      <w:rFonts w:ascii="Comic Sans MS" w:hAnsi="Comic Sans MS"/>
      <w:sz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CE1DEE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rsid w:val="00CE1DEE"/>
    <w:rPr>
      <w:rFonts w:ascii="Arial" w:hAnsi="Arial"/>
      <w:lang w:eastAsia="es-ES"/>
    </w:rPr>
  </w:style>
  <w:style w:type="paragraph" w:styleId="Prrafodelista">
    <w:name w:val="List Paragraph"/>
    <w:aliases w:val="Segundo nivel de viñetas,titulo 3,Bullets,Chulito,Bullet List,FooterText,numbered,List Paragraph1,Paragraphe de liste1,lp1,Bulletr List Paragraph,Foot,列出段落,列出段落1,List Paragraph2,List Paragraph21,Parágrafo da Lista1,リスト段落1,Listeafsnit1"/>
    <w:basedOn w:val="Normal"/>
    <w:link w:val="PrrafodelistaCar"/>
    <w:uiPriority w:val="34"/>
    <w:qFormat/>
    <w:rsid w:val="00CE1DEE"/>
    <w:pPr>
      <w:ind w:left="708"/>
    </w:pPr>
    <w:rPr>
      <w:lang w:val="es-CO"/>
    </w:rPr>
  </w:style>
  <w:style w:type="paragraph" w:styleId="Bibliografa">
    <w:name w:val="Bibliography"/>
    <w:basedOn w:val="Normal"/>
    <w:next w:val="Normal"/>
    <w:uiPriority w:val="37"/>
    <w:semiHidden/>
    <w:unhideWhenUsed/>
    <w:rsid w:val="00CE1DEE"/>
    <w:rPr>
      <w:lang w:val="es-CO"/>
    </w:rPr>
  </w:style>
  <w:style w:type="paragraph" w:styleId="Default" w:customStyle="1">
    <w:name w:val="Default"/>
    <w:rsid w:val="00CE1DEE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es-CO" w:eastAsia="en-US"/>
    </w:rPr>
  </w:style>
  <w:style w:type="character" w:styleId="Refdecomentario">
    <w:name w:val="annotation reference"/>
    <w:uiPriority w:val="99"/>
    <w:unhideWhenUsed/>
    <w:rsid w:val="00CE1DEE"/>
    <w:rPr>
      <w:sz w:val="16"/>
      <w:szCs w:val="16"/>
    </w:rPr>
  </w:style>
  <w:style w:type="table" w:styleId="Sombreadoclaro-nfasis3">
    <w:name w:val="Light Shading Accent 3"/>
    <w:basedOn w:val="Tablanormal"/>
    <w:uiPriority w:val="60"/>
    <w:rsid w:val="00CE1DEE"/>
    <w:rPr>
      <w:rFonts w:ascii="Calibri" w:hAnsi="Calibri" w:eastAsia="Calibri"/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cabezado">
    <w:name w:val="header"/>
    <w:basedOn w:val="Normal"/>
    <w:link w:val="EncabezadoCar"/>
    <w:rsid w:val="00BF457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rsid w:val="00BF4577"/>
    <w:rPr>
      <w:rFonts w:ascii="Arial" w:hAnsi="Arial"/>
      <w:sz w:val="24"/>
      <w:szCs w:val="24"/>
      <w:lang w:val="es-ES" w:eastAsia="es-ES"/>
    </w:rPr>
  </w:style>
  <w:style w:type="character" w:styleId="PiedepginaCar" w:customStyle="1">
    <w:name w:val="Pie de página Car"/>
    <w:link w:val="Piedepgina"/>
    <w:uiPriority w:val="99"/>
    <w:rsid w:val="00BF4577"/>
    <w:rPr>
      <w:rFonts w:ascii="Arial" w:hAnsi="Arial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6F1697"/>
    <w:pPr>
      <w:jc w:val="both"/>
    </w:pPr>
    <w:rPr>
      <w:rFonts w:eastAsia="Calibri" w:cs="Arial"/>
    </w:rPr>
  </w:style>
  <w:style w:type="character" w:styleId="TextoindependienteCar" w:customStyle="1">
    <w:name w:val="Texto independiente Car"/>
    <w:link w:val="Textoindependiente"/>
    <w:rsid w:val="006F1697"/>
    <w:rPr>
      <w:rFonts w:ascii="Arial" w:hAnsi="Arial" w:eastAsia="Calibri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09D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rsid w:val="00B809D0"/>
    <w:rPr>
      <w:rFonts w:ascii="Arial" w:hAnsi="Arial"/>
      <w:b/>
      <w:bCs/>
      <w:lang w:eastAsia="es-ES"/>
    </w:rPr>
  </w:style>
  <w:style w:type="character" w:styleId="PrrafodelistaCar" w:customStyle="1">
    <w:name w:val="Párrafo de lista Car"/>
    <w:aliases w:val="Segundo nivel de viñetas Car,titulo 3 Car,Bullets Car,Chulito Car,Bullet List Car,FooterText Car,numbered Car,List Paragraph1 Car,Paragraphe de liste1 Car,lp1 Car,Bulletr List Paragraph Car,Foot Car,列出段落 Car,列出段落1 Car,リスト段落1 Car"/>
    <w:link w:val="Prrafodelista"/>
    <w:uiPriority w:val="34"/>
    <w:rsid w:val="0022062F"/>
    <w:rPr>
      <w:rFonts w:ascii="Arial" w:hAnsi="Arial"/>
      <w:sz w:val="24"/>
      <w:szCs w:val="24"/>
      <w:lang w:val="es-CO"/>
    </w:rPr>
  </w:style>
  <w:style w:type="paragraph" w:styleId="Revisin">
    <w:name w:val="Revision"/>
    <w:hidden/>
    <w:uiPriority w:val="99"/>
    <w:semiHidden/>
    <w:rsid w:val="00E0690B"/>
    <w:rPr>
      <w:rFonts w:ascii="Arial" w:hAnsi="Arial"/>
      <w:sz w:val="24"/>
      <w:szCs w:val="24"/>
    </w:rPr>
  </w:style>
  <w:style w:type="paragraph" w:styleId="Sinespaciado">
    <w:name w:val="No Spacing"/>
    <w:uiPriority w:val="1"/>
    <w:qFormat/>
    <w:rsid w:val="001521A5"/>
    <w:rPr>
      <w:rFonts w:ascii="Calibri" w:hAnsi="Calibri" w:eastAsiaTheme="minorHAnsi"/>
      <w:sz w:val="22"/>
      <w:szCs w:val="22"/>
      <w:lang w:val="es-CO" w:eastAsia="en-US"/>
    </w:rPr>
  </w:style>
  <w:style w:type="character" w:styleId="Mencionar">
    <w:name w:val="Mention"/>
    <w:basedOn w:val="Fuentedeprrafopredeter"/>
    <w:uiPriority w:val="99"/>
    <w:unhideWhenUsed/>
    <w:rsid w:val="00A47D73"/>
    <w:rPr>
      <w:color w:val="2B579A"/>
      <w:shd w:val="clear" w:color="auto" w:fill="E1DFDD"/>
    </w:rPr>
  </w:style>
  <w:style w:type="table" w:styleId="Tablaconcuadrcula">
    <w:name w:val="Table Grid"/>
    <w:basedOn w:val="Tablanormal"/>
    <w:uiPriority w:val="59"/>
    <w:rsid w:val="00EA4E2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i-provider" w:customStyle="1">
    <w:name w:val="ui-provider"/>
    <w:basedOn w:val="Fuentedeprrafopredeter"/>
    <w:rsid w:val="00A64A03"/>
  </w:style>
  <w:style w:type="character" w:styleId="Textoennegrita">
    <w:name w:val="Strong"/>
    <w:basedOn w:val="Fuentedeprrafopredeter"/>
    <w:uiPriority w:val="22"/>
    <w:qFormat/>
    <w:rsid w:val="00A64A03"/>
    <w:rPr>
      <w:b/>
      <w:bCs/>
    </w:rPr>
  </w:style>
  <w:style w:type="character" w:styleId="cf01" w:customStyle="1">
    <w:name w:val="cf01"/>
    <w:basedOn w:val="Fuentedeprrafopredeter"/>
    <w:rsid w:val="003B5DDC"/>
    <w:rPr>
      <w:rFonts w:hint="default" w:ascii="Segoe UI" w:hAnsi="Segoe UI" w:cs="Segoe UI"/>
      <w:sz w:val="18"/>
      <w:szCs w:val="18"/>
    </w:rPr>
  </w:style>
  <w:style w:type="character" w:styleId="cf11" w:customStyle="1">
    <w:name w:val="cf11"/>
    <w:basedOn w:val="Fuentedeprrafopredeter"/>
    <w:rsid w:val="003B5DDC"/>
    <w:rPr>
      <w:rFonts w:hint="default" w:ascii="Segoe UI" w:hAnsi="Segoe UI" w:cs="Segoe UI"/>
      <w:sz w:val="18"/>
      <w:szCs w:val="18"/>
    </w:rPr>
  </w:style>
  <w:style w:type="character" w:styleId="normaltextrun" w:customStyle="1">
    <w:name w:val="normaltextrun"/>
    <w:basedOn w:val="Fuentedeprrafopredeter"/>
    <w:rsid w:val="00B1632D"/>
  </w:style>
  <w:style w:type="paragraph" w:styleId="pf0" w:customStyle="1">
    <w:name w:val="pf0"/>
    <w:basedOn w:val="Normal"/>
    <w:rsid w:val="00107F9F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46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17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668">
      <w:bodyDiv w:val="1"/>
      <w:marLeft w:val="83"/>
      <w:marRight w:val="83"/>
      <w:marTop w:val="83"/>
      <w:marBottom w:val="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4676fb-2bbb-4e6d-b22b-3f04c63d0c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7144E7575DC41A3346BB83706D2D7" ma:contentTypeVersion="10" ma:contentTypeDescription="Crear nuevo documento." ma:contentTypeScope="" ma:versionID="c6f0e5632da2b7f6c4dfddcdc85cff90">
  <xsd:schema xmlns:xsd="http://www.w3.org/2001/XMLSchema" xmlns:xs="http://www.w3.org/2001/XMLSchema" xmlns:p="http://schemas.microsoft.com/office/2006/metadata/properties" xmlns:ns3="0f4676fb-2bbb-4e6d-b22b-3f04c63d0cab" xmlns:ns4="ea7edee5-fbf9-477d-bdb2-3edae515f4e2" targetNamespace="http://schemas.microsoft.com/office/2006/metadata/properties" ma:root="true" ma:fieldsID="b95ce9f851072f3cb3b614952278e515" ns3:_="" ns4:_="">
    <xsd:import namespace="0f4676fb-2bbb-4e6d-b22b-3f04c63d0cab"/>
    <xsd:import namespace="ea7edee5-fbf9-477d-bdb2-3edae515f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676fb-2bbb-4e6d-b22b-3f04c63d0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dee5-fbf9-477d-bdb2-3edae515f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Ley</b:Tag>
    <b:SourceType>InternetSite</b:SourceType>
    <b:Guid>{E39A6CDD-0793-4CE7-BC8A-EEC5D3C9DB82}</b:Guid>
    <b:Title>Ley 590 de 2000</b:Title>
    <b:URL>www.secretariasenado.gov.co/senado/basedoc/ley/2000/ley_0590_2000.html</b:URL>
    <b:RefOrder>1</b:RefOrder>
  </b:Source>
  <b:Source>
    <b:Tag>Ber04</b:Tag>
    <b:SourceType>Misc</b:SourceType>
    <b:Guid>{9C586ADB-4AF4-41B6-A29C-CECF0CA1F383}</b:Guid>
    <b:Author>
      <b:Author>
        <b:NameList>
          <b:Person>
            <b:Last>Barona</b:Last>
            <b:First>Bernardo</b:First>
          </b:Person>
        </b:NameList>
      </b:Author>
    </b:Author>
    <b:Title>Microcrédito en Colombia</b:Title>
    <b:Year>2004</b:Year>
    <b:Month>abril</b:Month>
    <b:Day>15</b:Day>
    <b:YearAccessed>2012</b:YearAccessed>
    <b:PublicationTitle>Reseña histórica y descripción de un programa de investigación internacional en el que participan dos universidades colombianas y sus resultados parciales.</b:PublicationTitle>
    <b:City>Cali</b:City>
    <b:CountryRegion>Colombia</b:CountryRegion>
    <b:RefOrder>2</b:RefOrder>
  </b:Source>
  <b:Source>
    <b:Tag>Arm05</b:Tag>
    <b:SourceType>DocumentFromInternetSite</b:SourceType>
    <b:Guid>{6F30B362-F4A0-4ED8-B395-01F3D160AB0F}</b:Guid>
    <b:Author>
      <b:Author>
        <b:NameList>
          <b:Person>
            <b:Last>Aghion</b:Last>
            <b:First>Armendariz</b:First>
            <b:Middle>de</b:Middle>
          </b:Person>
          <b:Person>
            <b:Last>Morduch</b:Last>
            <b:First>Beatriz</b:First>
          </b:Person>
          <b:Person>
            <b:Last>Morduch</b:Last>
            <b:First>Jonathan</b:First>
          </b:Person>
        </b:NameList>
      </b:Author>
    </b:Author>
    <b:Title>The Economics of Microfinance</b:Title>
    <b:InternetSiteTitle>MIT Press</b:InternetSiteTitle>
    <b:Year>2005</b:Year>
    <b:RefOrder>3</b:RefOrder>
  </b:Source>
  <b:Source>
    <b:Tag>Jon99</b:Tag>
    <b:SourceType>DocumentFromInternetSite</b:SourceType>
    <b:Guid>{A8DDE548-E286-4EF2-AFA6-1FB1C71E884E}</b:Guid>
    <b:Author>
      <b:Author>
        <b:NameList>
          <b:Person>
            <b:Last>Morduch</b:Last>
            <b:First>Jonathan</b:First>
          </b:Person>
        </b:NameList>
      </b:Author>
    </b:Author>
    <b:Title>The Microfinance Promise</b:Title>
    <b:InternetSiteTitle>Journal of Economic Literature 36</b:InternetSiteTitle>
    <b:Year>1999</b:Year>
    <b:RefOrder>4</b:RefOrder>
  </b:Source>
  <b:Source>
    <b:Tag>Pat04</b:Tag>
    <b:SourceType>DocumentFromInternetSite</b:SourceType>
    <b:Guid>{373A1DF7-1627-4C49-887F-AE3804BC3807}</b:Guid>
    <b:Author>
      <b:Author>
        <b:NameList>
          <b:Person>
            <b:Last>Honohan</b:Last>
            <b:First>Patrick</b:First>
          </b:Person>
        </b:NameList>
      </b:Author>
    </b:Author>
    <b:Title>Financial Development, Growth and Poverty: How Close are the Links?</b:Title>
    <b:InternetSiteTitle>World Bank Policy Research Working Paper 3203</b:InternetSiteTitle>
    <b:Year>2004</b:Year>
    <b:RefOrder>5</b:RefOrder>
  </b:Source>
  <b:Source>
    <b:Tag>MarcadorDePosición1</b:Tag>
    <b:SourceType>Misc</b:SourceType>
    <b:Guid>{FBE9B345-76E8-4C48-A159-283003960562}</b:Guid>
    <b:Author>
      <b:Author>
        <b:NameList>
          <b:Person>
            <b:Last>Karlan</b:Last>
            <b:First>Dean</b:First>
          </b:Person>
          <b:Person>
            <b:Last>Zinman</b:Last>
            <b:First>Jonathan</b:First>
          </b:Person>
        </b:NameList>
      </b:Author>
    </b:Author>
    <b:Title>Expanding Credit Access:Using Randomized Supply Decisions to Estimate the Impacts</b:Title>
    <b:Year>2007</b:Year>
    <b:Publisher>http://www.consumerserviceallianceoftexas.org/Yale%20and%20Dartmouth%20(Karlan%20Zinman)%202007.pdf</b:Publisher>
    <b:RefOrder>6</b:RefOrder>
  </b:Source>
  <b:Source>
    <b:Tag>Ban102</b:Tag>
    <b:SourceType>Report</b:SourceType>
    <b:Guid>{B1613A07-3520-4A46-9CA8-E5D232B359C3}</b:Guid>
    <b:Author>
      <b:Author>
        <b:Corporate>Banco de la República, FINAGRO y MADR</b:Corporate>
      </b:Author>
    </b:Author>
    <b:Title>Situación actual del microcrédito en Colombia: características y experiencias</b:Title>
    <b:Year>2010</b:Year>
    <b:City>Bogotá</b:City>
    <b:RefOrder>7</b:RefOrder>
  </b:Source>
  <b:Source>
    <b:Tag>Pon09</b:Tag>
    <b:SourceType>DocumentFromInternetSite</b:SourceType>
    <b:Guid>{7F12DDF5-8713-4302-9C10-8EF0BDA47299}</b:Guid>
    <b:Author>
      <b:Author>
        <b:Corporate>Pontificia Universidad Católica de Chile</b:Corporate>
      </b:Author>
    </b:Author>
    <b:Title>Las microfinazas como instrumento para la superación de la pobreza</b:Title>
    <b:Year>2009</b:Year>
    <b:URL>http://politicaspublicas.uc.cl/media/publicaciones/pdf/20100705173739.pdf</b:URL>
    <b:RefOrder>8</b:RefOrder>
  </b:Source>
  <b:Source>
    <b:Tag>Lou</b:Tag>
    <b:SourceType>Misc</b:SourceType>
    <b:Guid>{57DECD84-9DB5-413C-9EAE-6F002F100329}</b:Guid>
    <b:Author>
      <b:Author>
        <b:NameList>
          <b:Person>
            <b:Last>Loubière</b:Last>
            <b:First>Jacques</b:First>
            <b:Middle>Trigo</b:Middle>
          </b:Person>
          <b:Person>
            <b:Last>Lee Devaney</b:Last>
            <b:First>Patricia</b:First>
          </b:Person>
          <b:Person>
            <b:Last>Rhyne</b:Last>
            <b:First>Elisabeth</b:First>
          </b:Person>
        </b:NameList>
      </b:Author>
    </b:Author>
    <b:Title>Supervisión y Regulación de las Microfinanzas en el Contexto de la Liberalización del Sector Financiero</b:Title>
    <b:PublicationTitle>Las Experiencias de Bolivia, Colombia y México</b:PublicationTitle>
    <b:Year>2004</b:Year>
    <b:Month>Agosto</b:Month>
    <b:RefOrder>9</b:RefOrder>
  </b:Source>
  <b:Source>
    <b:Tag>Ban124</b:Tag>
    <b:SourceType>DocumentFromInternetSite</b:SourceType>
    <b:Guid>{9F283C11-B47A-44C4-8887-334C1360FED2}</b:Guid>
    <b:Author>
      <b:Author>
        <b:Corporate>Banco de la República</b:Corporate>
      </b:Author>
    </b:Author>
    <b:Title>Agregados monetarios y crediticios</b:Title>
    <b:Year>2012 </b:Year>
    <b:Month>julio</b:Month>
    <b:Day>20</b:Day>
    <b:URL>http://www.banrep.gov.co/publicaciones/index.html</b:URL>
    <b:RefOrder>10</b:RefOrder>
  </b:Source>
  <b:Source>
    <b:Tag>Aso12</b:Tag>
    <b:SourceType>DocumentFromInternetSite</b:SourceType>
    <b:Guid>{351128AF-C4A1-48BB-8819-0750218184E4}</b:Guid>
    <b:Author>
      <b:Author>
        <b:Corporate>Asobancaria</b:Corporate>
      </b:Author>
    </b:Author>
    <b:Title>Informe de Inclusión Financiera</b:Title>
    <b:Year>2012</b:Year>
    <b:Month>Julio</b:Month>
    <b:YearAccessed>2012</b:YearAccessed>
    <b:MonthAccessed>08</b:MonthAccessed>
    <b:DayAccessed>02</b:DayAccessed>
    <b:URL>http://www.asobancaria.com/portal/pls/portal/docs/1/2816047.PDF</b:URL>
    <b:RefOrder>11</b:RefOrder>
  </b:Source>
  <b:Source>
    <b:Tag>Aná08</b:Tag>
    <b:SourceType>DocumentFromInternetSite</b:SourceType>
    <b:Guid>{0114068E-240E-4061-B7C9-7D548FEDA5FD}</b:Guid>
    <b:Title>Análisis de la experiencia de los fondos de microcrédito como aporte al fortalecimiento de las microfinanzas rurales.</b:Title>
    <b:Year>2008</b:Year>
    <b:Month>Diciembre</b:Month>
    <b:YearAccessed>2012</b:YearAccessed>
    <b:MonthAccessed>08</b:MonthAccessed>
    <b:DayAccessed>3</b:DayAccessed>
    <b:URL>http://www.minagricultura.gov.co/archivos/analisis_de_la_experiencia_de_fondos_de_microcredito_rural_como_aporte_a_las_microfinanzas_rurales.pdf</b:URL>
    <b:Author>
      <b:Author>
        <b:Corporate>MADR</b:Corporate>
      </b:Author>
    </b:Author>
    <b:RefOrder>12</b:RefOrder>
  </b:Source>
  <b:Source>
    <b:Tag>FIN07</b:Tag>
    <b:SourceType>DocumentFromInternetSite</b:SourceType>
    <b:Guid>{B42301F0-77CB-42D8-94B5-F774E498C4F3}</b:Guid>
    <b:Author>
      <b:Author>
        <b:Corporate>FINAGRO</b:Corporate>
      </b:Author>
    </b:Author>
    <b:Title>Notas a los Estados Financieros</b:Title>
    <b:Year>2008</b:Year>
    <b:RefOrder>13</b:RefOrder>
  </b:Source>
  <b:Source>
    <b:Tag>Aso11</b:Tag>
    <b:SourceType>DocumentFromInternetSite</b:SourceType>
    <b:Guid>{8C8C37E2-5736-4C5E-9D50-F5969F00BEFF}</b:Guid>
    <b:Author>
      <b:Author>
        <b:Corporate>Asobancaria</b:Corporate>
      </b:Author>
    </b:Author>
    <b:Title>Informe de Inclusión Financiera: Colombia 2011</b:Title>
    <b:Year>2011</b:Year>
    <b:URL>http://www.asobancaria.com/portal/pls/portal/docs/1/2680051.PDF</b:URL>
    <b:RefOrder>14</b:RefOrder>
  </b:Source>
  <b:Source>
    <b:Tag>Aso</b:Tag>
    <b:SourceType>DocumentFromInternetSite</b:SourceType>
    <b:Guid>{88BAC57A-A309-4DFB-8963-0AE8D368756A}</b:Guid>
    <b:Author>
      <b:Author>
        <b:Corporate>Asobancaria</b:Corporate>
      </b:Author>
    </b:Author>
    <b:Title>Microcrédito: un modelo de negocio especializado con un futuro necesario y promisorio</b:Title>
    <b:Year>2011</b:Year>
    <b:Month>Septiembre </b:Month>
    <b:Day>19</b:Day>
    <b:URL>http://www.asobancaria.com/portal/pls/portal/docs/1/1696047.PDF</b:URL>
    <b:RefOrder>15</b:RefOrder>
  </b:Source>
  <b:Source>
    <b:Tag>Sup12</b:Tag>
    <b:SourceType>DocumentFromInternetSite</b:SourceType>
    <b:Guid>{CF97A5CE-58B5-4CBD-B14F-88F542D4A3A5}</b:Guid>
    <b:LCID>es-CO</b:LCID>
    <b:Author>
      <b:Author>
        <b:Corporate>Superintendencia Financiera</b:Corporate>
      </b:Author>
    </b:Author>
    <b:Title>Informe semana. Tasas y Desembolsos por Modalidad de crédito del 20 al 24 de agosto </b:Title>
    <b:Year>2012</b:Year>
    <b:Month>Agosto</b:Month>
    <b:Day>24</b:Day>
    <b:URL>http://www.superfinanciera.gov.co</b:URL>
    <b:RefOrder>16</b:RefOrder>
  </b:Source>
  <b:Source>
    <b:Tag>Eco11</b:Tag>
    <b:SourceType>DocumentFromInternetSite</b:SourceType>
    <b:Guid>{149552DD-A04C-4B14-9D38-CC1016C88EBF}</b:Guid>
    <b:Author>
      <b:Author>
        <b:Corporate>Economist Intelligence Unit Limited </b:Corporate>
      </b:Author>
    </b:Author>
    <b:Title>Microscopio global sobre el entorno de negocios para las microfinanzas 2011</b:Title>
    <b:Year>2011</b:Year>
    <b:YearAccessed>2012</b:YearAccessed>
    <b:MonthAccessed>08</b:MonthAccessed>
    <b:DayAccessed>6</b:DayAccessed>
    <b:URL>http://idbdocs.iadb.org/wsdocs/getDocument.aspx?DOCNUM=36453559.</b:URL>
    <b:RefOrder>17</b:RefOrder>
  </b:Source>
  <b:Source>
    <b:Tag>Pao11</b:Tag>
    <b:SourceType>Misc</b:SourceType>
    <b:Guid>{9300BFE5-4D3F-4A12-BDC5-81D5A1375BD1}</b:Guid>
    <b:Author>
      <b:Author>
        <b:NameList>
          <b:Person>
            <b:Last>Pedroza</b:Last>
            <b:First>Paola</b:First>
            <b:Middle>A.</b:Middle>
          </b:Person>
        </b:NameList>
      </b:Author>
    </b:Author>
    <b:Title>Microfinanzas en América Latina y el Caribe: El sector en cifras 2011</b:Title>
    <b:PublicationTitle>FOMIN</b:PublicationTitle>
    <b:Year>2011</b:Year>
    <b:Month>Octubre</b:Month>
    <b:CountryRegion>Washington</b:CountryRegion>
    <b:RefOrder>18</b:RefOrder>
  </b:Source>
  <b:Source>
    <b:Tag>Min08</b:Tag>
    <b:SourceType>Misc</b:SourceType>
    <b:Guid>{E3549861-4870-4EE0-AA11-C95D72AFED7D}</b:Guid>
    <b:Author>
      <b:Author>
        <b:Corporate>Ministerio de Hacienda y Crédito Público</b:Corporate>
      </b:Author>
    </b:Author>
    <b:Title>Decreto 919 </b:Title>
    <b:Year>2008</b:Year>
    <b:Month>03</b:Month>
    <b:Day>31</b:Day>
    <b:RefOrder>19</b:RefOrder>
  </b:Source>
  <b:Source>
    <b:Tag>Con07</b:Tag>
    <b:SourceType>Misc</b:SourceType>
    <b:Guid>{A17FAB94-157F-48A2-84E6-942BF70D7E9C}</b:Guid>
    <b:Author>
      <b:Author>
        <b:Corporate>Consejo Superior de Microempresa</b:Corporate>
      </b:Author>
    </b:Author>
    <b:Title>Resolución 01</b:Title>
    <b:PublicationTitle>Por el cual se fijan las tarifas máximas a cobrar por conecpto de honorarios y comisiones en los créditos a microempresarios</b:PublicationTitle>
    <b:Year>2007</b:Year>
    <b:Publisher>http://www.bancadelasoportunidades.gov.co/documentos/Documentaci%C3%B3n/Resoluci%C3%B3n%2001%20de%202007%20-%20Comisiones.pdf</b:Publisher>
    <b:RefOrder>20</b:RefOrder>
  </b:Source>
</b:Sources>
</file>

<file path=customXml/itemProps1.xml><?xml version="1.0" encoding="utf-8"?>
<ds:datastoreItem xmlns:ds="http://schemas.openxmlformats.org/officeDocument/2006/customXml" ds:itemID="{16E2D806-222B-483D-8F2A-CB88ED29D08F}">
  <ds:schemaRefs>
    <ds:schemaRef ds:uri="http://schemas.microsoft.com/office/2006/metadata/properties"/>
    <ds:schemaRef ds:uri="http://schemas.microsoft.com/office/infopath/2007/PartnerControls"/>
    <ds:schemaRef ds:uri="0f4676fb-2bbb-4e6d-b22b-3f04c63d0cab"/>
  </ds:schemaRefs>
</ds:datastoreItem>
</file>

<file path=customXml/itemProps2.xml><?xml version="1.0" encoding="utf-8"?>
<ds:datastoreItem xmlns:ds="http://schemas.openxmlformats.org/officeDocument/2006/customXml" ds:itemID="{7F33140C-61D9-4516-B04F-84428058A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9D85F-AF92-4BFF-8B79-B4B0614A4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676fb-2bbb-4e6d-b22b-3f04c63d0cab"/>
    <ds:schemaRef ds:uri="ea7edee5-fbf9-477d-bdb2-3edae515f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8F985-B060-4020-A396-AD0629C326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finagro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REPUBLICA DE COLOMBIA</dc:title>
  <dc:subject/>
  <dc:creator>iflorez</dc:creator>
  <keywords/>
  <lastModifiedBy>Nancy Esperanza Montaña Molina</lastModifiedBy>
  <revision>16</revision>
  <lastPrinted>2010-03-26T15:13:00.0000000Z</lastPrinted>
  <dcterms:created xsi:type="dcterms:W3CDTF">2023-07-28T20:29:00.0000000Z</dcterms:created>
  <dcterms:modified xsi:type="dcterms:W3CDTF">2023-08-09T20:46:18.7588721Z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0x0101002F07144E7575DC41A3346BB83706D2D7</vt:lpwstr>
  </property>
</Properties>
</file>