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C02" w:rsidRPr="00DF798F" w:rsidRDefault="00AA3C02" w:rsidP="00DF798F">
      <w:pPr>
        <w:jc w:val="center"/>
        <w:rPr>
          <w:rFonts w:ascii="Arial" w:hAnsi="Arial" w:cs="Arial"/>
          <w:b/>
        </w:rPr>
      </w:pPr>
      <w:r w:rsidRPr="00DF798F">
        <w:rPr>
          <w:rFonts w:ascii="Arial" w:hAnsi="Arial" w:cs="Arial"/>
          <w:b/>
        </w:rPr>
        <w:t>REPUBLICA DE COLOMBIA</w:t>
      </w:r>
    </w:p>
    <w:p w:rsidR="00AA3C02" w:rsidRPr="00DF798F" w:rsidRDefault="00AA3C02" w:rsidP="00DF798F">
      <w:pPr>
        <w:jc w:val="center"/>
        <w:rPr>
          <w:rFonts w:ascii="Arial" w:hAnsi="Arial" w:cs="Arial"/>
          <w:b/>
        </w:rPr>
      </w:pPr>
    </w:p>
    <w:p w:rsidR="00AA3C02" w:rsidRPr="00DF798F" w:rsidRDefault="00AA3C02" w:rsidP="00DF798F">
      <w:pPr>
        <w:jc w:val="center"/>
        <w:rPr>
          <w:rFonts w:ascii="Arial" w:hAnsi="Arial" w:cs="Arial"/>
          <w:b/>
        </w:rPr>
      </w:pPr>
      <w:r w:rsidRPr="00DF798F">
        <w:rPr>
          <w:rFonts w:ascii="Arial" w:hAnsi="Arial" w:cs="Arial"/>
          <w:b/>
        </w:rPr>
        <w:t>COMISION NACIONAL DE CREDITO AGROPECUARIO</w:t>
      </w:r>
    </w:p>
    <w:p w:rsidR="00AA3C02" w:rsidRPr="00DF798F" w:rsidRDefault="00AA3C02" w:rsidP="00DF798F">
      <w:pPr>
        <w:jc w:val="center"/>
        <w:rPr>
          <w:rFonts w:ascii="Arial" w:hAnsi="Arial" w:cs="Arial"/>
          <w:b/>
        </w:rPr>
      </w:pPr>
    </w:p>
    <w:p w:rsidR="00AA3C02" w:rsidRPr="00DF798F" w:rsidRDefault="00AA3C02" w:rsidP="00DF798F">
      <w:pPr>
        <w:jc w:val="center"/>
        <w:rPr>
          <w:rFonts w:ascii="Arial" w:hAnsi="Arial" w:cs="Arial"/>
          <w:b/>
        </w:rPr>
      </w:pPr>
      <w:r w:rsidRPr="00DF798F">
        <w:rPr>
          <w:rFonts w:ascii="Arial" w:hAnsi="Arial" w:cs="Arial"/>
          <w:b/>
        </w:rPr>
        <w:t>RESOLUCIÓN N°</w:t>
      </w:r>
      <w:r w:rsidR="00DF798F">
        <w:rPr>
          <w:rFonts w:ascii="Arial" w:hAnsi="Arial" w:cs="Arial"/>
          <w:b/>
        </w:rPr>
        <w:t xml:space="preserve">  ___</w:t>
      </w:r>
    </w:p>
    <w:p w:rsidR="00AA3C02" w:rsidRPr="00DF798F" w:rsidRDefault="00AA3C02" w:rsidP="00AA3C02">
      <w:pPr>
        <w:jc w:val="both"/>
        <w:rPr>
          <w:rFonts w:ascii="Arial" w:hAnsi="Arial" w:cs="Arial"/>
          <w:b/>
        </w:rPr>
      </w:pPr>
    </w:p>
    <w:p w:rsidR="00AA3C02" w:rsidRPr="00DF798F" w:rsidRDefault="00AA3C02" w:rsidP="00DF798F">
      <w:pPr>
        <w:jc w:val="center"/>
        <w:rPr>
          <w:rFonts w:ascii="Arial" w:hAnsi="Arial" w:cs="Arial"/>
        </w:rPr>
      </w:pPr>
      <w:r w:rsidRPr="00DF798F">
        <w:rPr>
          <w:rFonts w:ascii="Arial" w:hAnsi="Arial" w:cs="Arial"/>
        </w:rPr>
        <w:t>“Por medio de la cual se define un nuevo beneficiario de crédito, sus condiciones financieras y se adoptan otras disposiciones”</w:t>
      </w:r>
    </w:p>
    <w:p w:rsidR="00AA3C02" w:rsidRPr="00DF798F" w:rsidRDefault="00AA3C02" w:rsidP="00DF798F">
      <w:pPr>
        <w:jc w:val="center"/>
        <w:rPr>
          <w:rFonts w:ascii="Arial" w:hAnsi="Arial" w:cs="Arial"/>
        </w:rPr>
      </w:pPr>
    </w:p>
    <w:p w:rsidR="00AA3C02" w:rsidRPr="00DF798F" w:rsidRDefault="00AA3C02" w:rsidP="00DF798F">
      <w:pPr>
        <w:jc w:val="center"/>
        <w:rPr>
          <w:rFonts w:ascii="Arial" w:hAnsi="Arial" w:cs="Arial"/>
        </w:rPr>
      </w:pPr>
      <w:r w:rsidRPr="00DF798F">
        <w:rPr>
          <w:rFonts w:ascii="Arial" w:hAnsi="Arial" w:cs="Arial"/>
        </w:rPr>
        <w:t>En ejercicio de las facultades conferidas en las Leyes 16 de 1990, 101 de 1993, 731 de 2002, 811 de 2003, 1731 de 2014 y los Decretos 1313 de 1990 y 2371 de 2015, y</w:t>
      </w:r>
    </w:p>
    <w:p w:rsidR="00AA3C02" w:rsidRPr="00DF798F" w:rsidRDefault="00AA3C02" w:rsidP="00AA3C02">
      <w:pPr>
        <w:jc w:val="both"/>
        <w:rPr>
          <w:rFonts w:ascii="Arial" w:hAnsi="Arial" w:cs="Arial"/>
        </w:rPr>
      </w:pPr>
    </w:p>
    <w:p w:rsidR="00AA3C02" w:rsidRPr="00DF798F" w:rsidRDefault="00AA3C02" w:rsidP="00AA3C02">
      <w:pPr>
        <w:jc w:val="center"/>
        <w:rPr>
          <w:rFonts w:ascii="Arial" w:hAnsi="Arial" w:cs="Arial"/>
          <w:b/>
        </w:rPr>
      </w:pPr>
      <w:r w:rsidRPr="00DF798F">
        <w:rPr>
          <w:rFonts w:ascii="Arial" w:hAnsi="Arial" w:cs="Arial"/>
          <w:b/>
        </w:rPr>
        <w:t>CONSIDERANDO</w:t>
      </w:r>
    </w:p>
    <w:p w:rsidR="00AA3C02" w:rsidRPr="00DF798F" w:rsidRDefault="00AA3C02" w:rsidP="00AA3C02">
      <w:pPr>
        <w:jc w:val="center"/>
        <w:rPr>
          <w:rFonts w:ascii="Arial" w:hAnsi="Arial" w:cs="Arial"/>
          <w:b/>
        </w:rPr>
      </w:pPr>
    </w:p>
    <w:p w:rsidR="00AA3C02" w:rsidRPr="00DF798F" w:rsidRDefault="00545DBA" w:rsidP="00AA3C02">
      <w:pPr>
        <w:jc w:val="both"/>
        <w:rPr>
          <w:rFonts w:ascii="Arial" w:hAnsi="Arial" w:cs="Arial"/>
        </w:rPr>
      </w:pPr>
      <w:r w:rsidRPr="00DF798F">
        <w:rPr>
          <w:rFonts w:ascii="Arial" w:hAnsi="Arial" w:cs="Arial"/>
        </w:rPr>
        <w:t>Que de acuerdo con lo dispuesto en el segundo inciso del artículo 2</w:t>
      </w:r>
      <w:r w:rsidR="00514683" w:rsidRPr="00DF798F">
        <w:rPr>
          <w:rFonts w:ascii="Arial" w:hAnsi="Arial" w:cs="Arial"/>
        </w:rPr>
        <w:t>°</w:t>
      </w:r>
      <w:r w:rsidRPr="00DF798F">
        <w:rPr>
          <w:rFonts w:ascii="Arial" w:hAnsi="Arial" w:cs="Arial"/>
        </w:rPr>
        <w:t xml:space="preserve"> de la Ley 16 de 1990, el crédito de fomento se destinará primordialmente para impulsar la producción en sus distintas fases, capitalizar el sector agropecuario, incrementar el empleo, estimular la transferencia de tecnología, contribuir a la seguridad alimentaria de la población urbana y rural, promover la distribución del ingreso, fortalecer el sector externo de la economía y mejorar las condiciones sociales y económicas del sector rural del país.</w:t>
      </w:r>
    </w:p>
    <w:p w:rsidR="00545DBA" w:rsidRPr="00DF798F" w:rsidRDefault="00545DBA" w:rsidP="00AA3C02">
      <w:pPr>
        <w:jc w:val="both"/>
        <w:rPr>
          <w:rFonts w:ascii="Arial" w:hAnsi="Arial" w:cs="Arial"/>
        </w:rPr>
      </w:pPr>
      <w:r w:rsidRPr="00DF798F">
        <w:rPr>
          <w:rFonts w:ascii="Arial" w:hAnsi="Arial" w:cs="Arial"/>
        </w:rPr>
        <w:t>Que de conformidad con el artículo 8</w:t>
      </w:r>
      <w:r w:rsidR="00514683" w:rsidRPr="00DF798F">
        <w:rPr>
          <w:rFonts w:ascii="Arial" w:hAnsi="Arial" w:cs="Arial"/>
        </w:rPr>
        <w:t>°</w:t>
      </w:r>
      <w:r w:rsidRPr="00DF798F">
        <w:rPr>
          <w:rFonts w:ascii="Arial" w:hAnsi="Arial" w:cs="Arial"/>
        </w:rPr>
        <w:t xml:space="preserve"> de la Ley 16 de 1990, modificado por el artículo 133 de la Ley 811 de 2003, el objetivo de FINAGRO es la financiación de actividades rurales y de producción en sus distintas fases y comercialización del sector agropecuario. Que de acuerdo con lo dispuesto en la Ley 16 de 1990 y los Decretos 1313 de 1990 y 2371 de 2015, este último expedido bajo los lineamientos del literal e) del artículo </w:t>
      </w:r>
      <w:r w:rsidR="00514683" w:rsidRPr="00DF798F">
        <w:rPr>
          <w:rFonts w:ascii="Arial" w:hAnsi="Arial" w:cs="Arial"/>
        </w:rPr>
        <w:t>10</w:t>
      </w:r>
      <w:r w:rsidRPr="00DF798F">
        <w:rPr>
          <w:rFonts w:ascii="Arial" w:hAnsi="Arial" w:cs="Arial"/>
        </w:rPr>
        <w:t>7</w:t>
      </w:r>
      <w:r w:rsidR="00514683" w:rsidRPr="00DF798F">
        <w:rPr>
          <w:rFonts w:ascii="Arial" w:hAnsi="Arial" w:cs="Arial"/>
        </w:rPr>
        <w:t>°</w:t>
      </w:r>
      <w:r w:rsidRPr="00DF798F">
        <w:rPr>
          <w:rFonts w:ascii="Arial" w:hAnsi="Arial" w:cs="Arial"/>
        </w:rPr>
        <w:t xml:space="preserve"> de la Ley 1753 de 2015 con el cual se concedieron facultades extraordinarias al presidente de la República para crear, reasignar, modificar y distribuir competencias, funciones u objetivos a la Comisión Nacional de Crédito Agropecuario y al Fondo para el Financiamiento del Sector Agropecuario (FINAGRO) para diseñar e implementar políticas de financiamiento, de gestión de riegos agropecuarios y microfinanzas rurales, respetando en todo caso el esquema de inversión forzosa, la Comisión Nacional de Crédito Agropecuario es el organismo rector del financiamiento del sector agropecuario y dentro de sus funciones esta entre otros asuntos, los siguientes:</w:t>
      </w:r>
    </w:p>
    <w:p w:rsidR="009709C4" w:rsidRPr="00DF798F" w:rsidRDefault="009709C4" w:rsidP="00AA3C02">
      <w:pPr>
        <w:jc w:val="both"/>
        <w:rPr>
          <w:rFonts w:ascii="Arial" w:hAnsi="Arial" w:cs="Arial"/>
        </w:rPr>
      </w:pPr>
      <w:r w:rsidRPr="00DF798F">
        <w:rPr>
          <w:rFonts w:ascii="Arial" w:hAnsi="Arial" w:cs="Arial"/>
        </w:rPr>
        <w:t xml:space="preserve">b. Establecer las actividades, los costos y los porcentajes estos últimos que podrán ser objeto financiación por de entidades que integran el Sistema Nacional Crédito Agropecuario. </w:t>
      </w:r>
    </w:p>
    <w:p w:rsidR="00AA3C02" w:rsidRPr="00DF798F" w:rsidRDefault="009709C4" w:rsidP="00AA3C02">
      <w:pPr>
        <w:jc w:val="both"/>
        <w:rPr>
          <w:rFonts w:ascii="Arial" w:hAnsi="Arial" w:cs="Arial"/>
        </w:rPr>
      </w:pPr>
      <w:r w:rsidRPr="00DF798F">
        <w:rPr>
          <w:rFonts w:ascii="Arial" w:hAnsi="Arial" w:cs="Arial"/>
        </w:rPr>
        <w:lastRenderedPageBreak/>
        <w:t>c. dentro de los límites carácter general que señale la Junta Directiva del Banco la República, políticas sobre las tasas de interés se cobrarán a los usuarios crédito parte de las entidades que integran el Sistema Nacional de Crédito Agropecuario.</w:t>
      </w:r>
    </w:p>
    <w:p w:rsidR="00AA3C02" w:rsidRPr="00DF798F" w:rsidRDefault="009709C4" w:rsidP="00AA3C02">
      <w:pPr>
        <w:jc w:val="both"/>
        <w:rPr>
          <w:rFonts w:ascii="Arial" w:hAnsi="Arial" w:cs="Arial"/>
        </w:rPr>
      </w:pPr>
      <w:r w:rsidRPr="00DF798F">
        <w:rPr>
          <w:rFonts w:ascii="Arial" w:hAnsi="Arial" w:cs="Arial"/>
        </w:rPr>
        <w:t>f. Fijar las tasas y márgenes de redescuento de las operaciones que apruebe FINAGRO</w:t>
      </w:r>
    </w:p>
    <w:p w:rsidR="009709C4" w:rsidRPr="00DF798F" w:rsidRDefault="009709C4" w:rsidP="00AA3C02">
      <w:pPr>
        <w:jc w:val="both"/>
        <w:rPr>
          <w:rFonts w:ascii="Arial" w:hAnsi="Arial" w:cs="Arial"/>
        </w:rPr>
      </w:pPr>
      <w:r w:rsidRPr="00DF798F">
        <w:rPr>
          <w:rFonts w:ascii="Arial" w:hAnsi="Arial" w:cs="Arial"/>
        </w:rPr>
        <w:t>l. Determinar anualmente Plan Indicativo de Crédito Agropecuario y Rural;</w:t>
      </w:r>
    </w:p>
    <w:p w:rsidR="00514683" w:rsidRPr="00DF798F" w:rsidRDefault="00514683" w:rsidP="00514683">
      <w:pPr>
        <w:jc w:val="both"/>
        <w:rPr>
          <w:rFonts w:ascii="Arial" w:hAnsi="Arial" w:cs="Arial"/>
        </w:rPr>
      </w:pPr>
      <w:r w:rsidRPr="00DF798F">
        <w:rPr>
          <w:rFonts w:ascii="Arial" w:hAnsi="Arial" w:cs="Arial"/>
        </w:rPr>
        <w:t>Que el artículo 221 del Estatuto Orgánico del Sistema Financiero señala que los beneficiarios del crédito que se otorgue a través del sistema nacional de crédito agropecuario, serán las personas naturales o jurídicas que desarrollen actividades de producción y comercialización de bienes originados directamente o en forma conexa o complementaria, se otorgará para la financiación de capital de trabajo, la inversión nueva o los ensanches requeridos por estas actividades. El crédito buscará entre otras cosas mejorar las condiciones sociales y económicas del sector rural del país.</w:t>
      </w:r>
    </w:p>
    <w:p w:rsidR="00514683" w:rsidRPr="00DF798F" w:rsidRDefault="00514683" w:rsidP="00514683">
      <w:pPr>
        <w:jc w:val="both"/>
        <w:rPr>
          <w:rFonts w:ascii="Arial" w:hAnsi="Arial" w:cs="Arial"/>
          <w:b/>
        </w:rPr>
      </w:pPr>
      <w:r w:rsidRPr="00DF798F">
        <w:rPr>
          <w:rFonts w:ascii="Arial" w:hAnsi="Arial" w:cs="Arial"/>
        </w:rPr>
        <w:t>Que el artículo 4° de la Resolución N° 1 de 2016, la Comisión Nacional de Crédito Agropecuario define a los beneficiarios del crédito como aquellas personas que pueden acceder al financiamiento de las actividades agropecuarias y rurales.</w:t>
      </w:r>
    </w:p>
    <w:p w:rsidR="00514683" w:rsidRPr="00DF798F" w:rsidRDefault="00514683" w:rsidP="00514683">
      <w:pPr>
        <w:jc w:val="both"/>
        <w:rPr>
          <w:rFonts w:ascii="Arial" w:hAnsi="Arial" w:cs="Arial"/>
          <w:b/>
        </w:rPr>
      </w:pPr>
      <w:r w:rsidRPr="00DF798F">
        <w:rPr>
          <w:rFonts w:ascii="Arial" w:hAnsi="Arial" w:cs="Arial"/>
        </w:rPr>
        <w:t>Que el artículo 3° de la Ley 1731 de 2014 establece: "... es responsabilidad de las entidades que otorguen los créditos, la evaluación del riesgo crediticio y el cumplimiento de los requisitos previstos en la normatividad que resulte aplicable, en especial las emitidas por la Comisión Nacional de Crédito Agropecuario..."</w:t>
      </w:r>
    </w:p>
    <w:p w:rsidR="00AA3C02" w:rsidRPr="00DF798F" w:rsidRDefault="00DF798F" w:rsidP="00DF798F">
      <w:pPr>
        <w:jc w:val="both"/>
        <w:rPr>
          <w:rFonts w:ascii="Arial" w:hAnsi="Arial" w:cs="Arial"/>
        </w:rPr>
      </w:pPr>
      <w:r w:rsidRPr="00DF798F">
        <w:rPr>
          <w:rFonts w:ascii="Arial" w:hAnsi="Arial" w:cs="Arial"/>
        </w:rPr>
        <w:t xml:space="preserve">Que el Secretario Técnico de la Comisión Nacional de Crédito Agropecuario, presentó ante sus miembros, la Justificación Técnica y Jurídica de la presente Resolución, la cual fue discutida en la reunión llevada a cabo el </w:t>
      </w:r>
      <w:r w:rsidR="000D772D">
        <w:rPr>
          <w:rFonts w:ascii="Arial" w:hAnsi="Arial" w:cs="Arial"/>
        </w:rPr>
        <w:t>treinta y uno (31</w:t>
      </w:r>
      <w:r w:rsidRPr="00B07E92">
        <w:rPr>
          <w:rFonts w:ascii="Arial" w:hAnsi="Arial" w:cs="Arial"/>
        </w:rPr>
        <w:t xml:space="preserve">) de </w:t>
      </w:r>
      <w:r w:rsidR="000D772D">
        <w:rPr>
          <w:rFonts w:ascii="Arial" w:hAnsi="Arial" w:cs="Arial"/>
        </w:rPr>
        <w:t>julio</w:t>
      </w:r>
      <w:r w:rsidRPr="00B07E92">
        <w:rPr>
          <w:rFonts w:ascii="Arial" w:hAnsi="Arial" w:cs="Arial"/>
        </w:rPr>
        <w:t xml:space="preserve"> de dos mil diez y siete (2017).</w:t>
      </w:r>
    </w:p>
    <w:p w:rsidR="00DF798F" w:rsidRPr="00DF798F" w:rsidRDefault="00DF798F" w:rsidP="00DF798F">
      <w:pPr>
        <w:jc w:val="both"/>
        <w:rPr>
          <w:rFonts w:ascii="Arial" w:hAnsi="Arial" w:cs="Arial"/>
        </w:rPr>
      </w:pPr>
    </w:p>
    <w:p w:rsidR="00DF798F" w:rsidRPr="00DF798F" w:rsidRDefault="00DF798F" w:rsidP="00DF798F">
      <w:pPr>
        <w:jc w:val="center"/>
        <w:rPr>
          <w:rFonts w:ascii="Arial" w:hAnsi="Arial" w:cs="Arial"/>
          <w:b/>
        </w:rPr>
      </w:pPr>
      <w:r w:rsidRPr="00DF798F">
        <w:rPr>
          <w:rFonts w:ascii="Arial" w:hAnsi="Arial" w:cs="Arial"/>
          <w:b/>
        </w:rPr>
        <w:t>RESUELVE</w:t>
      </w:r>
    </w:p>
    <w:p w:rsidR="00DF798F" w:rsidRPr="00DF798F" w:rsidRDefault="00DF798F">
      <w:pPr>
        <w:rPr>
          <w:rFonts w:ascii="Arial" w:hAnsi="Arial" w:cs="Arial"/>
          <w:b/>
        </w:rPr>
      </w:pPr>
    </w:p>
    <w:p w:rsidR="00457215" w:rsidRPr="00DF798F" w:rsidRDefault="00C0706D">
      <w:pPr>
        <w:rPr>
          <w:rFonts w:ascii="Arial" w:hAnsi="Arial" w:cs="Arial"/>
        </w:rPr>
      </w:pPr>
      <w:r w:rsidRPr="00DF798F">
        <w:rPr>
          <w:rFonts w:ascii="Arial" w:hAnsi="Arial" w:cs="Arial"/>
          <w:b/>
        </w:rPr>
        <w:t xml:space="preserve">Artículo 1. </w:t>
      </w:r>
      <w:r w:rsidRPr="00DF798F">
        <w:rPr>
          <w:rFonts w:ascii="Arial" w:hAnsi="Arial" w:cs="Arial"/>
        </w:rPr>
        <w:t xml:space="preserve">Adiciónese el siguiente literal al artículo 4 de la Resolución 1 de 2016: </w:t>
      </w:r>
    </w:p>
    <w:p w:rsidR="004B2409" w:rsidRDefault="00C0706D" w:rsidP="004B2409">
      <w:pPr>
        <w:jc w:val="both"/>
        <w:rPr>
          <w:rFonts w:ascii="Arial" w:hAnsi="Arial" w:cs="Arial"/>
        </w:rPr>
      </w:pPr>
      <w:r w:rsidRPr="00DF798F">
        <w:rPr>
          <w:rFonts w:ascii="Arial" w:hAnsi="Arial" w:cs="Arial"/>
        </w:rPr>
        <w:t xml:space="preserve">“k) </w:t>
      </w:r>
      <w:r w:rsidR="00AB3B7B" w:rsidRPr="00DF798F">
        <w:rPr>
          <w:rFonts w:ascii="Arial" w:hAnsi="Arial" w:cs="Arial"/>
          <w:b/>
        </w:rPr>
        <w:t>Ent</w:t>
      </w:r>
      <w:r w:rsidR="00AB3B7B">
        <w:rPr>
          <w:rFonts w:ascii="Arial" w:hAnsi="Arial" w:cs="Arial"/>
          <w:b/>
        </w:rPr>
        <w:t>idades</w:t>
      </w:r>
      <w:r w:rsidR="00AB3B7B" w:rsidRPr="00DF798F">
        <w:rPr>
          <w:rFonts w:ascii="Arial" w:hAnsi="Arial" w:cs="Arial"/>
          <w:b/>
        </w:rPr>
        <w:t xml:space="preserve"> </w:t>
      </w:r>
      <w:r w:rsidRPr="00DF798F">
        <w:rPr>
          <w:rFonts w:ascii="Arial" w:hAnsi="Arial" w:cs="Arial"/>
          <w:b/>
        </w:rPr>
        <w:t xml:space="preserve">territoriales. </w:t>
      </w:r>
      <w:r w:rsidR="004B2409" w:rsidRPr="00DF798F">
        <w:rPr>
          <w:rFonts w:ascii="Arial" w:hAnsi="Arial" w:cs="Arial"/>
        </w:rPr>
        <w:t xml:space="preserve">Se define de acuerdo al artículo 286 de la Constitución Política de la República de Colombia de 1991” </w:t>
      </w:r>
    </w:p>
    <w:p w:rsidR="000329A6" w:rsidRPr="00DF798F" w:rsidRDefault="006A3F93" w:rsidP="004B2409">
      <w:pPr>
        <w:jc w:val="both"/>
        <w:rPr>
          <w:rFonts w:ascii="Arial" w:hAnsi="Arial" w:cs="Arial"/>
        </w:rPr>
      </w:pPr>
      <w:r>
        <w:rPr>
          <w:rFonts w:ascii="Arial" w:hAnsi="Arial" w:cs="Arial"/>
        </w:rPr>
        <w:t>No tendrán acceso a ICR y solamente se financiaran a través de recursos de redescuento.</w:t>
      </w:r>
    </w:p>
    <w:p w:rsidR="004B2409" w:rsidRPr="00DF798F" w:rsidRDefault="004B2409" w:rsidP="004B2409">
      <w:pPr>
        <w:jc w:val="both"/>
        <w:rPr>
          <w:rFonts w:ascii="Arial" w:hAnsi="Arial" w:cs="Arial"/>
        </w:rPr>
      </w:pPr>
      <w:r w:rsidRPr="00DF798F">
        <w:rPr>
          <w:rFonts w:ascii="Arial" w:hAnsi="Arial" w:cs="Arial"/>
          <w:b/>
        </w:rPr>
        <w:t xml:space="preserve">Artículo 2. </w:t>
      </w:r>
      <w:r w:rsidR="00D22CAE" w:rsidRPr="00DF798F">
        <w:rPr>
          <w:rFonts w:ascii="Arial" w:hAnsi="Arial" w:cs="Arial"/>
        </w:rPr>
        <w:t>Modifíquese el artículo 5 de la Resolución 1 de 2016, el cual quedará así:</w:t>
      </w:r>
    </w:p>
    <w:p w:rsidR="004B2409" w:rsidRPr="00DF798F" w:rsidRDefault="004B2409" w:rsidP="004B2409">
      <w:pPr>
        <w:tabs>
          <w:tab w:val="left" w:pos="0"/>
        </w:tabs>
        <w:spacing w:line="0" w:lineRule="atLeast"/>
        <w:jc w:val="both"/>
        <w:rPr>
          <w:rFonts w:ascii="Arial" w:hAnsi="Arial" w:cs="Arial"/>
        </w:rPr>
      </w:pPr>
      <w:r w:rsidRPr="00DF798F">
        <w:rPr>
          <w:rFonts w:ascii="Arial" w:hAnsi="Arial" w:cs="Arial"/>
          <w:b/>
        </w:rPr>
        <w:t xml:space="preserve">“Artículo 5°. </w:t>
      </w:r>
      <w:r w:rsidRPr="00DF798F">
        <w:rPr>
          <w:rFonts w:ascii="Arial" w:hAnsi="Arial" w:cs="Arial"/>
        </w:rPr>
        <w:t>Las condiciones financieras de los créditos serán las siguientes:</w:t>
      </w:r>
    </w:p>
    <w:p w:rsidR="004B2409" w:rsidRPr="00DF798F" w:rsidRDefault="004B2409" w:rsidP="004B2409">
      <w:pPr>
        <w:spacing w:line="0" w:lineRule="atLeast"/>
        <w:jc w:val="both"/>
        <w:outlineLvl w:val="0"/>
        <w:rPr>
          <w:rFonts w:ascii="Arial" w:hAnsi="Arial" w:cs="Arial"/>
        </w:rPr>
      </w:pPr>
    </w:p>
    <w:tbl>
      <w:tblPr>
        <w:tblW w:w="0" w:type="auto"/>
        <w:jc w:val="center"/>
        <w:tblCellMar>
          <w:left w:w="0" w:type="dxa"/>
          <w:right w:w="0" w:type="dxa"/>
        </w:tblCellMar>
        <w:tblLook w:val="04A0" w:firstRow="1" w:lastRow="0" w:firstColumn="1" w:lastColumn="0" w:noHBand="0" w:noVBand="1"/>
      </w:tblPr>
      <w:tblGrid>
        <w:gridCol w:w="2603"/>
        <w:gridCol w:w="2680"/>
        <w:gridCol w:w="2144"/>
      </w:tblGrid>
      <w:tr w:rsidR="004B2409" w:rsidRPr="00DF798F" w:rsidTr="008738A4">
        <w:trPr>
          <w:tblHeader/>
          <w:jc w:val="center"/>
        </w:trPr>
        <w:tc>
          <w:tcPr>
            <w:tcW w:w="26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2409" w:rsidRPr="00DF798F" w:rsidRDefault="004B2409" w:rsidP="008738A4">
            <w:pPr>
              <w:spacing w:line="0" w:lineRule="atLeast"/>
              <w:jc w:val="center"/>
              <w:rPr>
                <w:rFonts w:ascii="Arial" w:hAnsi="Arial" w:cs="Arial"/>
                <w:b/>
              </w:rPr>
            </w:pPr>
            <w:r w:rsidRPr="00DF798F">
              <w:rPr>
                <w:rFonts w:ascii="Arial" w:hAnsi="Arial" w:cs="Arial"/>
                <w:b/>
              </w:rPr>
              <w:t xml:space="preserve">TIPO DE PRODUCTOR </w:t>
            </w:r>
          </w:p>
        </w:tc>
        <w:tc>
          <w:tcPr>
            <w:tcW w:w="26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B2409" w:rsidRPr="00DF798F" w:rsidRDefault="004B2409" w:rsidP="008738A4">
            <w:pPr>
              <w:spacing w:line="0" w:lineRule="atLeast"/>
              <w:jc w:val="center"/>
              <w:rPr>
                <w:rFonts w:ascii="Arial" w:hAnsi="Arial" w:cs="Arial"/>
                <w:b/>
              </w:rPr>
            </w:pPr>
            <w:r w:rsidRPr="00DF798F">
              <w:rPr>
                <w:rFonts w:ascii="Arial" w:hAnsi="Arial" w:cs="Arial"/>
                <w:b/>
              </w:rPr>
              <w:t>TASA DE REDESCUENTO</w:t>
            </w:r>
          </w:p>
        </w:tc>
        <w:tc>
          <w:tcPr>
            <w:tcW w:w="2144" w:type="dxa"/>
            <w:tcBorders>
              <w:top w:val="single" w:sz="8" w:space="0" w:color="auto"/>
              <w:left w:val="nil"/>
              <w:bottom w:val="single" w:sz="8" w:space="0" w:color="auto"/>
              <w:right w:val="single" w:sz="8" w:space="0" w:color="auto"/>
            </w:tcBorders>
          </w:tcPr>
          <w:p w:rsidR="004B2409" w:rsidRPr="00DF798F" w:rsidRDefault="004B2409" w:rsidP="008738A4">
            <w:pPr>
              <w:spacing w:line="0" w:lineRule="atLeast"/>
              <w:jc w:val="center"/>
              <w:rPr>
                <w:rFonts w:ascii="Arial" w:hAnsi="Arial" w:cs="Arial"/>
                <w:b/>
              </w:rPr>
            </w:pPr>
            <w:r w:rsidRPr="00DF798F">
              <w:rPr>
                <w:rFonts w:ascii="Arial" w:hAnsi="Arial" w:cs="Arial"/>
                <w:b/>
              </w:rPr>
              <w:t>TASA DE INTERÉS</w:t>
            </w:r>
          </w:p>
        </w:tc>
      </w:tr>
      <w:tr w:rsidR="004B2409" w:rsidRPr="00DF798F" w:rsidTr="008738A4">
        <w:trPr>
          <w:jc w:val="center"/>
        </w:trPr>
        <w:tc>
          <w:tcPr>
            <w:tcW w:w="26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2409" w:rsidRPr="00DF798F" w:rsidRDefault="004B2409" w:rsidP="008738A4">
            <w:pPr>
              <w:spacing w:line="0" w:lineRule="atLeast"/>
              <w:rPr>
                <w:rFonts w:ascii="Arial" w:hAnsi="Arial" w:cs="Arial"/>
              </w:rPr>
            </w:pPr>
            <w:r w:rsidRPr="00DF798F">
              <w:rPr>
                <w:rFonts w:ascii="Arial" w:hAnsi="Arial" w:cs="Arial"/>
              </w:rPr>
              <w:t>Pequeños Productores</w:t>
            </w:r>
          </w:p>
        </w:tc>
        <w:tc>
          <w:tcPr>
            <w:tcW w:w="2680" w:type="dxa"/>
            <w:tcBorders>
              <w:top w:val="nil"/>
              <w:left w:val="nil"/>
              <w:bottom w:val="single" w:sz="8" w:space="0" w:color="auto"/>
              <w:right w:val="single" w:sz="8" w:space="0" w:color="auto"/>
            </w:tcBorders>
            <w:tcMar>
              <w:top w:w="0" w:type="dxa"/>
              <w:left w:w="108" w:type="dxa"/>
              <w:bottom w:w="0" w:type="dxa"/>
              <w:right w:w="108" w:type="dxa"/>
            </w:tcMar>
          </w:tcPr>
          <w:p w:rsidR="004B2409" w:rsidRPr="00DF798F" w:rsidRDefault="004B2409" w:rsidP="008738A4">
            <w:pPr>
              <w:spacing w:line="0" w:lineRule="atLeast"/>
              <w:rPr>
                <w:rFonts w:ascii="Arial" w:hAnsi="Arial" w:cs="Arial"/>
              </w:rPr>
            </w:pPr>
            <w:r w:rsidRPr="00DF798F">
              <w:rPr>
                <w:rFonts w:ascii="Arial" w:hAnsi="Arial" w:cs="Arial"/>
              </w:rPr>
              <w:t>DTF  - 2.5% e.a.</w:t>
            </w:r>
          </w:p>
        </w:tc>
        <w:tc>
          <w:tcPr>
            <w:tcW w:w="2144" w:type="dxa"/>
            <w:tcBorders>
              <w:top w:val="nil"/>
              <w:left w:val="nil"/>
              <w:bottom w:val="single" w:sz="8" w:space="0" w:color="auto"/>
              <w:right w:val="single" w:sz="8" w:space="0" w:color="auto"/>
            </w:tcBorders>
          </w:tcPr>
          <w:p w:rsidR="004B2409" w:rsidRPr="00DF798F" w:rsidRDefault="004B2409" w:rsidP="008738A4">
            <w:pPr>
              <w:spacing w:line="0" w:lineRule="atLeast"/>
              <w:rPr>
                <w:rFonts w:ascii="Arial" w:hAnsi="Arial" w:cs="Arial"/>
              </w:rPr>
            </w:pPr>
            <w:r w:rsidRPr="00DF798F">
              <w:rPr>
                <w:rFonts w:ascii="Arial" w:hAnsi="Arial" w:cs="Arial"/>
              </w:rPr>
              <w:t>Hasta DTF +7% e.a.</w:t>
            </w:r>
          </w:p>
        </w:tc>
      </w:tr>
      <w:tr w:rsidR="004B2409" w:rsidRPr="00DF798F" w:rsidTr="008738A4">
        <w:trPr>
          <w:jc w:val="center"/>
        </w:trPr>
        <w:tc>
          <w:tcPr>
            <w:tcW w:w="260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B2409" w:rsidRPr="00DF798F" w:rsidRDefault="004B2409" w:rsidP="008738A4">
            <w:pPr>
              <w:spacing w:line="0" w:lineRule="atLeast"/>
              <w:rPr>
                <w:rFonts w:ascii="Arial" w:hAnsi="Arial" w:cs="Arial"/>
              </w:rPr>
            </w:pPr>
            <w:r w:rsidRPr="00DF798F">
              <w:rPr>
                <w:rFonts w:ascii="Arial" w:hAnsi="Arial" w:cs="Arial"/>
              </w:rPr>
              <w:lastRenderedPageBreak/>
              <w:t>Joven Rural</w:t>
            </w:r>
          </w:p>
        </w:tc>
        <w:tc>
          <w:tcPr>
            <w:tcW w:w="2680" w:type="dxa"/>
            <w:tcBorders>
              <w:top w:val="nil"/>
              <w:left w:val="nil"/>
              <w:bottom w:val="single" w:sz="8" w:space="0" w:color="auto"/>
              <w:right w:val="single" w:sz="8" w:space="0" w:color="auto"/>
            </w:tcBorders>
            <w:tcMar>
              <w:top w:w="0" w:type="dxa"/>
              <w:left w:w="108" w:type="dxa"/>
              <w:bottom w:w="0" w:type="dxa"/>
              <w:right w:w="108" w:type="dxa"/>
            </w:tcMar>
          </w:tcPr>
          <w:p w:rsidR="004B2409" w:rsidRPr="00DF798F" w:rsidRDefault="004B2409" w:rsidP="008738A4">
            <w:pPr>
              <w:spacing w:line="0" w:lineRule="atLeast"/>
              <w:rPr>
                <w:rFonts w:ascii="Arial" w:hAnsi="Arial" w:cs="Arial"/>
              </w:rPr>
            </w:pPr>
            <w:r w:rsidRPr="00DF798F">
              <w:rPr>
                <w:rFonts w:ascii="Arial" w:hAnsi="Arial" w:cs="Arial"/>
              </w:rPr>
              <w:t>DTF  - 2.5% e.a.</w:t>
            </w:r>
          </w:p>
        </w:tc>
        <w:tc>
          <w:tcPr>
            <w:tcW w:w="2144" w:type="dxa"/>
            <w:tcBorders>
              <w:top w:val="nil"/>
              <w:left w:val="nil"/>
              <w:bottom w:val="single" w:sz="8" w:space="0" w:color="auto"/>
              <w:right w:val="single" w:sz="8" w:space="0" w:color="auto"/>
            </w:tcBorders>
          </w:tcPr>
          <w:p w:rsidR="004B2409" w:rsidRPr="00DF798F" w:rsidRDefault="004B2409" w:rsidP="008738A4">
            <w:pPr>
              <w:spacing w:line="0" w:lineRule="atLeast"/>
              <w:rPr>
                <w:rFonts w:ascii="Arial" w:hAnsi="Arial" w:cs="Arial"/>
              </w:rPr>
            </w:pPr>
            <w:r w:rsidRPr="00DF798F">
              <w:rPr>
                <w:rFonts w:ascii="Arial" w:hAnsi="Arial" w:cs="Arial"/>
              </w:rPr>
              <w:t>Hasta DTF +7% e.a.</w:t>
            </w:r>
          </w:p>
        </w:tc>
      </w:tr>
      <w:tr w:rsidR="004B2409" w:rsidRPr="00DF798F" w:rsidTr="008738A4">
        <w:trPr>
          <w:jc w:val="center"/>
        </w:trPr>
        <w:tc>
          <w:tcPr>
            <w:tcW w:w="260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B2409" w:rsidRPr="00DF798F" w:rsidRDefault="004B2409" w:rsidP="008738A4">
            <w:pPr>
              <w:spacing w:line="0" w:lineRule="atLeast"/>
              <w:rPr>
                <w:rFonts w:ascii="Arial" w:hAnsi="Arial" w:cs="Arial"/>
              </w:rPr>
            </w:pPr>
            <w:r w:rsidRPr="00DF798F">
              <w:rPr>
                <w:rFonts w:ascii="Arial" w:hAnsi="Arial" w:cs="Arial"/>
              </w:rPr>
              <w:t>Comunidades Negras</w:t>
            </w:r>
          </w:p>
        </w:tc>
        <w:tc>
          <w:tcPr>
            <w:tcW w:w="2680" w:type="dxa"/>
            <w:tcBorders>
              <w:top w:val="nil"/>
              <w:left w:val="nil"/>
              <w:bottom w:val="single" w:sz="8" w:space="0" w:color="auto"/>
              <w:right w:val="single" w:sz="8" w:space="0" w:color="auto"/>
            </w:tcBorders>
            <w:tcMar>
              <w:top w:w="0" w:type="dxa"/>
              <w:left w:w="108" w:type="dxa"/>
              <w:bottom w:w="0" w:type="dxa"/>
              <w:right w:w="108" w:type="dxa"/>
            </w:tcMar>
          </w:tcPr>
          <w:p w:rsidR="004B2409" w:rsidRPr="00DF798F" w:rsidRDefault="004B2409" w:rsidP="008738A4">
            <w:pPr>
              <w:spacing w:line="0" w:lineRule="atLeast"/>
              <w:rPr>
                <w:rFonts w:ascii="Arial" w:hAnsi="Arial" w:cs="Arial"/>
              </w:rPr>
            </w:pPr>
            <w:r w:rsidRPr="00DF798F">
              <w:rPr>
                <w:rFonts w:ascii="Arial" w:hAnsi="Arial" w:cs="Arial"/>
              </w:rPr>
              <w:t>DTF  - 2.5% e.a.</w:t>
            </w:r>
          </w:p>
        </w:tc>
        <w:tc>
          <w:tcPr>
            <w:tcW w:w="2144" w:type="dxa"/>
            <w:tcBorders>
              <w:top w:val="nil"/>
              <w:left w:val="nil"/>
              <w:bottom w:val="single" w:sz="8" w:space="0" w:color="auto"/>
              <w:right w:val="single" w:sz="8" w:space="0" w:color="auto"/>
            </w:tcBorders>
          </w:tcPr>
          <w:p w:rsidR="004B2409" w:rsidRPr="00DF798F" w:rsidRDefault="004B2409" w:rsidP="008738A4">
            <w:pPr>
              <w:spacing w:line="0" w:lineRule="atLeast"/>
              <w:rPr>
                <w:rFonts w:ascii="Arial" w:hAnsi="Arial" w:cs="Arial"/>
              </w:rPr>
            </w:pPr>
            <w:r w:rsidRPr="00DF798F">
              <w:rPr>
                <w:rFonts w:ascii="Arial" w:hAnsi="Arial" w:cs="Arial"/>
              </w:rPr>
              <w:t>Hasta DTF +7% e.a.</w:t>
            </w:r>
          </w:p>
        </w:tc>
      </w:tr>
      <w:tr w:rsidR="004B2409" w:rsidRPr="00DF798F" w:rsidTr="008738A4">
        <w:trPr>
          <w:jc w:val="center"/>
        </w:trPr>
        <w:tc>
          <w:tcPr>
            <w:tcW w:w="26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2409" w:rsidRPr="00DF798F" w:rsidRDefault="004B2409" w:rsidP="008738A4">
            <w:pPr>
              <w:spacing w:line="0" w:lineRule="atLeast"/>
              <w:rPr>
                <w:rFonts w:ascii="Arial" w:hAnsi="Arial" w:cs="Arial"/>
              </w:rPr>
            </w:pPr>
            <w:r w:rsidRPr="00DF798F">
              <w:rPr>
                <w:rFonts w:ascii="Arial" w:hAnsi="Arial" w:cs="Arial"/>
              </w:rPr>
              <w:t>Mujeres rurales de bajos ingresos</w:t>
            </w:r>
          </w:p>
        </w:tc>
        <w:tc>
          <w:tcPr>
            <w:tcW w:w="2680" w:type="dxa"/>
            <w:tcBorders>
              <w:top w:val="nil"/>
              <w:left w:val="nil"/>
              <w:bottom w:val="single" w:sz="8" w:space="0" w:color="auto"/>
              <w:right w:val="single" w:sz="8" w:space="0" w:color="auto"/>
            </w:tcBorders>
            <w:tcMar>
              <w:top w:w="0" w:type="dxa"/>
              <w:left w:w="108" w:type="dxa"/>
              <w:bottom w:w="0" w:type="dxa"/>
              <w:right w:w="108" w:type="dxa"/>
            </w:tcMar>
          </w:tcPr>
          <w:p w:rsidR="004B2409" w:rsidRPr="00DF798F" w:rsidRDefault="004B2409" w:rsidP="008738A4">
            <w:pPr>
              <w:spacing w:line="0" w:lineRule="atLeast"/>
              <w:rPr>
                <w:rFonts w:ascii="Arial" w:hAnsi="Arial" w:cs="Arial"/>
              </w:rPr>
            </w:pPr>
            <w:r w:rsidRPr="00DF798F">
              <w:rPr>
                <w:rFonts w:ascii="Arial" w:hAnsi="Arial" w:cs="Arial"/>
              </w:rPr>
              <w:t>DTF  - 2.5% e.a.</w:t>
            </w:r>
          </w:p>
        </w:tc>
        <w:tc>
          <w:tcPr>
            <w:tcW w:w="2144" w:type="dxa"/>
            <w:tcBorders>
              <w:top w:val="nil"/>
              <w:left w:val="nil"/>
              <w:bottom w:val="single" w:sz="8" w:space="0" w:color="auto"/>
              <w:right w:val="single" w:sz="8" w:space="0" w:color="auto"/>
            </w:tcBorders>
          </w:tcPr>
          <w:p w:rsidR="004B2409" w:rsidRPr="00DF798F" w:rsidRDefault="004B2409" w:rsidP="008738A4">
            <w:pPr>
              <w:spacing w:line="0" w:lineRule="atLeast"/>
              <w:rPr>
                <w:rFonts w:ascii="Arial" w:hAnsi="Arial" w:cs="Arial"/>
              </w:rPr>
            </w:pPr>
            <w:r w:rsidRPr="00DF798F">
              <w:rPr>
                <w:rFonts w:ascii="Arial" w:hAnsi="Arial" w:cs="Arial"/>
              </w:rPr>
              <w:t>Hasta DTF +5% e.a.</w:t>
            </w:r>
          </w:p>
        </w:tc>
      </w:tr>
      <w:tr w:rsidR="004B2409" w:rsidRPr="00DF798F" w:rsidTr="008738A4">
        <w:trPr>
          <w:jc w:val="center"/>
        </w:trPr>
        <w:tc>
          <w:tcPr>
            <w:tcW w:w="26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2409" w:rsidRPr="00DF798F" w:rsidRDefault="004B2409" w:rsidP="008738A4">
            <w:pPr>
              <w:spacing w:line="0" w:lineRule="atLeast"/>
              <w:rPr>
                <w:rFonts w:ascii="Arial" w:hAnsi="Arial" w:cs="Arial"/>
              </w:rPr>
            </w:pPr>
            <w:r w:rsidRPr="00DF798F">
              <w:rPr>
                <w:rFonts w:ascii="Arial" w:hAnsi="Arial" w:cs="Arial"/>
              </w:rPr>
              <w:t xml:space="preserve">Victimas conflicto armado interno </w:t>
            </w:r>
          </w:p>
        </w:tc>
        <w:tc>
          <w:tcPr>
            <w:tcW w:w="2680" w:type="dxa"/>
            <w:tcBorders>
              <w:top w:val="nil"/>
              <w:left w:val="nil"/>
              <w:bottom w:val="single" w:sz="8" w:space="0" w:color="auto"/>
              <w:right w:val="single" w:sz="8" w:space="0" w:color="auto"/>
            </w:tcBorders>
            <w:tcMar>
              <w:top w:w="0" w:type="dxa"/>
              <w:left w:w="108" w:type="dxa"/>
              <w:bottom w:w="0" w:type="dxa"/>
              <w:right w:w="108" w:type="dxa"/>
            </w:tcMar>
            <w:hideMark/>
          </w:tcPr>
          <w:p w:rsidR="004B2409" w:rsidRPr="00DF798F" w:rsidRDefault="004B2409" w:rsidP="008738A4">
            <w:pPr>
              <w:spacing w:line="0" w:lineRule="atLeast"/>
              <w:rPr>
                <w:rFonts w:ascii="Arial" w:hAnsi="Arial" w:cs="Arial"/>
              </w:rPr>
            </w:pPr>
            <w:r w:rsidRPr="00DF798F">
              <w:rPr>
                <w:rFonts w:ascii="Arial" w:hAnsi="Arial" w:cs="Arial"/>
              </w:rPr>
              <w:t>DTF  - 3.5% e.a.</w:t>
            </w:r>
          </w:p>
        </w:tc>
        <w:tc>
          <w:tcPr>
            <w:tcW w:w="2144" w:type="dxa"/>
            <w:tcBorders>
              <w:top w:val="nil"/>
              <w:left w:val="nil"/>
              <w:bottom w:val="single" w:sz="8" w:space="0" w:color="auto"/>
              <w:right w:val="single" w:sz="8" w:space="0" w:color="auto"/>
            </w:tcBorders>
          </w:tcPr>
          <w:p w:rsidR="004B2409" w:rsidRPr="00DF798F" w:rsidRDefault="004B2409" w:rsidP="008738A4">
            <w:pPr>
              <w:spacing w:line="0" w:lineRule="atLeast"/>
              <w:rPr>
                <w:rFonts w:ascii="Arial" w:hAnsi="Arial" w:cs="Arial"/>
              </w:rPr>
            </w:pPr>
            <w:r w:rsidRPr="00DF798F">
              <w:rPr>
                <w:rFonts w:ascii="Arial" w:hAnsi="Arial" w:cs="Arial"/>
              </w:rPr>
              <w:t>Hasta DTF +2% e.a.</w:t>
            </w:r>
          </w:p>
        </w:tc>
      </w:tr>
      <w:tr w:rsidR="004B2409" w:rsidRPr="00DF798F" w:rsidTr="008738A4">
        <w:trPr>
          <w:jc w:val="center"/>
        </w:trPr>
        <w:tc>
          <w:tcPr>
            <w:tcW w:w="26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2409" w:rsidRPr="00DF798F" w:rsidRDefault="004B2409" w:rsidP="008738A4">
            <w:pPr>
              <w:spacing w:line="0" w:lineRule="atLeast"/>
              <w:rPr>
                <w:rFonts w:ascii="Arial" w:hAnsi="Arial" w:cs="Arial"/>
              </w:rPr>
            </w:pPr>
            <w:r w:rsidRPr="00DF798F">
              <w:rPr>
                <w:rFonts w:ascii="Arial" w:hAnsi="Arial" w:cs="Arial"/>
              </w:rPr>
              <w:t>Población Reinsertada</w:t>
            </w:r>
          </w:p>
        </w:tc>
        <w:tc>
          <w:tcPr>
            <w:tcW w:w="2680" w:type="dxa"/>
            <w:tcBorders>
              <w:top w:val="nil"/>
              <w:left w:val="nil"/>
              <w:bottom w:val="single" w:sz="8" w:space="0" w:color="auto"/>
              <w:right w:val="single" w:sz="8" w:space="0" w:color="auto"/>
            </w:tcBorders>
            <w:tcMar>
              <w:top w:w="0" w:type="dxa"/>
              <w:left w:w="108" w:type="dxa"/>
              <w:bottom w:w="0" w:type="dxa"/>
              <w:right w:w="108" w:type="dxa"/>
            </w:tcMar>
            <w:hideMark/>
          </w:tcPr>
          <w:p w:rsidR="004B2409" w:rsidRPr="00DF798F" w:rsidRDefault="004B2409" w:rsidP="008738A4">
            <w:pPr>
              <w:spacing w:line="0" w:lineRule="atLeast"/>
              <w:rPr>
                <w:rFonts w:ascii="Arial" w:hAnsi="Arial" w:cs="Arial"/>
              </w:rPr>
            </w:pPr>
            <w:r w:rsidRPr="00DF798F">
              <w:rPr>
                <w:rFonts w:ascii="Arial" w:hAnsi="Arial" w:cs="Arial"/>
              </w:rPr>
              <w:t>DTF  - 3.5% e.a.</w:t>
            </w:r>
          </w:p>
        </w:tc>
        <w:tc>
          <w:tcPr>
            <w:tcW w:w="2144" w:type="dxa"/>
            <w:tcBorders>
              <w:top w:val="nil"/>
              <w:left w:val="nil"/>
              <w:bottom w:val="single" w:sz="8" w:space="0" w:color="auto"/>
              <w:right w:val="single" w:sz="8" w:space="0" w:color="auto"/>
            </w:tcBorders>
          </w:tcPr>
          <w:p w:rsidR="004B2409" w:rsidRPr="00DF798F" w:rsidRDefault="004B2409" w:rsidP="008738A4">
            <w:pPr>
              <w:spacing w:line="0" w:lineRule="atLeast"/>
              <w:rPr>
                <w:rFonts w:ascii="Arial" w:hAnsi="Arial" w:cs="Arial"/>
              </w:rPr>
            </w:pPr>
            <w:r w:rsidRPr="00DF798F">
              <w:rPr>
                <w:rFonts w:ascii="Arial" w:hAnsi="Arial" w:cs="Arial"/>
              </w:rPr>
              <w:t>Hasta DTF +2% e.a.</w:t>
            </w:r>
          </w:p>
        </w:tc>
      </w:tr>
      <w:tr w:rsidR="004B2409" w:rsidRPr="00DF798F" w:rsidTr="008738A4">
        <w:trPr>
          <w:jc w:val="center"/>
        </w:trPr>
        <w:tc>
          <w:tcPr>
            <w:tcW w:w="26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2409" w:rsidRPr="00DF798F" w:rsidRDefault="004B2409" w:rsidP="008738A4">
            <w:pPr>
              <w:spacing w:line="0" w:lineRule="atLeast"/>
              <w:rPr>
                <w:rFonts w:ascii="Arial" w:hAnsi="Arial" w:cs="Arial"/>
              </w:rPr>
            </w:pPr>
            <w:r w:rsidRPr="00DF798F">
              <w:rPr>
                <w:rFonts w:ascii="Arial" w:hAnsi="Arial" w:cs="Arial"/>
              </w:rPr>
              <w:t>Población que ejecute programas de desarrollo alternativo</w:t>
            </w:r>
          </w:p>
        </w:tc>
        <w:tc>
          <w:tcPr>
            <w:tcW w:w="2680" w:type="dxa"/>
            <w:tcBorders>
              <w:top w:val="nil"/>
              <w:left w:val="nil"/>
              <w:bottom w:val="single" w:sz="8" w:space="0" w:color="auto"/>
              <w:right w:val="single" w:sz="8" w:space="0" w:color="auto"/>
            </w:tcBorders>
            <w:tcMar>
              <w:top w:w="0" w:type="dxa"/>
              <w:left w:w="108" w:type="dxa"/>
              <w:bottom w:w="0" w:type="dxa"/>
              <w:right w:w="108" w:type="dxa"/>
            </w:tcMar>
            <w:hideMark/>
          </w:tcPr>
          <w:p w:rsidR="004B2409" w:rsidRPr="00DF798F" w:rsidRDefault="004B2409" w:rsidP="008738A4">
            <w:pPr>
              <w:spacing w:line="0" w:lineRule="atLeast"/>
              <w:rPr>
                <w:rFonts w:ascii="Arial" w:hAnsi="Arial" w:cs="Arial"/>
              </w:rPr>
            </w:pPr>
            <w:r w:rsidRPr="00DF798F">
              <w:rPr>
                <w:rFonts w:ascii="Arial" w:hAnsi="Arial" w:cs="Arial"/>
              </w:rPr>
              <w:t>DTF  -3.5% e.a.</w:t>
            </w:r>
          </w:p>
        </w:tc>
        <w:tc>
          <w:tcPr>
            <w:tcW w:w="2144" w:type="dxa"/>
            <w:tcBorders>
              <w:top w:val="nil"/>
              <w:left w:val="nil"/>
              <w:bottom w:val="single" w:sz="8" w:space="0" w:color="auto"/>
              <w:right w:val="single" w:sz="8" w:space="0" w:color="auto"/>
            </w:tcBorders>
          </w:tcPr>
          <w:p w:rsidR="004B2409" w:rsidRPr="00DF798F" w:rsidRDefault="004B2409" w:rsidP="008738A4">
            <w:pPr>
              <w:spacing w:line="0" w:lineRule="atLeast"/>
              <w:rPr>
                <w:rFonts w:ascii="Arial" w:hAnsi="Arial" w:cs="Arial"/>
              </w:rPr>
            </w:pPr>
            <w:r w:rsidRPr="00DF798F">
              <w:rPr>
                <w:rFonts w:ascii="Arial" w:hAnsi="Arial" w:cs="Arial"/>
              </w:rPr>
              <w:t>Hasta DTF +2% e.a.</w:t>
            </w:r>
          </w:p>
        </w:tc>
      </w:tr>
      <w:tr w:rsidR="004B2409" w:rsidRPr="00DF798F" w:rsidTr="008738A4">
        <w:trPr>
          <w:jc w:val="center"/>
        </w:trPr>
        <w:tc>
          <w:tcPr>
            <w:tcW w:w="26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2409" w:rsidRPr="00DF798F" w:rsidRDefault="004B2409" w:rsidP="008738A4">
            <w:pPr>
              <w:spacing w:line="0" w:lineRule="atLeast"/>
              <w:rPr>
                <w:rFonts w:ascii="Arial" w:hAnsi="Arial" w:cs="Arial"/>
              </w:rPr>
            </w:pPr>
            <w:r w:rsidRPr="00DF798F">
              <w:rPr>
                <w:rFonts w:ascii="Arial" w:hAnsi="Arial" w:cs="Arial"/>
              </w:rPr>
              <w:t xml:space="preserve">Pequeños Productores –Zonas de Reserva Campesina </w:t>
            </w:r>
          </w:p>
        </w:tc>
        <w:tc>
          <w:tcPr>
            <w:tcW w:w="2680" w:type="dxa"/>
            <w:tcBorders>
              <w:top w:val="nil"/>
              <w:left w:val="nil"/>
              <w:bottom w:val="single" w:sz="8" w:space="0" w:color="auto"/>
              <w:right w:val="single" w:sz="8" w:space="0" w:color="auto"/>
            </w:tcBorders>
            <w:tcMar>
              <w:top w:w="0" w:type="dxa"/>
              <w:left w:w="108" w:type="dxa"/>
              <w:bottom w:w="0" w:type="dxa"/>
              <w:right w:w="108" w:type="dxa"/>
            </w:tcMar>
          </w:tcPr>
          <w:p w:rsidR="004B2409" w:rsidRPr="00DF798F" w:rsidRDefault="004B2409" w:rsidP="008738A4">
            <w:pPr>
              <w:spacing w:line="0" w:lineRule="atLeast"/>
              <w:rPr>
                <w:rFonts w:ascii="Arial" w:hAnsi="Arial" w:cs="Arial"/>
              </w:rPr>
            </w:pPr>
          </w:p>
          <w:p w:rsidR="004B2409" w:rsidRPr="00DF798F" w:rsidRDefault="004B2409" w:rsidP="008738A4">
            <w:pPr>
              <w:spacing w:line="0" w:lineRule="atLeast"/>
              <w:rPr>
                <w:rFonts w:ascii="Arial" w:hAnsi="Arial" w:cs="Arial"/>
              </w:rPr>
            </w:pPr>
            <w:r w:rsidRPr="00DF798F">
              <w:rPr>
                <w:rFonts w:ascii="Arial" w:hAnsi="Arial" w:cs="Arial"/>
              </w:rPr>
              <w:t>DTF -2.5% e.a.</w:t>
            </w:r>
          </w:p>
        </w:tc>
        <w:tc>
          <w:tcPr>
            <w:tcW w:w="2144" w:type="dxa"/>
            <w:tcBorders>
              <w:top w:val="nil"/>
              <w:left w:val="nil"/>
              <w:bottom w:val="single" w:sz="8" w:space="0" w:color="auto"/>
              <w:right w:val="single" w:sz="8" w:space="0" w:color="auto"/>
            </w:tcBorders>
          </w:tcPr>
          <w:p w:rsidR="004B2409" w:rsidRPr="00DF798F" w:rsidRDefault="004B2409" w:rsidP="008738A4">
            <w:pPr>
              <w:spacing w:line="0" w:lineRule="atLeast"/>
              <w:rPr>
                <w:rFonts w:ascii="Arial" w:hAnsi="Arial" w:cs="Arial"/>
              </w:rPr>
            </w:pPr>
          </w:p>
          <w:p w:rsidR="004B2409" w:rsidRPr="00DF798F" w:rsidRDefault="004B2409" w:rsidP="008738A4">
            <w:pPr>
              <w:spacing w:line="0" w:lineRule="atLeast"/>
              <w:rPr>
                <w:rFonts w:ascii="Arial" w:hAnsi="Arial" w:cs="Arial"/>
              </w:rPr>
            </w:pPr>
            <w:r w:rsidRPr="00DF798F">
              <w:rPr>
                <w:rFonts w:ascii="Arial" w:hAnsi="Arial" w:cs="Arial"/>
              </w:rPr>
              <w:t>Hasta DTF +6% e.a.</w:t>
            </w:r>
          </w:p>
        </w:tc>
      </w:tr>
      <w:tr w:rsidR="004B2409" w:rsidRPr="00DF798F" w:rsidTr="008738A4">
        <w:trPr>
          <w:jc w:val="center"/>
        </w:trPr>
        <w:tc>
          <w:tcPr>
            <w:tcW w:w="26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2409" w:rsidRPr="00DF798F" w:rsidRDefault="004B2409" w:rsidP="008738A4">
            <w:pPr>
              <w:spacing w:line="0" w:lineRule="atLeast"/>
              <w:rPr>
                <w:rFonts w:ascii="Arial" w:hAnsi="Arial" w:cs="Arial"/>
              </w:rPr>
            </w:pPr>
            <w:r w:rsidRPr="00DF798F">
              <w:rPr>
                <w:rFonts w:ascii="Arial" w:hAnsi="Arial" w:cs="Arial"/>
              </w:rPr>
              <w:t>Medianos Productores</w:t>
            </w:r>
          </w:p>
        </w:tc>
        <w:tc>
          <w:tcPr>
            <w:tcW w:w="2680" w:type="dxa"/>
            <w:tcBorders>
              <w:top w:val="nil"/>
              <w:left w:val="nil"/>
              <w:bottom w:val="single" w:sz="8" w:space="0" w:color="auto"/>
              <w:right w:val="single" w:sz="8" w:space="0" w:color="auto"/>
            </w:tcBorders>
            <w:tcMar>
              <w:top w:w="0" w:type="dxa"/>
              <w:left w:w="108" w:type="dxa"/>
              <w:bottom w:w="0" w:type="dxa"/>
              <w:right w:w="108" w:type="dxa"/>
            </w:tcMar>
          </w:tcPr>
          <w:p w:rsidR="004B2409" w:rsidRPr="00DF798F" w:rsidRDefault="004B2409" w:rsidP="008738A4">
            <w:pPr>
              <w:pStyle w:val="p2"/>
              <w:spacing w:line="0" w:lineRule="atLeast"/>
              <w:ind w:left="0" w:right="51"/>
              <w:rPr>
                <w:rFonts w:ascii="Arial" w:eastAsiaTheme="minorHAnsi" w:hAnsi="Arial" w:cs="Arial"/>
                <w:sz w:val="22"/>
                <w:szCs w:val="22"/>
                <w:lang w:val="es-CO"/>
              </w:rPr>
            </w:pPr>
            <w:r w:rsidRPr="00DF798F">
              <w:rPr>
                <w:rFonts w:ascii="Arial" w:hAnsi="Arial" w:cs="Arial"/>
                <w:sz w:val="22"/>
                <w:szCs w:val="22"/>
                <w:lang w:val="es-CO"/>
              </w:rPr>
              <w:t>DTF +1</w:t>
            </w:r>
            <w:r w:rsidR="009128D6" w:rsidRPr="00DF798F">
              <w:rPr>
                <w:rFonts w:ascii="Arial" w:hAnsi="Arial" w:cs="Arial"/>
                <w:sz w:val="22"/>
                <w:szCs w:val="22"/>
                <w:lang w:val="es-CO"/>
              </w:rPr>
              <w:t>%</w:t>
            </w:r>
            <w:r w:rsidRPr="00DF798F">
              <w:rPr>
                <w:rFonts w:ascii="Arial" w:hAnsi="Arial" w:cs="Arial"/>
                <w:sz w:val="22"/>
                <w:szCs w:val="22"/>
                <w:lang w:val="es-CO"/>
              </w:rPr>
              <w:t xml:space="preserve"> </w:t>
            </w:r>
            <w:r w:rsidRPr="00DF798F">
              <w:rPr>
                <w:rFonts w:ascii="Arial" w:eastAsiaTheme="minorHAnsi" w:hAnsi="Arial" w:cs="Arial"/>
                <w:sz w:val="22"/>
                <w:szCs w:val="22"/>
              </w:rPr>
              <w:t>e.a.</w:t>
            </w:r>
          </w:p>
          <w:p w:rsidR="004B2409" w:rsidRPr="00DF798F" w:rsidRDefault="004B2409" w:rsidP="008738A4">
            <w:pPr>
              <w:spacing w:line="0" w:lineRule="atLeast"/>
              <w:rPr>
                <w:rFonts w:ascii="Arial" w:hAnsi="Arial" w:cs="Arial"/>
              </w:rPr>
            </w:pPr>
          </w:p>
        </w:tc>
        <w:tc>
          <w:tcPr>
            <w:tcW w:w="2144" w:type="dxa"/>
            <w:tcBorders>
              <w:top w:val="nil"/>
              <w:left w:val="nil"/>
              <w:bottom w:val="single" w:sz="8" w:space="0" w:color="auto"/>
              <w:right w:val="single" w:sz="8" w:space="0" w:color="auto"/>
            </w:tcBorders>
          </w:tcPr>
          <w:p w:rsidR="004B2409" w:rsidRPr="00DF798F" w:rsidRDefault="004B2409" w:rsidP="008738A4">
            <w:pPr>
              <w:pStyle w:val="p2"/>
              <w:spacing w:line="0" w:lineRule="atLeast"/>
              <w:ind w:left="0" w:right="51"/>
              <w:rPr>
                <w:rFonts w:ascii="Arial" w:hAnsi="Arial" w:cs="Arial"/>
                <w:sz w:val="22"/>
                <w:szCs w:val="22"/>
                <w:lang w:val="es-CO"/>
              </w:rPr>
            </w:pPr>
            <w:r w:rsidRPr="00DF798F">
              <w:rPr>
                <w:rFonts w:ascii="Arial" w:hAnsi="Arial" w:cs="Arial"/>
                <w:sz w:val="22"/>
                <w:szCs w:val="22"/>
              </w:rPr>
              <w:t xml:space="preserve">Hasta </w:t>
            </w:r>
            <w:r w:rsidR="009128D6" w:rsidRPr="00DF798F">
              <w:rPr>
                <w:rFonts w:ascii="Arial" w:hAnsi="Arial" w:cs="Arial"/>
                <w:sz w:val="22"/>
                <w:szCs w:val="22"/>
              </w:rPr>
              <w:t>DTF+10%</w:t>
            </w:r>
            <w:r w:rsidRPr="00DF798F">
              <w:rPr>
                <w:rFonts w:ascii="Arial" w:hAnsi="Arial" w:cs="Arial"/>
                <w:sz w:val="22"/>
                <w:szCs w:val="22"/>
              </w:rPr>
              <w:t xml:space="preserve"> </w:t>
            </w:r>
            <w:r w:rsidRPr="00DF798F">
              <w:rPr>
                <w:rFonts w:ascii="Arial" w:eastAsiaTheme="minorHAnsi" w:hAnsi="Arial" w:cs="Arial"/>
                <w:sz w:val="22"/>
                <w:szCs w:val="22"/>
              </w:rPr>
              <w:t>e.a.</w:t>
            </w:r>
          </w:p>
        </w:tc>
      </w:tr>
      <w:tr w:rsidR="004B2409" w:rsidRPr="00DF798F" w:rsidTr="008738A4">
        <w:trPr>
          <w:jc w:val="center"/>
        </w:trPr>
        <w:tc>
          <w:tcPr>
            <w:tcW w:w="26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2409" w:rsidRPr="00DF798F" w:rsidRDefault="004B2409" w:rsidP="008738A4">
            <w:pPr>
              <w:spacing w:line="0" w:lineRule="atLeast"/>
              <w:rPr>
                <w:rFonts w:ascii="Arial" w:hAnsi="Arial" w:cs="Arial"/>
              </w:rPr>
            </w:pPr>
            <w:r w:rsidRPr="00DF798F">
              <w:rPr>
                <w:rFonts w:ascii="Arial" w:hAnsi="Arial" w:cs="Arial"/>
              </w:rPr>
              <w:t>Grandes Productores</w:t>
            </w:r>
          </w:p>
        </w:tc>
        <w:tc>
          <w:tcPr>
            <w:tcW w:w="2680" w:type="dxa"/>
            <w:tcBorders>
              <w:top w:val="nil"/>
              <w:left w:val="nil"/>
              <w:bottom w:val="single" w:sz="8" w:space="0" w:color="auto"/>
              <w:right w:val="single" w:sz="8" w:space="0" w:color="auto"/>
            </w:tcBorders>
            <w:tcMar>
              <w:top w:w="0" w:type="dxa"/>
              <w:left w:w="108" w:type="dxa"/>
              <w:bottom w:w="0" w:type="dxa"/>
              <w:right w:w="108" w:type="dxa"/>
            </w:tcMar>
            <w:hideMark/>
          </w:tcPr>
          <w:p w:rsidR="004B2409" w:rsidRPr="00DF798F" w:rsidRDefault="004B2409" w:rsidP="008738A4">
            <w:pPr>
              <w:spacing w:line="0" w:lineRule="atLeast"/>
              <w:rPr>
                <w:rFonts w:ascii="Arial" w:hAnsi="Arial" w:cs="Arial"/>
              </w:rPr>
            </w:pPr>
            <w:r w:rsidRPr="00DF798F">
              <w:rPr>
                <w:rFonts w:ascii="Arial" w:hAnsi="Arial" w:cs="Arial"/>
              </w:rPr>
              <w:t>DTF  +2% e.a.</w:t>
            </w:r>
          </w:p>
        </w:tc>
        <w:tc>
          <w:tcPr>
            <w:tcW w:w="2144" w:type="dxa"/>
            <w:tcBorders>
              <w:top w:val="nil"/>
              <w:left w:val="nil"/>
              <w:bottom w:val="single" w:sz="8" w:space="0" w:color="auto"/>
              <w:right w:val="single" w:sz="8" w:space="0" w:color="auto"/>
            </w:tcBorders>
          </w:tcPr>
          <w:p w:rsidR="004B2409" w:rsidRPr="00DF798F" w:rsidRDefault="004B2409" w:rsidP="008738A4">
            <w:pPr>
              <w:spacing w:line="0" w:lineRule="atLeast"/>
              <w:rPr>
                <w:rFonts w:ascii="Arial" w:hAnsi="Arial" w:cs="Arial"/>
              </w:rPr>
            </w:pPr>
            <w:r w:rsidRPr="00DF798F">
              <w:rPr>
                <w:rFonts w:ascii="Arial" w:hAnsi="Arial" w:cs="Arial"/>
              </w:rPr>
              <w:t xml:space="preserve">Hasta DTF </w:t>
            </w:r>
            <w:r w:rsidR="009128D6" w:rsidRPr="00DF798F">
              <w:rPr>
                <w:rFonts w:ascii="Arial" w:hAnsi="Arial" w:cs="Arial"/>
              </w:rPr>
              <w:t xml:space="preserve">+10% </w:t>
            </w:r>
            <w:r w:rsidRPr="00DF798F">
              <w:rPr>
                <w:rFonts w:ascii="Arial" w:hAnsi="Arial" w:cs="Arial"/>
              </w:rPr>
              <w:t>e.a.</w:t>
            </w:r>
          </w:p>
        </w:tc>
      </w:tr>
      <w:tr w:rsidR="004B2409" w:rsidRPr="00DF798F" w:rsidTr="008738A4">
        <w:trPr>
          <w:jc w:val="center"/>
        </w:trPr>
        <w:tc>
          <w:tcPr>
            <w:tcW w:w="26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2409" w:rsidRPr="00DF798F" w:rsidRDefault="004B2409" w:rsidP="008738A4">
            <w:pPr>
              <w:spacing w:line="0" w:lineRule="atLeast"/>
              <w:rPr>
                <w:rFonts w:ascii="Arial" w:hAnsi="Arial" w:cs="Arial"/>
              </w:rPr>
            </w:pPr>
            <w:r w:rsidRPr="00DF798F">
              <w:rPr>
                <w:rFonts w:ascii="Arial" w:hAnsi="Arial" w:cs="Arial"/>
              </w:rPr>
              <w:t>Esquema Asociativo</w:t>
            </w:r>
          </w:p>
        </w:tc>
        <w:tc>
          <w:tcPr>
            <w:tcW w:w="2680" w:type="dxa"/>
            <w:tcBorders>
              <w:top w:val="nil"/>
              <w:left w:val="nil"/>
              <w:bottom w:val="single" w:sz="8" w:space="0" w:color="auto"/>
              <w:right w:val="single" w:sz="8" w:space="0" w:color="auto"/>
            </w:tcBorders>
            <w:tcMar>
              <w:top w:w="0" w:type="dxa"/>
              <w:left w:w="108" w:type="dxa"/>
              <w:bottom w:w="0" w:type="dxa"/>
              <w:right w:w="108" w:type="dxa"/>
            </w:tcMar>
            <w:hideMark/>
          </w:tcPr>
          <w:p w:rsidR="004B2409" w:rsidRPr="00DF798F" w:rsidRDefault="004B2409" w:rsidP="008738A4">
            <w:pPr>
              <w:spacing w:line="0" w:lineRule="atLeast"/>
              <w:rPr>
                <w:rFonts w:ascii="Arial" w:hAnsi="Arial" w:cs="Arial"/>
              </w:rPr>
            </w:pPr>
            <w:r w:rsidRPr="00DF798F">
              <w:rPr>
                <w:rFonts w:ascii="Arial" w:hAnsi="Arial" w:cs="Arial"/>
              </w:rPr>
              <w:t>DTF  -3.5% e.a.</w:t>
            </w:r>
          </w:p>
        </w:tc>
        <w:tc>
          <w:tcPr>
            <w:tcW w:w="2144" w:type="dxa"/>
            <w:tcBorders>
              <w:top w:val="nil"/>
              <w:left w:val="nil"/>
              <w:bottom w:val="single" w:sz="8" w:space="0" w:color="auto"/>
              <w:right w:val="single" w:sz="8" w:space="0" w:color="auto"/>
            </w:tcBorders>
          </w:tcPr>
          <w:p w:rsidR="004B2409" w:rsidRPr="00DF798F" w:rsidRDefault="004B2409" w:rsidP="008738A4">
            <w:pPr>
              <w:spacing w:line="0" w:lineRule="atLeast"/>
              <w:rPr>
                <w:rFonts w:ascii="Arial" w:hAnsi="Arial" w:cs="Arial"/>
              </w:rPr>
            </w:pPr>
            <w:r w:rsidRPr="00DF798F">
              <w:rPr>
                <w:rFonts w:ascii="Arial" w:hAnsi="Arial" w:cs="Arial"/>
              </w:rPr>
              <w:t xml:space="preserve">Hasta </w:t>
            </w:r>
            <w:r w:rsidR="009128D6" w:rsidRPr="00DF798F">
              <w:rPr>
                <w:rFonts w:ascii="Arial" w:hAnsi="Arial" w:cs="Arial"/>
              </w:rPr>
              <w:t>DTF +5%</w:t>
            </w:r>
            <w:r w:rsidRPr="00DF798F">
              <w:rPr>
                <w:rFonts w:ascii="Arial" w:hAnsi="Arial" w:cs="Arial"/>
              </w:rPr>
              <w:t xml:space="preserve"> e.a.</w:t>
            </w:r>
          </w:p>
        </w:tc>
      </w:tr>
      <w:tr w:rsidR="004B2409" w:rsidRPr="00DF798F" w:rsidTr="008738A4">
        <w:trPr>
          <w:jc w:val="center"/>
        </w:trPr>
        <w:tc>
          <w:tcPr>
            <w:tcW w:w="2603" w:type="dxa"/>
            <w:tcBorders>
              <w:top w:val="nil"/>
              <w:left w:val="single" w:sz="8" w:space="0" w:color="auto"/>
              <w:bottom w:val="nil"/>
              <w:right w:val="single" w:sz="8" w:space="0" w:color="auto"/>
            </w:tcBorders>
            <w:tcMar>
              <w:top w:w="0" w:type="dxa"/>
              <w:left w:w="108" w:type="dxa"/>
              <w:bottom w:w="0" w:type="dxa"/>
              <w:right w:w="108" w:type="dxa"/>
            </w:tcMar>
            <w:hideMark/>
          </w:tcPr>
          <w:p w:rsidR="004B2409" w:rsidRPr="00DF798F" w:rsidRDefault="004B2409" w:rsidP="008738A4">
            <w:pPr>
              <w:spacing w:line="0" w:lineRule="atLeast"/>
              <w:rPr>
                <w:rFonts w:ascii="Arial" w:hAnsi="Arial" w:cs="Arial"/>
              </w:rPr>
            </w:pPr>
            <w:r w:rsidRPr="00DF798F">
              <w:rPr>
                <w:rFonts w:ascii="Arial" w:hAnsi="Arial" w:cs="Arial"/>
              </w:rPr>
              <w:t>Esquema de Integración</w:t>
            </w:r>
          </w:p>
        </w:tc>
        <w:tc>
          <w:tcPr>
            <w:tcW w:w="2680" w:type="dxa"/>
            <w:tcBorders>
              <w:top w:val="nil"/>
              <w:left w:val="nil"/>
              <w:bottom w:val="nil"/>
              <w:right w:val="single" w:sz="8" w:space="0" w:color="auto"/>
            </w:tcBorders>
            <w:tcMar>
              <w:top w:w="0" w:type="dxa"/>
              <w:left w:w="108" w:type="dxa"/>
              <w:bottom w:w="0" w:type="dxa"/>
              <w:right w:w="108" w:type="dxa"/>
            </w:tcMar>
            <w:hideMark/>
          </w:tcPr>
          <w:p w:rsidR="004B2409" w:rsidRPr="00DF798F" w:rsidRDefault="004B2409" w:rsidP="008738A4">
            <w:pPr>
              <w:spacing w:line="0" w:lineRule="atLeast"/>
              <w:rPr>
                <w:rFonts w:ascii="Arial" w:hAnsi="Arial" w:cs="Arial"/>
              </w:rPr>
            </w:pPr>
            <w:r w:rsidRPr="00DF798F">
              <w:rPr>
                <w:rFonts w:ascii="Arial" w:hAnsi="Arial" w:cs="Arial"/>
              </w:rPr>
              <w:t>DTF  -1% e.a.</w:t>
            </w:r>
          </w:p>
        </w:tc>
        <w:tc>
          <w:tcPr>
            <w:tcW w:w="2144" w:type="dxa"/>
            <w:tcBorders>
              <w:top w:val="nil"/>
              <w:left w:val="nil"/>
              <w:bottom w:val="nil"/>
              <w:right w:val="single" w:sz="8" w:space="0" w:color="auto"/>
            </w:tcBorders>
          </w:tcPr>
          <w:p w:rsidR="004B2409" w:rsidRPr="00DF798F" w:rsidRDefault="004B2409" w:rsidP="008738A4">
            <w:pPr>
              <w:spacing w:line="0" w:lineRule="atLeast"/>
              <w:rPr>
                <w:rFonts w:ascii="Arial" w:hAnsi="Arial" w:cs="Arial"/>
              </w:rPr>
            </w:pPr>
            <w:r w:rsidRPr="00DF798F">
              <w:rPr>
                <w:rFonts w:ascii="Arial" w:hAnsi="Arial" w:cs="Arial"/>
              </w:rPr>
              <w:t xml:space="preserve">Hasta </w:t>
            </w:r>
            <w:r w:rsidR="009128D6" w:rsidRPr="00DF798F">
              <w:rPr>
                <w:rFonts w:ascii="Arial" w:hAnsi="Arial" w:cs="Arial"/>
              </w:rPr>
              <w:t>DTF + 7%</w:t>
            </w:r>
            <w:r w:rsidRPr="00DF798F">
              <w:rPr>
                <w:rFonts w:ascii="Arial" w:hAnsi="Arial" w:cs="Arial"/>
              </w:rPr>
              <w:t xml:space="preserve"> e.a.</w:t>
            </w:r>
          </w:p>
        </w:tc>
      </w:tr>
      <w:tr w:rsidR="004B2409" w:rsidRPr="00DF798F" w:rsidTr="008738A4">
        <w:trPr>
          <w:jc w:val="center"/>
        </w:trPr>
        <w:tc>
          <w:tcPr>
            <w:tcW w:w="260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B2409" w:rsidRPr="00DF798F" w:rsidRDefault="004B2409" w:rsidP="008738A4">
            <w:pPr>
              <w:spacing w:line="0" w:lineRule="atLeast"/>
              <w:rPr>
                <w:rFonts w:ascii="Arial" w:hAnsi="Arial" w:cs="Arial"/>
              </w:rPr>
            </w:pPr>
          </w:p>
        </w:tc>
        <w:tc>
          <w:tcPr>
            <w:tcW w:w="2680" w:type="dxa"/>
            <w:tcBorders>
              <w:top w:val="nil"/>
              <w:left w:val="nil"/>
              <w:bottom w:val="single" w:sz="8" w:space="0" w:color="auto"/>
              <w:right w:val="single" w:sz="8" w:space="0" w:color="auto"/>
            </w:tcBorders>
            <w:tcMar>
              <w:top w:w="0" w:type="dxa"/>
              <w:left w:w="108" w:type="dxa"/>
              <w:bottom w:w="0" w:type="dxa"/>
              <w:right w:w="108" w:type="dxa"/>
            </w:tcMar>
          </w:tcPr>
          <w:p w:rsidR="004B2409" w:rsidRPr="00DF798F" w:rsidRDefault="004B2409" w:rsidP="008738A4">
            <w:pPr>
              <w:spacing w:line="0" w:lineRule="atLeast"/>
              <w:rPr>
                <w:rFonts w:ascii="Arial" w:hAnsi="Arial" w:cs="Arial"/>
              </w:rPr>
            </w:pPr>
          </w:p>
        </w:tc>
        <w:tc>
          <w:tcPr>
            <w:tcW w:w="2144" w:type="dxa"/>
            <w:tcBorders>
              <w:top w:val="nil"/>
              <w:left w:val="nil"/>
              <w:bottom w:val="single" w:sz="8" w:space="0" w:color="auto"/>
              <w:right w:val="single" w:sz="8" w:space="0" w:color="auto"/>
            </w:tcBorders>
          </w:tcPr>
          <w:p w:rsidR="004B2409" w:rsidRPr="00DF798F" w:rsidRDefault="004B2409" w:rsidP="008738A4">
            <w:pPr>
              <w:spacing w:line="0" w:lineRule="atLeast"/>
              <w:rPr>
                <w:rFonts w:ascii="Arial" w:hAnsi="Arial" w:cs="Arial"/>
              </w:rPr>
            </w:pPr>
          </w:p>
        </w:tc>
      </w:tr>
      <w:tr w:rsidR="004B2409" w:rsidRPr="00DF798F" w:rsidTr="008738A4">
        <w:trPr>
          <w:jc w:val="center"/>
        </w:trPr>
        <w:tc>
          <w:tcPr>
            <w:tcW w:w="260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B2409" w:rsidRPr="00DF798F" w:rsidRDefault="004B2409" w:rsidP="008738A4">
            <w:pPr>
              <w:spacing w:line="0" w:lineRule="atLeast"/>
              <w:rPr>
                <w:rFonts w:ascii="Arial" w:hAnsi="Arial" w:cs="Arial"/>
              </w:rPr>
            </w:pPr>
            <w:r w:rsidRPr="00DF798F">
              <w:rPr>
                <w:rFonts w:ascii="Arial" w:hAnsi="Arial" w:cs="Arial"/>
              </w:rPr>
              <w:t>Ent</w:t>
            </w:r>
            <w:r w:rsidR="00AB3B7B">
              <w:rPr>
                <w:rFonts w:ascii="Arial" w:hAnsi="Arial" w:cs="Arial"/>
              </w:rPr>
              <w:t>idades</w:t>
            </w:r>
            <w:r w:rsidRPr="00DF798F">
              <w:rPr>
                <w:rFonts w:ascii="Arial" w:hAnsi="Arial" w:cs="Arial"/>
              </w:rPr>
              <w:t xml:space="preserve"> Territoriales</w:t>
            </w:r>
          </w:p>
        </w:tc>
        <w:tc>
          <w:tcPr>
            <w:tcW w:w="2680" w:type="dxa"/>
            <w:tcBorders>
              <w:top w:val="nil"/>
              <w:left w:val="nil"/>
              <w:bottom w:val="single" w:sz="8" w:space="0" w:color="auto"/>
              <w:right w:val="single" w:sz="8" w:space="0" w:color="auto"/>
            </w:tcBorders>
            <w:tcMar>
              <w:top w:w="0" w:type="dxa"/>
              <w:left w:w="108" w:type="dxa"/>
              <w:bottom w:w="0" w:type="dxa"/>
              <w:right w:w="108" w:type="dxa"/>
            </w:tcMar>
          </w:tcPr>
          <w:p w:rsidR="004B2409" w:rsidRPr="00DF798F" w:rsidRDefault="004B2409" w:rsidP="008738A4">
            <w:pPr>
              <w:spacing w:line="0" w:lineRule="atLeast"/>
              <w:rPr>
                <w:rFonts w:ascii="Arial" w:hAnsi="Arial" w:cs="Arial"/>
              </w:rPr>
            </w:pPr>
            <w:r w:rsidRPr="00DF798F">
              <w:rPr>
                <w:rFonts w:ascii="Arial" w:hAnsi="Arial" w:cs="Arial"/>
              </w:rPr>
              <w:t>DTF</w:t>
            </w:r>
            <w:r w:rsidR="009128D6" w:rsidRPr="00DF798F">
              <w:rPr>
                <w:rFonts w:ascii="Arial" w:hAnsi="Arial" w:cs="Arial"/>
              </w:rPr>
              <w:t xml:space="preserve"> </w:t>
            </w:r>
            <w:r w:rsidRPr="00DF798F">
              <w:rPr>
                <w:rFonts w:ascii="Arial" w:hAnsi="Arial" w:cs="Arial"/>
              </w:rPr>
              <w:t>-3.5% e.a.</w:t>
            </w:r>
          </w:p>
        </w:tc>
        <w:tc>
          <w:tcPr>
            <w:tcW w:w="2144" w:type="dxa"/>
            <w:tcBorders>
              <w:top w:val="nil"/>
              <w:left w:val="nil"/>
              <w:bottom w:val="single" w:sz="8" w:space="0" w:color="auto"/>
              <w:right w:val="single" w:sz="8" w:space="0" w:color="auto"/>
            </w:tcBorders>
          </w:tcPr>
          <w:p w:rsidR="004B2409" w:rsidRPr="00DF798F" w:rsidRDefault="004B2409" w:rsidP="008738A4">
            <w:pPr>
              <w:spacing w:line="0" w:lineRule="atLeast"/>
              <w:rPr>
                <w:rFonts w:ascii="Arial" w:hAnsi="Arial" w:cs="Arial"/>
              </w:rPr>
            </w:pPr>
            <w:r w:rsidRPr="00DF798F">
              <w:rPr>
                <w:rFonts w:ascii="Arial" w:hAnsi="Arial" w:cs="Arial"/>
              </w:rPr>
              <w:t>Hasta DTF+5% e.a.</w:t>
            </w:r>
          </w:p>
        </w:tc>
      </w:tr>
      <w:tr w:rsidR="004B2409" w:rsidRPr="00DF798F" w:rsidTr="008738A4">
        <w:trPr>
          <w:jc w:val="center"/>
        </w:trPr>
        <w:tc>
          <w:tcPr>
            <w:tcW w:w="260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B2409" w:rsidRPr="00DF798F" w:rsidRDefault="004B2409" w:rsidP="008738A4">
            <w:pPr>
              <w:spacing w:line="0" w:lineRule="atLeast"/>
              <w:rPr>
                <w:rFonts w:ascii="Arial" w:hAnsi="Arial" w:cs="Arial"/>
              </w:rPr>
            </w:pPr>
            <w:r w:rsidRPr="00DF798F">
              <w:rPr>
                <w:rFonts w:ascii="Arial" w:hAnsi="Arial" w:cs="Arial"/>
              </w:rPr>
              <w:t>Microcrédito</w:t>
            </w:r>
          </w:p>
        </w:tc>
        <w:tc>
          <w:tcPr>
            <w:tcW w:w="2680" w:type="dxa"/>
            <w:tcBorders>
              <w:top w:val="nil"/>
              <w:left w:val="nil"/>
              <w:bottom w:val="single" w:sz="8" w:space="0" w:color="auto"/>
              <w:right w:val="single" w:sz="8" w:space="0" w:color="auto"/>
            </w:tcBorders>
            <w:tcMar>
              <w:top w:w="0" w:type="dxa"/>
              <w:left w:w="108" w:type="dxa"/>
              <w:bottom w:w="0" w:type="dxa"/>
              <w:right w:w="108" w:type="dxa"/>
            </w:tcMar>
          </w:tcPr>
          <w:p w:rsidR="004B2409" w:rsidRPr="00DF798F" w:rsidRDefault="004B2409" w:rsidP="008738A4">
            <w:pPr>
              <w:spacing w:line="0" w:lineRule="atLeast"/>
              <w:rPr>
                <w:rFonts w:ascii="Arial" w:hAnsi="Arial" w:cs="Arial"/>
              </w:rPr>
            </w:pPr>
            <w:r w:rsidRPr="00DF798F">
              <w:rPr>
                <w:rFonts w:ascii="Arial" w:hAnsi="Arial" w:cs="Arial"/>
              </w:rPr>
              <w:t>DTF+2.5% e.a.</w:t>
            </w:r>
          </w:p>
        </w:tc>
        <w:tc>
          <w:tcPr>
            <w:tcW w:w="2144" w:type="dxa"/>
            <w:tcBorders>
              <w:top w:val="nil"/>
              <w:left w:val="nil"/>
              <w:bottom w:val="single" w:sz="8" w:space="0" w:color="auto"/>
              <w:right w:val="single" w:sz="8" w:space="0" w:color="auto"/>
            </w:tcBorders>
          </w:tcPr>
          <w:p w:rsidR="004B2409" w:rsidRPr="00DF798F" w:rsidRDefault="004B2409" w:rsidP="008738A4">
            <w:pPr>
              <w:spacing w:line="0" w:lineRule="atLeast"/>
              <w:rPr>
                <w:rFonts w:ascii="Arial" w:hAnsi="Arial" w:cs="Arial"/>
              </w:rPr>
            </w:pPr>
            <w:r w:rsidRPr="00DF798F">
              <w:rPr>
                <w:rFonts w:ascii="Arial" w:hAnsi="Arial" w:cs="Arial"/>
              </w:rPr>
              <w:t xml:space="preserve">Hasta la máxima permitida </w:t>
            </w:r>
          </w:p>
        </w:tc>
      </w:tr>
    </w:tbl>
    <w:p w:rsidR="004B2409" w:rsidRPr="00DF798F" w:rsidRDefault="004B2409" w:rsidP="004B2409">
      <w:pPr>
        <w:spacing w:line="0" w:lineRule="atLeast"/>
        <w:jc w:val="both"/>
        <w:outlineLvl w:val="0"/>
        <w:rPr>
          <w:rFonts w:ascii="Arial" w:hAnsi="Arial" w:cs="Arial"/>
          <w:lang w:eastAsia="es-ES"/>
        </w:rPr>
      </w:pPr>
    </w:p>
    <w:p w:rsidR="004B2409" w:rsidRPr="00DF798F" w:rsidRDefault="004B2409" w:rsidP="004B2409">
      <w:pPr>
        <w:spacing w:line="0" w:lineRule="atLeast"/>
        <w:jc w:val="both"/>
        <w:rPr>
          <w:rFonts w:ascii="Arial" w:hAnsi="Arial" w:cs="Arial"/>
        </w:rPr>
      </w:pPr>
      <w:r w:rsidRPr="00DF798F">
        <w:rPr>
          <w:rFonts w:ascii="Arial" w:hAnsi="Arial" w:cs="Arial"/>
        </w:rPr>
        <w:t>Cuando el plazo del crédito sea superior a diez (10) años, la tasa de interés podrá acordarse libremente entre el beneficiario del crédito y el intermediario financiero.</w:t>
      </w:r>
    </w:p>
    <w:p w:rsidR="004B2409" w:rsidRDefault="004B2409" w:rsidP="004B2409">
      <w:pPr>
        <w:pStyle w:val="p2"/>
        <w:spacing w:line="0" w:lineRule="atLeast"/>
        <w:ind w:left="0" w:right="51"/>
        <w:rPr>
          <w:rFonts w:ascii="Arial" w:hAnsi="Arial" w:cs="Arial"/>
          <w:sz w:val="22"/>
          <w:szCs w:val="22"/>
          <w:lang w:val="es-CO"/>
        </w:rPr>
      </w:pPr>
      <w:r w:rsidRPr="00DF798F">
        <w:rPr>
          <w:rFonts w:ascii="Arial" w:hAnsi="Arial" w:cs="Arial"/>
          <w:sz w:val="22"/>
          <w:szCs w:val="22"/>
          <w:lang w:val="es-CO"/>
        </w:rPr>
        <w:t>Los intermediarios financieros y beneficiarios del crédito podrán acordar la capitalización de intereses, de conformidad con lo dispuesto en el artículo 2 de la Resolución 17 de 2007 de la Junta Directiva del Banco de la República y sus modificaciones.”</w:t>
      </w:r>
    </w:p>
    <w:p w:rsidR="006A3F93" w:rsidRDefault="006A3F93" w:rsidP="004B2409">
      <w:pPr>
        <w:pStyle w:val="p2"/>
        <w:spacing w:line="0" w:lineRule="atLeast"/>
        <w:ind w:left="0" w:right="51"/>
        <w:rPr>
          <w:rFonts w:ascii="Arial" w:hAnsi="Arial" w:cs="Arial"/>
          <w:sz w:val="22"/>
          <w:szCs w:val="22"/>
          <w:lang w:val="es-CO"/>
        </w:rPr>
      </w:pPr>
    </w:p>
    <w:p w:rsidR="006A3F93" w:rsidRPr="00DF798F" w:rsidRDefault="006A3F93" w:rsidP="004B2409">
      <w:pPr>
        <w:pStyle w:val="p2"/>
        <w:spacing w:line="0" w:lineRule="atLeast"/>
        <w:ind w:left="0" w:right="51"/>
        <w:rPr>
          <w:rFonts w:ascii="Arial" w:hAnsi="Arial" w:cs="Arial"/>
          <w:sz w:val="22"/>
          <w:szCs w:val="22"/>
          <w:lang w:val="es-CO"/>
        </w:rPr>
      </w:pPr>
      <w:r>
        <w:rPr>
          <w:rFonts w:ascii="Arial" w:hAnsi="Arial" w:cs="Arial"/>
          <w:sz w:val="22"/>
          <w:szCs w:val="22"/>
          <w:lang w:val="es-CO"/>
        </w:rPr>
        <w:t xml:space="preserve">Las Entidades Territoriales </w:t>
      </w:r>
      <w:r w:rsidR="00AE5A61">
        <w:rPr>
          <w:rFonts w:ascii="Arial" w:hAnsi="Arial" w:cs="Arial"/>
          <w:sz w:val="22"/>
          <w:szCs w:val="22"/>
          <w:lang w:val="es-CO"/>
        </w:rPr>
        <w:t>se clasificaran por el nivel de activos para todos los demás aspectos relacionados con el crédito agropecuario y rural.</w:t>
      </w:r>
    </w:p>
    <w:p w:rsidR="004B2409" w:rsidRPr="00DF798F" w:rsidRDefault="004B2409" w:rsidP="004B2409">
      <w:pPr>
        <w:jc w:val="both"/>
        <w:rPr>
          <w:rFonts w:ascii="Arial" w:hAnsi="Arial" w:cs="Arial"/>
          <w:b/>
        </w:rPr>
      </w:pPr>
    </w:p>
    <w:p w:rsidR="00D22CAE" w:rsidRPr="00DF798F" w:rsidRDefault="00D22CAE" w:rsidP="00D22CAE">
      <w:pPr>
        <w:jc w:val="both"/>
        <w:rPr>
          <w:rFonts w:ascii="Arial" w:hAnsi="Arial" w:cs="Arial"/>
        </w:rPr>
      </w:pPr>
      <w:r w:rsidRPr="00DB6669">
        <w:rPr>
          <w:rFonts w:ascii="Arial" w:hAnsi="Arial" w:cs="Arial"/>
          <w:b/>
        </w:rPr>
        <w:t>Artículo</w:t>
      </w:r>
      <w:r w:rsidR="000D772D">
        <w:rPr>
          <w:rFonts w:ascii="Arial" w:hAnsi="Arial" w:cs="Arial"/>
          <w:b/>
        </w:rPr>
        <w:t xml:space="preserve"> 3</w:t>
      </w:r>
      <w:r w:rsidRPr="00DF798F">
        <w:rPr>
          <w:rFonts w:ascii="Arial" w:hAnsi="Arial" w:cs="Arial"/>
          <w:b/>
        </w:rPr>
        <w:t xml:space="preserve">. </w:t>
      </w:r>
      <w:r w:rsidRPr="00DF798F">
        <w:rPr>
          <w:rFonts w:ascii="Arial" w:hAnsi="Arial" w:cs="Arial"/>
        </w:rPr>
        <w:t>Modifíquese el artículo 1 de la Resolución 2 de 2017, el cual quedará así:</w:t>
      </w:r>
    </w:p>
    <w:p w:rsidR="00D22CAE" w:rsidRPr="00DF798F" w:rsidRDefault="00D22CAE" w:rsidP="00D22CAE">
      <w:pPr>
        <w:pStyle w:val="Textoindependiente3"/>
        <w:spacing w:after="0" w:line="0" w:lineRule="atLeast"/>
        <w:rPr>
          <w:snapToGrid w:val="0"/>
          <w:sz w:val="22"/>
          <w:szCs w:val="22"/>
        </w:rPr>
      </w:pPr>
      <w:r w:rsidRPr="00DF798F">
        <w:rPr>
          <w:b/>
          <w:snapToGrid w:val="0"/>
          <w:sz w:val="22"/>
          <w:szCs w:val="22"/>
        </w:rPr>
        <w:t>“Artículo 1°.-</w:t>
      </w:r>
      <w:r w:rsidRPr="00DF798F">
        <w:rPr>
          <w:snapToGrid w:val="0"/>
          <w:sz w:val="22"/>
          <w:szCs w:val="22"/>
        </w:rPr>
        <w:t xml:space="preserve">  La expedición de garantías del Fondo Agropecuario de Garantías – FAG en el año 2017 se sujetará a las siguientes disposiciones:</w:t>
      </w:r>
    </w:p>
    <w:p w:rsidR="00D22CAE" w:rsidRPr="00DF798F" w:rsidRDefault="00D22CAE" w:rsidP="00D22CAE">
      <w:pPr>
        <w:pStyle w:val="Textoindependiente3"/>
        <w:spacing w:after="0" w:line="0" w:lineRule="atLeast"/>
        <w:rPr>
          <w:snapToGrid w:val="0"/>
          <w:sz w:val="22"/>
          <w:szCs w:val="22"/>
        </w:rPr>
      </w:pPr>
    </w:p>
    <w:p w:rsidR="00D22CAE" w:rsidRPr="00DF798F" w:rsidRDefault="00D22CAE" w:rsidP="00D22CAE">
      <w:pPr>
        <w:jc w:val="both"/>
        <w:rPr>
          <w:rFonts w:ascii="Arial" w:hAnsi="Arial" w:cs="Arial"/>
          <w:b/>
          <w:bCs/>
          <w:snapToGrid w:val="0"/>
          <w:color w:val="8496B0" w:themeColor="text2" w:themeTint="99"/>
        </w:rPr>
      </w:pPr>
      <w:r w:rsidRPr="00DF798F">
        <w:rPr>
          <w:rFonts w:ascii="Arial" w:hAnsi="Arial" w:cs="Arial"/>
          <w:b/>
          <w:snapToGrid w:val="0"/>
          <w:color w:val="000000" w:themeColor="text1"/>
        </w:rPr>
        <w:lastRenderedPageBreak/>
        <w:t xml:space="preserve">Comisiones.- </w:t>
      </w:r>
      <w:r w:rsidRPr="00DF798F">
        <w:rPr>
          <w:rFonts w:ascii="Arial" w:eastAsia="Arial" w:hAnsi="Arial" w:cs="Arial"/>
          <w:color w:val="000000"/>
          <w:u w:color="000000"/>
          <w:bdr w:val="nil"/>
        </w:rPr>
        <w:t>Los intermediarios financieros deberán pagar al FAG, sobre el monto de la garantía vigente, una comisión anual anticipada, así:</w:t>
      </w:r>
    </w:p>
    <w:p w:rsidR="00D22CAE" w:rsidRPr="00DF798F" w:rsidRDefault="00D22CAE" w:rsidP="00D22CAE">
      <w:pPr>
        <w:spacing w:line="0" w:lineRule="atLeast"/>
        <w:contextualSpacing/>
        <w:jc w:val="both"/>
        <w:rPr>
          <w:rFonts w:ascii="Arial" w:eastAsia="Arial" w:hAnsi="Arial" w:cs="Arial"/>
        </w:rPr>
      </w:pPr>
      <w:r w:rsidRPr="00DF798F">
        <w:rPr>
          <w:rFonts w:ascii="Arial" w:eastAsia="Arial" w:hAnsi="Arial" w:cs="Arial"/>
        </w:rPr>
        <w:t>En el caso de garantías que respalden créditos cuyo plazo sea inferior a un (1) año, la comisión a pagar será proporcional al plazo del crédito.</w:t>
      </w:r>
    </w:p>
    <w:p w:rsidR="00D22CAE" w:rsidRPr="00DF798F" w:rsidRDefault="00D22CAE" w:rsidP="00D22CAE">
      <w:pPr>
        <w:spacing w:line="0" w:lineRule="atLeast"/>
        <w:contextualSpacing/>
        <w:rPr>
          <w:rFonts w:ascii="Arial" w:eastAsia="Arial" w:hAnsi="Arial" w:cs="Arial"/>
        </w:rPr>
      </w:pPr>
    </w:p>
    <w:p w:rsidR="00D22CAE" w:rsidRPr="00DF798F" w:rsidRDefault="00D22CAE" w:rsidP="00D22CAE">
      <w:pPr>
        <w:spacing w:line="0" w:lineRule="atLeast"/>
        <w:contextualSpacing/>
        <w:jc w:val="both"/>
        <w:rPr>
          <w:rFonts w:ascii="Arial" w:eastAsia="Arial" w:hAnsi="Arial" w:cs="Arial"/>
        </w:rPr>
      </w:pPr>
      <w:r w:rsidRPr="00DF798F">
        <w:rPr>
          <w:rFonts w:ascii="Arial" w:eastAsia="Arial" w:hAnsi="Arial" w:cs="Arial"/>
        </w:rPr>
        <w:t>En el caso de garantías que respalden créditos de duración superior a un (1) año pero cuyo plazo total no corresponda exactamente a anualidades, la comisión por las fracciones de año se cobrará de manera proporcional.</w:t>
      </w:r>
    </w:p>
    <w:p w:rsidR="00D22CAE" w:rsidRPr="00DF798F" w:rsidRDefault="00D22CAE" w:rsidP="00D22CAE">
      <w:pPr>
        <w:spacing w:line="0" w:lineRule="atLeast"/>
        <w:contextualSpacing/>
        <w:rPr>
          <w:rFonts w:ascii="Arial" w:eastAsia="Arial" w:hAnsi="Arial" w:cs="Arial"/>
        </w:rPr>
      </w:pPr>
    </w:p>
    <w:p w:rsidR="00D22CAE" w:rsidRPr="00DF798F" w:rsidRDefault="00D22CAE" w:rsidP="00D22CAE">
      <w:pPr>
        <w:spacing w:line="0" w:lineRule="atLeast"/>
        <w:contextualSpacing/>
        <w:jc w:val="both"/>
        <w:rPr>
          <w:rFonts w:ascii="Arial" w:eastAsia="Arial" w:hAnsi="Arial" w:cs="Arial"/>
        </w:rPr>
      </w:pPr>
      <w:r w:rsidRPr="00DF798F">
        <w:rPr>
          <w:rFonts w:ascii="Arial" w:eastAsia="Arial" w:hAnsi="Arial" w:cs="Arial"/>
        </w:rPr>
        <w:t>Para garantías que respalden créditos de medianos y grandes productores, cuyo plazo supere los doce (12) meses sin exceder de veinticuatro (24), se podrá establecer por parte de FINAGRO una comisión única, con pago único anticipado.</w:t>
      </w:r>
    </w:p>
    <w:p w:rsidR="00D22CAE" w:rsidRPr="00DF798F" w:rsidRDefault="00D22CAE" w:rsidP="00D22CAE">
      <w:pPr>
        <w:spacing w:line="0" w:lineRule="atLeast"/>
        <w:contextualSpacing/>
        <w:jc w:val="both"/>
        <w:rPr>
          <w:rFonts w:ascii="Arial" w:eastAsia="Arial" w:hAnsi="Arial" w:cs="Arial"/>
        </w:rPr>
      </w:pPr>
    </w:p>
    <w:p w:rsidR="00D22CAE" w:rsidRPr="00DF798F" w:rsidRDefault="00D22CAE" w:rsidP="00D22CAE">
      <w:pPr>
        <w:spacing w:line="0" w:lineRule="atLeast"/>
        <w:contextualSpacing/>
        <w:jc w:val="both"/>
        <w:rPr>
          <w:rFonts w:ascii="Arial" w:eastAsia="Arial" w:hAnsi="Arial" w:cs="Arial"/>
        </w:rPr>
      </w:pPr>
      <w:r w:rsidRPr="00DF798F">
        <w:rPr>
          <w:rFonts w:ascii="Arial" w:eastAsia="Arial" w:hAnsi="Arial" w:cs="Arial"/>
        </w:rPr>
        <w:t>Cuando se trate de garantías para respaldar créditos de pequeños productores, independiente del plazo del crédito, se podrá establecer comisión única, con pago único anticipado.</w:t>
      </w:r>
    </w:p>
    <w:p w:rsidR="00D22CAE" w:rsidRPr="00DF798F" w:rsidRDefault="00D22CAE" w:rsidP="00D22CAE">
      <w:pPr>
        <w:spacing w:line="0" w:lineRule="atLeast"/>
        <w:contextualSpacing/>
        <w:jc w:val="both"/>
        <w:rPr>
          <w:rFonts w:ascii="Arial" w:eastAsia="Arial" w:hAnsi="Arial" w:cs="Arial"/>
        </w:rPr>
      </w:pPr>
    </w:p>
    <w:p w:rsidR="00D22CAE" w:rsidRPr="00DF798F" w:rsidRDefault="00D22CAE" w:rsidP="00D22CAE">
      <w:pPr>
        <w:spacing w:after="0" w:line="240" w:lineRule="auto"/>
        <w:contextualSpacing/>
        <w:jc w:val="both"/>
        <w:rPr>
          <w:rFonts w:ascii="Arial" w:eastAsia="Arial" w:hAnsi="Arial" w:cs="Arial"/>
        </w:rPr>
      </w:pPr>
      <w:r w:rsidRPr="00DF798F">
        <w:rPr>
          <w:rFonts w:ascii="Arial" w:eastAsia="Arial" w:hAnsi="Arial" w:cs="Arial"/>
        </w:rPr>
        <w:t>Para los créditos con capitalización de intereses, la comisión deberá ser anual anticipada.</w:t>
      </w:r>
    </w:p>
    <w:p w:rsidR="00D22CAE" w:rsidRPr="00DF798F" w:rsidRDefault="00D22CAE" w:rsidP="00D22CAE">
      <w:pPr>
        <w:spacing w:after="0" w:line="240" w:lineRule="auto"/>
        <w:contextualSpacing/>
        <w:jc w:val="both"/>
        <w:rPr>
          <w:rFonts w:ascii="Arial" w:eastAsia="Arial" w:hAnsi="Arial" w:cs="Arial"/>
        </w:rPr>
      </w:pPr>
    </w:p>
    <w:p w:rsidR="00D22CAE" w:rsidRPr="00DF798F" w:rsidRDefault="00D22CAE" w:rsidP="00D22CAE">
      <w:pPr>
        <w:spacing w:after="0" w:line="240" w:lineRule="auto"/>
        <w:contextualSpacing/>
        <w:jc w:val="both"/>
        <w:rPr>
          <w:rFonts w:ascii="Arial" w:eastAsia="Arial" w:hAnsi="Arial" w:cs="Arial"/>
        </w:rPr>
      </w:pPr>
      <w:r w:rsidRPr="00DF798F">
        <w:rPr>
          <w:rFonts w:ascii="Arial" w:eastAsia="Arial" w:hAnsi="Arial" w:cs="Arial"/>
        </w:rPr>
        <w:t>El valor de las comisiones anuales serán las siguientes:</w:t>
      </w:r>
    </w:p>
    <w:p w:rsidR="00D22CAE" w:rsidRPr="00DF798F" w:rsidRDefault="00D22CAE" w:rsidP="00D22CAE">
      <w:pPr>
        <w:spacing w:after="0" w:line="240" w:lineRule="auto"/>
        <w:ind w:left="720"/>
        <w:jc w:val="both"/>
        <w:rPr>
          <w:rFonts w:ascii="Arial" w:eastAsia="Arial" w:hAnsi="Arial" w:cs="Arial"/>
          <w:color w:val="000000"/>
          <w:u w:color="000000"/>
          <w:bdr w:val="nil"/>
        </w:rPr>
      </w:pPr>
    </w:p>
    <w:p w:rsidR="00D22CAE" w:rsidRPr="00DF798F" w:rsidRDefault="00D22CAE" w:rsidP="00D22CAE">
      <w:pPr>
        <w:numPr>
          <w:ilvl w:val="0"/>
          <w:numId w:val="1"/>
        </w:numPr>
        <w:spacing w:after="0" w:line="240" w:lineRule="auto"/>
        <w:jc w:val="both"/>
        <w:rPr>
          <w:rFonts w:ascii="Arial" w:eastAsia="Arial" w:hAnsi="Arial" w:cs="Arial"/>
          <w:color w:val="000000"/>
          <w:u w:color="000000"/>
          <w:bdr w:val="nil"/>
        </w:rPr>
      </w:pPr>
      <w:r w:rsidRPr="00DF798F">
        <w:rPr>
          <w:rFonts w:ascii="Arial" w:eastAsia="Arial" w:hAnsi="Arial" w:cs="Arial"/>
          <w:color w:val="000000"/>
          <w:u w:color="000000"/>
          <w:bdr w:val="nil"/>
        </w:rPr>
        <w:t xml:space="preserve">Para i) crédito </w:t>
      </w:r>
      <w:r w:rsidRPr="00DF798F">
        <w:rPr>
          <w:rFonts w:ascii="Arial" w:eastAsia="Arial" w:hAnsi="Arial" w:cs="Arial"/>
          <w:u w:color="000000"/>
          <w:bdr w:val="nil"/>
        </w:rPr>
        <w:t xml:space="preserve">individual; o ii) crédito asociativo con responsabilidad individual. Casos: desplazados, pequeño productor y mujer rural, mediano productor (víctimas, </w:t>
      </w:r>
      <w:r w:rsidRPr="00DF798F">
        <w:rPr>
          <w:rFonts w:ascii="Arial" w:eastAsia="Arial" w:hAnsi="Arial" w:cs="Arial"/>
          <w:color w:val="000000"/>
          <w:u w:color="000000"/>
          <w:bdr w:val="nil"/>
        </w:rPr>
        <w:t>reinsertados y desarrollo alternativo), gran productor (víctimas, reinsertados y desarrollo alternativo):</w:t>
      </w:r>
    </w:p>
    <w:p w:rsidR="00D22CAE" w:rsidRPr="00DF798F" w:rsidRDefault="00D22CAE" w:rsidP="00D22CAE">
      <w:pPr>
        <w:spacing w:after="0" w:line="240" w:lineRule="auto"/>
        <w:ind w:left="720"/>
        <w:jc w:val="both"/>
        <w:rPr>
          <w:rFonts w:ascii="Arial" w:eastAsia="Arial" w:hAnsi="Arial" w:cs="Arial"/>
          <w:color w:val="000000"/>
          <w:u w:color="000000"/>
          <w:bdr w:val="nil"/>
        </w:rPr>
      </w:pPr>
    </w:p>
    <w:p w:rsidR="00D22CAE" w:rsidRPr="00DF798F" w:rsidRDefault="00D22CAE" w:rsidP="00D22CAE">
      <w:pPr>
        <w:spacing w:after="0" w:line="240" w:lineRule="auto"/>
        <w:ind w:left="720"/>
        <w:jc w:val="both"/>
        <w:rPr>
          <w:rFonts w:ascii="Arial" w:eastAsia="Arial" w:hAnsi="Arial" w:cs="Arial"/>
          <w:color w:val="000000"/>
          <w:u w:color="000000"/>
          <w:bdr w:val="nil"/>
        </w:rPr>
      </w:pPr>
    </w:p>
    <w:tbl>
      <w:tblPr>
        <w:tblW w:w="8106" w:type="dxa"/>
        <w:tblInd w:w="753" w:type="dxa"/>
        <w:tblCellMar>
          <w:left w:w="70" w:type="dxa"/>
          <w:right w:w="70" w:type="dxa"/>
        </w:tblCellMar>
        <w:tblLook w:val="04A0" w:firstRow="1" w:lastRow="0" w:firstColumn="1" w:lastColumn="0" w:noHBand="0" w:noVBand="1"/>
      </w:tblPr>
      <w:tblGrid>
        <w:gridCol w:w="202"/>
        <w:gridCol w:w="6161"/>
        <w:gridCol w:w="1743"/>
      </w:tblGrid>
      <w:tr w:rsidR="00D22CAE" w:rsidRPr="00DF798F" w:rsidTr="008738A4">
        <w:trPr>
          <w:trHeight w:val="315"/>
        </w:trPr>
        <w:tc>
          <w:tcPr>
            <w:tcW w:w="6363" w:type="dxa"/>
            <w:gridSpan w:val="2"/>
            <w:tcBorders>
              <w:top w:val="single" w:sz="8" w:space="0" w:color="auto"/>
              <w:left w:val="single" w:sz="8" w:space="0" w:color="auto"/>
              <w:bottom w:val="single" w:sz="8" w:space="0" w:color="auto"/>
              <w:right w:val="nil"/>
            </w:tcBorders>
            <w:shd w:val="clear" w:color="000000" w:fill="DDD9C4"/>
            <w:noWrap/>
            <w:vAlign w:val="center"/>
            <w:hideMark/>
          </w:tcPr>
          <w:p w:rsidR="00D22CAE" w:rsidRPr="00DF798F" w:rsidRDefault="00D22CAE" w:rsidP="008738A4">
            <w:pPr>
              <w:spacing w:after="0" w:line="240" w:lineRule="auto"/>
              <w:rPr>
                <w:rFonts w:ascii="Arial" w:eastAsia="Times New Roman" w:hAnsi="Arial" w:cs="Arial"/>
                <w:color w:val="000000"/>
                <w:lang w:eastAsia="es-CO"/>
              </w:rPr>
            </w:pPr>
            <w:r w:rsidRPr="00DF798F">
              <w:rPr>
                <w:rFonts w:ascii="Arial" w:eastAsia="Times New Roman" w:hAnsi="Arial" w:cs="Arial"/>
                <w:color w:val="000000"/>
                <w:lang w:eastAsia="es-CO"/>
              </w:rPr>
              <w:t>Tipo de productor</w:t>
            </w:r>
          </w:p>
        </w:tc>
        <w:tc>
          <w:tcPr>
            <w:tcW w:w="1743" w:type="dxa"/>
            <w:tcBorders>
              <w:top w:val="single" w:sz="8" w:space="0" w:color="auto"/>
              <w:left w:val="nil"/>
              <w:bottom w:val="single" w:sz="8" w:space="0" w:color="auto"/>
              <w:right w:val="single" w:sz="8" w:space="0" w:color="auto"/>
            </w:tcBorders>
            <w:shd w:val="clear" w:color="000000" w:fill="DDD9C4"/>
            <w:noWrap/>
            <w:vAlign w:val="center"/>
            <w:hideMark/>
          </w:tcPr>
          <w:p w:rsidR="00D22CAE" w:rsidRPr="00DF798F" w:rsidRDefault="00D22CAE" w:rsidP="008738A4">
            <w:pPr>
              <w:spacing w:after="0" w:line="240" w:lineRule="auto"/>
              <w:jc w:val="center"/>
              <w:rPr>
                <w:rFonts w:ascii="Arial" w:eastAsia="Times New Roman" w:hAnsi="Arial" w:cs="Arial"/>
                <w:color w:val="000000"/>
                <w:lang w:eastAsia="es-CO"/>
              </w:rPr>
            </w:pPr>
            <w:r w:rsidRPr="00DF798F">
              <w:rPr>
                <w:rFonts w:ascii="Arial" w:eastAsia="Times New Roman" w:hAnsi="Arial" w:cs="Arial"/>
                <w:color w:val="000000"/>
                <w:lang w:eastAsia="es-CO"/>
              </w:rPr>
              <w:t>Comisión</w:t>
            </w:r>
          </w:p>
        </w:tc>
      </w:tr>
      <w:tr w:rsidR="00D22CAE" w:rsidRPr="00DF798F" w:rsidTr="008738A4">
        <w:trPr>
          <w:trHeight w:val="315"/>
        </w:trPr>
        <w:tc>
          <w:tcPr>
            <w:tcW w:w="6363" w:type="dxa"/>
            <w:gridSpan w:val="2"/>
            <w:tcBorders>
              <w:top w:val="single" w:sz="8" w:space="0" w:color="auto"/>
              <w:left w:val="single" w:sz="8" w:space="0" w:color="auto"/>
              <w:bottom w:val="single" w:sz="8" w:space="0" w:color="auto"/>
              <w:right w:val="nil"/>
            </w:tcBorders>
            <w:shd w:val="clear" w:color="auto" w:fill="auto"/>
            <w:noWrap/>
            <w:vAlign w:val="center"/>
            <w:hideMark/>
          </w:tcPr>
          <w:p w:rsidR="00D22CAE" w:rsidRPr="00DF798F" w:rsidRDefault="00D22CAE" w:rsidP="008738A4">
            <w:pPr>
              <w:spacing w:after="0" w:line="240" w:lineRule="auto"/>
              <w:rPr>
                <w:rFonts w:ascii="Arial" w:eastAsia="Times New Roman" w:hAnsi="Arial" w:cs="Arial"/>
                <w:color w:val="000000"/>
                <w:lang w:eastAsia="es-CO"/>
              </w:rPr>
            </w:pPr>
            <w:r w:rsidRPr="00DF798F">
              <w:rPr>
                <w:rFonts w:ascii="Arial" w:eastAsia="Times New Roman" w:hAnsi="Arial" w:cs="Arial"/>
                <w:color w:val="000000"/>
                <w:lang w:eastAsia="es-CO"/>
              </w:rPr>
              <w:t>Desplazados</w:t>
            </w:r>
          </w:p>
        </w:tc>
        <w:tc>
          <w:tcPr>
            <w:tcW w:w="1743" w:type="dxa"/>
            <w:tcBorders>
              <w:top w:val="nil"/>
              <w:left w:val="nil"/>
              <w:bottom w:val="single" w:sz="8" w:space="0" w:color="auto"/>
              <w:right w:val="single" w:sz="8" w:space="0" w:color="auto"/>
            </w:tcBorders>
            <w:shd w:val="clear" w:color="auto" w:fill="auto"/>
            <w:noWrap/>
            <w:vAlign w:val="center"/>
            <w:hideMark/>
          </w:tcPr>
          <w:p w:rsidR="00D22CAE" w:rsidRPr="00DF798F" w:rsidRDefault="00D22CAE" w:rsidP="008738A4">
            <w:pPr>
              <w:spacing w:after="0" w:line="240" w:lineRule="auto"/>
              <w:jc w:val="center"/>
              <w:rPr>
                <w:rFonts w:ascii="Arial" w:eastAsia="Times New Roman" w:hAnsi="Arial" w:cs="Arial"/>
                <w:color w:val="000000"/>
                <w:lang w:eastAsia="es-CO"/>
              </w:rPr>
            </w:pPr>
            <w:r w:rsidRPr="00DF798F">
              <w:rPr>
                <w:rFonts w:ascii="Arial" w:eastAsia="Times New Roman" w:hAnsi="Arial" w:cs="Arial"/>
                <w:color w:val="000000"/>
                <w:lang w:eastAsia="es-CO"/>
              </w:rPr>
              <w:t>1,50%</w:t>
            </w:r>
          </w:p>
        </w:tc>
      </w:tr>
      <w:tr w:rsidR="00D22CAE" w:rsidRPr="00DF798F" w:rsidTr="008738A4">
        <w:trPr>
          <w:trHeight w:val="300"/>
        </w:trPr>
        <w:tc>
          <w:tcPr>
            <w:tcW w:w="6363" w:type="dxa"/>
            <w:gridSpan w:val="2"/>
            <w:tcBorders>
              <w:top w:val="single" w:sz="8" w:space="0" w:color="auto"/>
              <w:left w:val="single" w:sz="8" w:space="0" w:color="auto"/>
              <w:bottom w:val="nil"/>
              <w:right w:val="nil"/>
            </w:tcBorders>
            <w:shd w:val="clear" w:color="auto" w:fill="auto"/>
            <w:noWrap/>
            <w:vAlign w:val="center"/>
            <w:hideMark/>
          </w:tcPr>
          <w:p w:rsidR="00D22CAE" w:rsidRPr="00DF798F" w:rsidRDefault="00D22CAE" w:rsidP="008738A4">
            <w:pPr>
              <w:spacing w:after="0" w:line="240" w:lineRule="auto"/>
              <w:rPr>
                <w:rFonts w:ascii="Arial" w:eastAsia="Times New Roman" w:hAnsi="Arial" w:cs="Arial"/>
                <w:color w:val="000000"/>
                <w:lang w:eastAsia="es-CO"/>
              </w:rPr>
            </w:pPr>
            <w:r w:rsidRPr="00DF798F">
              <w:rPr>
                <w:rFonts w:ascii="Arial" w:eastAsia="Times New Roman" w:hAnsi="Arial" w:cs="Arial"/>
                <w:color w:val="000000"/>
                <w:lang w:eastAsia="es-CO"/>
              </w:rPr>
              <w:t>Pequeño productor y mujer rural:</w:t>
            </w:r>
          </w:p>
        </w:tc>
        <w:tc>
          <w:tcPr>
            <w:tcW w:w="1743" w:type="dxa"/>
            <w:tcBorders>
              <w:top w:val="nil"/>
              <w:left w:val="nil"/>
              <w:bottom w:val="nil"/>
              <w:right w:val="single" w:sz="8" w:space="0" w:color="auto"/>
            </w:tcBorders>
            <w:shd w:val="clear" w:color="auto" w:fill="auto"/>
            <w:noWrap/>
            <w:vAlign w:val="center"/>
            <w:hideMark/>
          </w:tcPr>
          <w:p w:rsidR="00D22CAE" w:rsidRPr="00DF798F" w:rsidRDefault="00D22CAE" w:rsidP="008738A4">
            <w:pPr>
              <w:spacing w:after="0" w:line="240" w:lineRule="auto"/>
              <w:rPr>
                <w:rFonts w:ascii="Arial" w:eastAsia="Times New Roman" w:hAnsi="Arial" w:cs="Arial"/>
                <w:color w:val="000000"/>
                <w:lang w:eastAsia="es-CO"/>
              </w:rPr>
            </w:pPr>
            <w:r w:rsidRPr="00DF798F">
              <w:rPr>
                <w:rFonts w:ascii="Arial" w:eastAsia="Times New Roman" w:hAnsi="Arial" w:cs="Arial"/>
                <w:color w:val="000000"/>
                <w:lang w:eastAsia="es-CO"/>
              </w:rPr>
              <w:t> </w:t>
            </w:r>
          </w:p>
        </w:tc>
      </w:tr>
      <w:tr w:rsidR="00D22CAE" w:rsidRPr="00DF798F" w:rsidTr="008738A4">
        <w:trPr>
          <w:trHeight w:val="855"/>
        </w:trPr>
        <w:tc>
          <w:tcPr>
            <w:tcW w:w="202" w:type="dxa"/>
            <w:tcBorders>
              <w:top w:val="nil"/>
              <w:left w:val="single" w:sz="8" w:space="0" w:color="auto"/>
              <w:bottom w:val="nil"/>
              <w:right w:val="nil"/>
            </w:tcBorders>
            <w:shd w:val="clear" w:color="auto" w:fill="auto"/>
            <w:noWrap/>
            <w:vAlign w:val="center"/>
            <w:hideMark/>
          </w:tcPr>
          <w:p w:rsidR="00D22CAE" w:rsidRPr="00DF798F" w:rsidRDefault="00D22CAE" w:rsidP="008738A4">
            <w:pPr>
              <w:spacing w:after="0" w:line="240" w:lineRule="auto"/>
              <w:rPr>
                <w:rFonts w:ascii="Arial" w:eastAsia="Times New Roman" w:hAnsi="Arial" w:cs="Arial"/>
                <w:color w:val="000000"/>
                <w:lang w:eastAsia="es-CO"/>
              </w:rPr>
            </w:pPr>
            <w:r w:rsidRPr="00DF798F">
              <w:rPr>
                <w:rFonts w:ascii="Arial" w:eastAsia="Times New Roman" w:hAnsi="Arial" w:cs="Arial"/>
                <w:color w:val="000000"/>
                <w:lang w:eastAsia="es-CO"/>
              </w:rPr>
              <w:t> </w:t>
            </w:r>
          </w:p>
        </w:tc>
        <w:tc>
          <w:tcPr>
            <w:tcW w:w="6161" w:type="dxa"/>
            <w:tcBorders>
              <w:top w:val="nil"/>
              <w:left w:val="nil"/>
              <w:bottom w:val="nil"/>
              <w:right w:val="nil"/>
            </w:tcBorders>
            <w:shd w:val="clear" w:color="auto" w:fill="auto"/>
            <w:vAlign w:val="center"/>
            <w:hideMark/>
          </w:tcPr>
          <w:p w:rsidR="00D22CAE" w:rsidRPr="00DF798F" w:rsidRDefault="00D22CAE" w:rsidP="008738A4">
            <w:pPr>
              <w:spacing w:after="0" w:line="240" w:lineRule="auto"/>
              <w:rPr>
                <w:rFonts w:ascii="Arial" w:eastAsia="Times New Roman" w:hAnsi="Arial" w:cs="Arial"/>
                <w:color w:val="000000"/>
                <w:lang w:eastAsia="es-CO"/>
              </w:rPr>
            </w:pPr>
            <w:r w:rsidRPr="00DF798F">
              <w:rPr>
                <w:rFonts w:ascii="Arial" w:eastAsia="Times New Roman" w:hAnsi="Arial" w:cs="Arial"/>
                <w:color w:val="000000"/>
                <w:lang w:eastAsia="es-CO"/>
              </w:rPr>
              <w:t>Víctimas, reinsertados, desarrollo alternativo, pago de pasivos no financieros y Plan Colombia Siembra</w:t>
            </w:r>
          </w:p>
        </w:tc>
        <w:tc>
          <w:tcPr>
            <w:tcW w:w="1743" w:type="dxa"/>
            <w:tcBorders>
              <w:top w:val="nil"/>
              <w:left w:val="nil"/>
              <w:bottom w:val="nil"/>
              <w:right w:val="single" w:sz="8" w:space="0" w:color="auto"/>
            </w:tcBorders>
            <w:shd w:val="clear" w:color="auto" w:fill="auto"/>
            <w:noWrap/>
            <w:vAlign w:val="center"/>
            <w:hideMark/>
          </w:tcPr>
          <w:p w:rsidR="00D22CAE" w:rsidRPr="00DF798F" w:rsidRDefault="00D22CAE" w:rsidP="008738A4">
            <w:pPr>
              <w:spacing w:after="0" w:line="240" w:lineRule="auto"/>
              <w:jc w:val="center"/>
              <w:rPr>
                <w:rFonts w:ascii="Arial" w:eastAsia="Times New Roman" w:hAnsi="Arial" w:cs="Arial"/>
                <w:color w:val="000000"/>
                <w:lang w:eastAsia="es-CO"/>
              </w:rPr>
            </w:pPr>
            <w:r w:rsidRPr="00DF798F">
              <w:rPr>
                <w:rFonts w:ascii="Arial" w:eastAsia="Times New Roman" w:hAnsi="Arial" w:cs="Arial"/>
                <w:color w:val="000000"/>
                <w:lang w:eastAsia="es-CO"/>
              </w:rPr>
              <w:t>1,50%</w:t>
            </w:r>
          </w:p>
        </w:tc>
      </w:tr>
      <w:tr w:rsidR="00D22CAE" w:rsidRPr="00DF798F" w:rsidTr="008738A4">
        <w:trPr>
          <w:trHeight w:val="315"/>
        </w:trPr>
        <w:tc>
          <w:tcPr>
            <w:tcW w:w="202" w:type="dxa"/>
            <w:tcBorders>
              <w:top w:val="nil"/>
              <w:left w:val="single" w:sz="8" w:space="0" w:color="auto"/>
              <w:bottom w:val="single" w:sz="8" w:space="0" w:color="auto"/>
              <w:right w:val="nil"/>
            </w:tcBorders>
            <w:shd w:val="clear" w:color="auto" w:fill="auto"/>
            <w:noWrap/>
            <w:vAlign w:val="center"/>
            <w:hideMark/>
          </w:tcPr>
          <w:p w:rsidR="00D22CAE" w:rsidRPr="00DF798F" w:rsidRDefault="00D22CAE" w:rsidP="008738A4">
            <w:pPr>
              <w:spacing w:after="0" w:line="240" w:lineRule="auto"/>
              <w:rPr>
                <w:rFonts w:ascii="Arial" w:eastAsia="Times New Roman" w:hAnsi="Arial" w:cs="Arial"/>
                <w:color w:val="000000"/>
                <w:lang w:eastAsia="es-CO"/>
              </w:rPr>
            </w:pPr>
            <w:r w:rsidRPr="00DF798F">
              <w:rPr>
                <w:rFonts w:ascii="Arial" w:eastAsia="Times New Roman" w:hAnsi="Arial" w:cs="Arial"/>
                <w:color w:val="000000"/>
                <w:lang w:eastAsia="es-CO"/>
              </w:rPr>
              <w:t> </w:t>
            </w:r>
          </w:p>
        </w:tc>
        <w:tc>
          <w:tcPr>
            <w:tcW w:w="6161" w:type="dxa"/>
            <w:tcBorders>
              <w:top w:val="nil"/>
              <w:left w:val="nil"/>
              <w:bottom w:val="single" w:sz="8" w:space="0" w:color="auto"/>
              <w:right w:val="nil"/>
            </w:tcBorders>
            <w:shd w:val="clear" w:color="auto" w:fill="auto"/>
            <w:noWrap/>
            <w:vAlign w:val="center"/>
            <w:hideMark/>
          </w:tcPr>
          <w:p w:rsidR="00D22CAE" w:rsidRPr="00DF798F" w:rsidRDefault="00D22CAE" w:rsidP="008738A4">
            <w:pPr>
              <w:spacing w:after="0" w:line="240" w:lineRule="auto"/>
              <w:rPr>
                <w:rFonts w:ascii="Arial" w:eastAsia="Times New Roman" w:hAnsi="Arial" w:cs="Arial"/>
                <w:color w:val="000000"/>
                <w:lang w:eastAsia="es-CO"/>
              </w:rPr>
            </w:pPr>
            <w:r w:rsidRPr="00DF798F">
              <w:rPr>
                <w:rFonts w:ascii="Arial" w:eastAsia="Times New Roman" w:hAnsi="Arial" w:cs="Arial"/>
                <w:color w:val="000000"/>
                <w:lang w:eastAsia="es-CO"/>
              </w:rPr>
              <w:t xml:space="preserve">Ordinario </w:t>
            </w:r>
          </w:p>
        </w:tc>
        <w:tc>
          <w:tcPr>
            <w:tcW w:w="1743" w:type="dxa"/>
            <w:tcBorders>
              <w:top w:val="nil"/>
              <w:left w:val="nil"/>
              <w:bottom w:val="single" w:sz="8" w:space="0" w:color="auto"/>
              <w:right w:val="single" w:sz="8" w:space="0" w:color="auto"/>
            </w:tcBorders>
            <w:shd w:val="clear" w:color="auto" w:fill="auto"/>
            <w:noWrap/>
            <w:vAlign w:val="center"/>
            <w:hideMark/>
          </w:tcPr>
          <w:p w:rsidR="00D22CAE" w:rsidRPr="00DF798F" w:rsidRDefault="00D22CAE" w:rsidP="008738A4">
            <w:pPr>
              <w:spacing w:after="0" w:line="240" w:lineRule="auto"/>
              <w:jc w:val="center"/>
              <w:rPr>
                <w:rFonts w:ascii="Arial" w:eastAsia="Times New Roman" w:hAnsi="Arial" w:cs="Arial"/>
                <w:color w:val="000000"/>
                <w:lang w:eastAsia="es-CO"/>
              </w:rPr>
            </w:pPr>
            <w:r w:rsidRPr="00DF798F">
              <w:rPr>
                <w:rFonts w:ascii="Arial" w:eastAsia="Times New Roman" w:hAnsi="Arial" w:cs="Arial"/>
                <w:color w:val="000000"/>
                <w:lang w:eastAsia="es-CO"/>
              </w:rPr>
              <w:t>1,50%</w:t>
            </w:r>
          </w:p>
        </w:tc>
      </w:tr>
      <w:tr w:rsidR="00D22CAE" w:rsidRPr="00DF798F" w:rsidTr="008738A4">
        <w:trPr>
          <w:trHeight w:val="300"/>
        </w:trPr>
        <w:tc>
          <w:tcPr>
            <w:tcW w:w="6363" w:type="dxa"/>
            <w:gridSpan w:val="2"/>
            <w:tcBorders>
              <w:top w:val="single" w:sz="8" w:space="0" w:color="auto"/>
              <w:left w:val="single" w:sz="8" w:space="0" w:color="auto"/>
              <w:bottom w:val="nil"/>
              <w:right w:val="nil"/>
            </w:tcBorders>
            <w:shd w:val="clear" w:color="auto" w:fill="auto"/>
            <w:noWrap/>
            <w:vAlign w:val="center"/>
            <w:hideMark/>
          </w:tcPr>
          <w:p w:rsidR="00D22CAE" w:rsidRPr="00DF798F" w:rsidRDefault="00D22CAE" w:rsidP="008738A4">
            <w:pPr>
              <w:spacing w:after="0" w:line="240" w:lineRule="auto"/>
              <w:rPr>
                <w:rFonts w:ascii="Arial" w:eastAsia="Times New Roman" w:hAnsi="Arial" w:cs="Arial"/>
                <w:color w:val="000000"/>
                <w:lang w:eastAsia="es-CO"/>
              </w:rPr>
            </w:pPr>
            <w:r w:rsidRPr="00DF798F">
              <w:rPr>
                <w:rFonts w:ascii="Arial" w:eastAsia="Times New Roman" w:hAnsi="Arial" w:cs="Arial"/>
                <w:color w:val="000000"/>
                <w:lang w:eastAsia="es-CO"/>
              </w:rPr>
              <w:t>Mediano productor:</w:t>
            </w:r>
          </w:p>
        </w:tc>
        <w:tc>
          <w:tcPr>
            <w:tcW w:w="1743" w:type="dxa"/>
            <w:tcBorders>
              <w:top w:val="nil"/>
              <w:left w:val="nil"/>
              <w:bottom w:val="nil"/>
              <w:right w:val="single" w:sz="8" w:space="0" w:color="auto"/>
            </w:tcBorders>
            <w:shd w:val="clear" w:color="auto" w:fill="auto"/>
            <w:noWrap/>
            <w:vAlign w:val="center"/>
            <w:hideMark/>
          </w:tcPr>
          <w:p w:rsidR="00D22CAE" w:rsidRPr="00DF798F" w:rsidRDefault="00D22CAE" w:rsidP="008738A4">
            <w:pPr>
              <w:spacing w:after="0" w:line="240" w:lineRule="auto"/>
              <w:rPr>
                <w:rFonts w:ascii="Arial" w:eastAsia="Times New Roman" w:hAnsi="Arial" w:cs="Arial"/>
                <w:color w:val="000000"/>
                <w:lang w:eastAsia="es-CO"/>
              </w:rPr>
            </w:pPr>
            <w:r w:rsidRPr="00DF798F">
              <w:rPr>
                <w:rFonts w:ascii="Arial" w:eastAsia="Times New Roman" w:hAnsi="Arial" w:cs="Arial"/>
                <w:color w:val="000000"/>
                <w:lang w:eastAsia="es-CO"/>
              </w:rPr>
              <w:t> </w:t>
            </w:r>
          </w:p>
        </w:tc>
      </w:tr>
      <w:tr w:rsidR="00D22CAE" w:rsidRPr="00DF798F" w:rsidTr="008738A4">
        <w:trPr>
          <w:trHeight w:val="315"/>
        </w:trPr>
        <w:tc>
          <w:tcPr>
            <w:tcW w:w="202" w:type="dxa"/>
            <w:tcBorders>
              <w:top w:val="nil"/>
              <w:left w:val="single" w:sz="8" w:space="0" w:color="auto"/>
              <w:bottom w:val="nil"/>
              <w:right w:val="nil"/>
            </w:tcBorders>
            <w:shd w:val="clear" w:color="auto" w:fill="auto"/>
            <w:noWrap/>
            <w:vAlign w:val="center"/>
            <w:hideMark/>
          </w:tcPr>
          <w:p w:rsidR="00D22CAE" w:rsidRPr="00DF798F" w:rsidRDefault="00D22CAE" w:rsidP="008738A4">
            <w:pPr>
              <w:spacing w:after="0" w:line="240" w:lineRule="auto"/>
              <w:rPr>
                <w:rFonts w:ascii="Arial" w:eastAsia="Times New Roman" w:hAnsi="Arial" w:cs="Arial"/>
                <w:color w:val="000000"/>
                <w:lang w:eastAsia="es-CO"/>
              </w:rPr>
            </w:pPr>
            <w:r w:rsidRPr="00DF798F">
              <w:rPr>
                <w:rFonts w:ascii="Arial" w:eastAsia="Times New Roman" w:hAnsi="Arial" w:cs="Arial"/>
                <w:color w:val="000000"/>
                <w:lang w:eastAsia="es-CO"/>
              </w:rPr>
              <w:t> </w:t>
            </w:r>
          </w:p>
        </w:tc>
        <w:tc>
          <w:tcPr>
            <w:tcW w:w="6161" w:type="dxa"/>
            <w:tcBorders>
              <w:top w:val="nil"/>
              <w:left w:val="nil"/>
              <w:bottom w:val="nil"/>
              <w:right w:val="nil"/>
            </w:tcBorders>
            <w:shd w:val="clear" w:color="auto" w:fill="auto"/>
            <w:noWrap/>
            <w:vAlign w:val="center"/>
            <w:hideMark/>
          </w:tcPr>
          <w:p w:rsidR="00D22CAE" w:rsidRPr="00DF798F" w:rsidRDefault="00D22CAE" w:rsidP="008738A4">
            <w:pPr>
              <w:spacing w:after="0" w:line="240" w:lineRule="auto"/>
              <w:rPr>
                <w:rFonts w:ascii="Arial" w:eastAsia="Times New Roman" w:hAnsi="Arial" w:cs="Arial"/>
                <w:color w:val="000000"/>
                <w:lang w:eastAsia="es-CO"/>
              </w:rPr>
            </w:pPr>
            <w:r w:rsidRPr="00DF798F">
              <w:rPr>
                <w:rFonts w:ascii="Arial" w:eastAsia="Times New Roman" w:hAnsi="Arial" w:cs="Arial"/>
                <w:color w:val="000000"/>
                <w:lang w:eastAsia="es-CO"/>
              </w:rPr>
              <w:t>Víctimas, reinsertados y desarrollo alternativo</w:t>
            </w:r>
          </w:p>
        </w:tc>
        <w:tc>
          <w:tcPr>
            <w:tcW w:w="1743" w:type="dxa"/>
            <w:tcBorders>
              <w:top w:val="nil"/>
              <w:left w:val="nil"/>
              <w:bottom w:val="single" w:sz="8" w:space="0" w:color="auto"/>
              <w:right w:val="single" w:sz="8" w:space="0" w:color="auto"/>
            </w:tcBorders>
            <w:shd w:val="clear" w:color="auto" w:fill="auto"/>
            <w:noWrap/>
            <w:vAlign w:val="center"/>
            <w:hideMark/>
          </w:tcPr>
          <w:p w:rsidR="00D22CAE" w:rsidRPr="00DF798F" w:rsidRDefault="00D22CAE" w:rsidP="008738A4">
            <w:pPr>
              <w:spacing w:after="0" w:line="240" w:lineRule="auto"/>
              <w:jc w:val="center"/>
              <w:rPr>
                <w:rFonts w:ascii="Arial" w:eastAsia="Times New Roman" w:hAnsi="Arial" w:cs="Arial"/>
                <w:color w:val="000000"/>
                <w:lang w:eastAsia="es-CO"/>
              </w:rPr>
            </w:pPr>
            <w:r w:rsidRPr="00DF798F">
              <w:rPr>
                <w:rFonts w:ascii="Arial" w:eastAsia="Times New Roman" w:hAnsi="Arial" w:cs="Arial"/>
                <w:color w:val="000000"/>
                <w:lang w:eastAsia="es-CO"/>
              </w:rPr>
              <w:t>3,00%</w:t>
            </w:r>
          </w:p>
        </w:tc>
      </w:tr>
      <w:tr w:rsidR="00D22CAE" w:rsidRPr="00DF798F" w:rsidTr="008738A4">
        <w:trPr>
          <w:trHeight w:val="300"/>
        </w:trPr>
        <w:tc>
          <w:tcPr>
            <w:tcW w:w="6363" w:type="dxa"/>
            <w:gridSpan w:val="2"/>
            <w:tcBorders>
              <w:top w:val="single" w:sz="8" w:space="0" w:color="auto"/>
              <w:left w:val="single" w:sz="8" w:space="0" w:color="auto"/>
              <w:bottom w:val="nil"/>
              <w:right w:val="nil"/>
            </w:tcBorders>
            <w:shd w:val="clear" w:color="auto" w:fill="auto"/>
            <w:noWrap/>
            <w:vAlign w:val="center"/>
            <w:hideMark/>
          </w:tcPr>
          <w:p w:rsidR="00D22CAE" w:rsidRPr="00DF798F" w:rsidRDefault="00D22CAE" w:rsidP="008738A4">
            <w:pPr>
              <w:spacing w:after="0" w:line="240" w:lineRule="auto"/>
              <w:rPr>
                <w:rFonts w:ascii="Arial" w:eastAsia="Times New Roman" w:hAnsi="Arial" w:cs="Arial"/>
                <w:color w:val="000000"/>
                <w:lang w:eastAsia="es-CO"/>
              </w:rPr>
            </w:pPr>
            <w:r w:rsidRPr="00DF798F">
              <w:rPr>
                <w:rFonts w:ascii="Arial" w:eastAsia="Times New Roman" w:hAnsi="Arial" w:cs="Arial"/>
                <w:color w:val="000000"/>
                <w:lang w:eastAsia="es-CO"/>
              </w:rPr>
              <w:t>Gran productor:</w:t>
            </w:r>
          </w:p>
        </w:tc>
        <w:tc>
          <w:tcPr>
            <w:tcW w:w="1743" w:type="dxa"/>
            <w:tcBorders>
              <w:top w:val="nil"/>
              <w:left w:val="nil"/>
              <w:bottom w:val="nil"/>
              <w:right w:val="single" w:sz="8" w:space="0" w:color="auto"/>
            </w:tcBorders>
            <w:shd w:val="clear" w:color="auto" w:fill="auto"/>
            <w:noWrap/>
            <w:vAlign w:val="center"/>
            <w:hideMark/>
          </w:tcPr>
          <w:p w:rsidR="00D22CAE" w:rsidRPr="00DF798F" w:rsidRDefault="00D22CAE" w:rsidP="008738A4">
            <w:pPr>
              <w:spacing w:after="0" w:line="240" w:lineRule="auto"/>
              <w:rPr>
                <w:rFonts w:ascii="Arial" w:eastAsia="Times New Roman" w:hAnsi="Arial" w:cs="Arial"/>
                <w:color w:val="000000"/>
                <w:lang w:eastAsia="es-CO"/>
              </w:rPr>
            </w:pPr>
            <w:r w:rsidRPr="00DF798F">
              <w:rPr>
                <w:rFonts w:ascii="Arial" w:eastAsia="Times New Roman" w:hAnsi="Arial" w:cs="Arial"/>
                <w:color w:val="000000"/>
                <w:lang w:eastAsia="es-CO"/>
              </w:rPr>
              <w:t> </w:t>
            </w:r>
          </w:p>
        </w:tc>
      </w:tr>
      <w:tr w:rsidR="00D22CAE" w:rsidRPr="00DF798F" w:rsidTr="008738A4">
        <w:trPr>
          <w:trHeight w:val="315"/>
        </w:trPr>
        <w:tc>
          <w:tcPr>
            <w:tcW w:w="202" w:type="dxa"/>
            <w:tcBorders>
              <w:top w:val="nil"/>
              <w:left w:val="single" w:sz="8" w:space="0" w:color="auto"/>
              <w:bottom w:val="single" w:sz="8" w:space="0" w:color="auto"/>
              <w:right w:val="nil"/>
            </w:tcBorders>
            <w:shd w:val="clear" w:color="auto" w:fill="auto"/>
            <w:noWrap/>
            <w:vAlign w:val="center"/>
            <w:hideMark/>
          </w:tcPr>
          <w:p w:rsidR="00D22CAE" w:rsidRPr="00DF798F" w:rsidRDefault="00D22CAE" w:rsidP="008738A4">
            <w:pPr>
              <w:spacing w:after="0" w:line="240" w:lineRule="auto"/>
              <w:rPr>
                <w:rFonts w:ascii="Arial" w:eastAsia="Times New Roman" w:hAnsi="Arial" w:cs="Arial"/>
                <w:color w:val="000000"/>
                <w:lang w:eastAsia="es-CO"/>
              </w:rPr>
            </w:pPr>
            <w:r w:rsidRPr="00DF798F">
              <w:rPr>
                <w:rFonts w:ascii="Arial" w:eastAsia="Times New Roman" w:hAnsi="Arial" w:cs="Arial"/>
                <w:color w:val="000000"/>
                <w:lang w:eastAsia="es-CO"/>
              </w:rPr>
              <w:t> </w:t>
            </w:r>
          </w:p>
        </w:tc>
        <w:tc>
          <w:tcPr>
            <w:tcW w:w="6161" w:type="dxa"/>
            <w:tcBorders>
              <w:top w:val="nil"/>
              <w:left w:val="nil"/>
              <w:bottom w:val="single" w:sz="8" w:space="0" w:color="auto"/>
              <w:right w:val="nil"/>
            </w:tcBorders>
            <w:shd w:val="clear" w:color="auto" w:fill="auto"/>
            <w:noWrap/>
            <w:vAlign w:val="center"/>
            <w:hideMark/>
          </w:tcPr>
          <w:p w:rsidR="00D22CAE" w:rsidRPr="00DF798F" w:rsidRDefault="00D22CAE" w:rsidP="008738A4">
            <w:pPr>
              <w:spacing w:after="0" w:line="240" w:lineRule="auto"/>
              <w:rPr>
                <w:rFonts w:ascii="Arial" w:eastAsia="Times New Roman" w:hAnsi="Arial" w:cs="Arial"/>
                <w:color w:val="000000"/>
                <w:lang w:eastAsia="es-CO"/>
              </w:rPr>
            </w:pPr>
            <w:r w:rsidRPr="00DF798F">
              <w:rPr>
                <w:rFonts w:ascii="Arial" w:eastAsia="Times New Roman" w:hAnsi="Arial" w:cs="Arial"/>
                <w:color w:val="000000"/>
                <w:lang w:eastAsia="es-CO"/>
              </w:rPr>
              <w:t>Víctimas, reinsertados y desarrollo alternativo</w:t>
            </w:r>
          </w:p>
        </w:tc>
        <w:tc>
          <w:tcPr>
            <w:tcW w:w="1743" w:type="dxa"/>
            <w:tcBorders>
              <w:top w:val="nil"/>
              <w:left w:val="nil"/>
              <w:bottom w:val="single" w:sz="8" w:space="0" w:color="auto"/>
              <w:right w:val="single" w:sz="8" w:space="0" w:color="auto"/>
            </w:tcBorders>
            <w:shd w:val="clear" w:color="auto" w:fill="auto"/>
            <w:noWrap/>
            <w:vAlign w:val="center"/>
            <w:hideMark/>
          </w:tcPr>
          <w:p w:rsidR="00D22CAE" w:rsidRPr="00DF798F" w:rsidRDefault="00D22CAE" w:rsidP="008738A4">
            <w:pPr>
              <w:spacing w:after="0" w:line="240" w:lineRule="auto"/>
              <w:jc w:val="center"/>
              <w:rPr>
                <w:rFonts w:ascii="Arial" w:eastAsia="Times New Roman" w:hAnsi="Arial" w:cs="Arial"/>
                <w:color w:val="000000"/>
                <w:lang w:eastAsia="es-CO"/>
              </w:rPr>
            </w:pPr>
            <w:r w:rsidRPr="00DF798F">
              <w:rPr>
                <w:rFonts w:ascii="Arial" w:eastAsia="Times New Roman" w:hAnsi="Arial" w:cs="Arial"/>
                <w:color w:val="000000"/>
                <w:lang w:eastAsia="es-CO"/>
              </w:rPr>
              <w:t>4,50%</w:t>
            </w:r>
          </w:p>
        </w:tc>
      </w:tr>
    </w:tbl>
    <w:p w:rsidR="00D22CAE" w:rsidRPr="00DF798F" w:rsidRDefault="00D22CAE" w:rsidP="00D22CAE">
      <w:pPr>
        <w:spacing w:after="0" w:line="0" w:lineRule="atLeast"/>
        <w:ind w:left="720"/>
        <w:jc w:val="both"/>
        <w:rPr>
          <w:rFonts w:ascii="Arial" w:eastAsia="Arial" w:hAnsi="Arial" w:cs="Arial"/>
          <w:color w:val="000000"/>
          <w:u w:color="000000"/>
          <w:bdr w:val="nil"/>
        </w:rPr>
      </w:pPr>
    </w:p>
    <w:p w:rsidR="00D22CAE" w:rsidRPr="00DF798F" w:rsidRDefault="00D22CAE" w:rsidP="00D22CAE">
      <w:pPr>
        <w:numPr>
          <w:ilvl w:val="0"/>
          <w:numId w:val="1"/>
        </w:numPr>
        <w:spacing w:after="0" w:line="0" w:lineRule="atLeast"/>
        <w:jc w:val="both"/>
        <w:rPr>
          <w:rFonts w:ascii="Arial" w:eastAsia="Arial" w:hAnsi="Arial" w:cs="Arial"/>
          <w:color w:val="000000"/>
          <w:u w:color="000000"/>
          <w:bdr w:val="nil"/>
        </w:rPr>
      </w:pPr>
      <w:r w:rsidRPr="00DF798F">
        <w:rPr>
          <w:rFonts w:ascii="Arial" w:eastAsia="Arial" w:hAnsi="Arial" w:cs="Arial"/>
          <w:color w:val="000000"/>
          <w:u w:color="000000"/>
          <w:bdr w:val="nil"/>
        </w:rPr>
        <w:t>Para i) crédito individual; o ii) crédito asociativo con responsabilidad individual. Casos: mediano y gran productor (ordinario y Plan Colombia Siembra) y iii) medianos productores en pago de pasivos no financieros. La comisión es fija y se determina según el plazo en años pactado para el crédito, así:</w:t>
      </w:r>
    </w:p>
    <w:p w:rsidR="00D22CAE" w:rsidRPr="00DF798F" w:rsidRDefault="00D22CAE" w:rsidP="00D22CAE">
      <w:pPr>
        <w:spacing w:after="0" w:line="0" w:lineRule="atLeast"/>
        <w:ind w:left="720"/>
        <w:jc w:val="both"/>
        <w:rPr>
          <w:rFonts w:ascii="Arial" w:eastAsia="Arial" w:hAnsi="Arial" w:cs="Arial"/>
          <w:color w:val="000000"/>
          <w:u w:color="000000"/>
          <w:bdr w:val="nil"/>
        </w:rPr>
      </w:pPr>
    </w:p>
    <w:tbl>
      <w:tblPr>
        <w:tblW w:w="5245" w:type="dxa"/>
        <w:tblInd w:w="1913" w:type="dxa"/>
        <w:tblLayout w:type="fixed"/>
        <w:tblCellMar>
          <w:left w:w="70" w:type="dxa"/>
          <w:right w:w="70" w:type="dxa"/>
        </w:tblCellMar>
        <w:tblLook w:val="04A0" w:firstRow="1" w:lastRow="0" w:firstColumn="1" w:lastColumn="0" w:noHBand="0" w:noVBand="1"/>
      </w:tblPr>
      <w:tblGrid>
        <w:gridCol w:w="1985"/>
        <w:gridCol w:w="1417"/>
        <w:gridCol w:w="1843"/>
      </w:tblGrid>
      <w:tr w:rsidR="00D22CAE" w:rsidRPr="00DF798F" w:rsidTr="008738A4">
        <w:trPr>
          <w:trHeight w:val="870"/>
          <w:tblHeader/>
        </w:trPr>
        <w:tc>
          <w:tcPr>
            <w:tcW w:w="1985" w:type="dxa"/>
            <w:tcBorders>
              <w:top w:val="single" w:sz="8" w:space="0" w:color="auto"/>
              <w:left w:val="single" w:sz="8" w:space="0" w:color="auto"/>
              <w:bottom w:val="single" w:sz="8" w:space="0" w:color="auto"/>
              <w:right w:val="nil"/>
            </w:tcBorders>
            <w:shd w:val="clear" w:color="000000" w:fill="DDD9C4"/>
            <w:vAlign w:val="center"/>
            <w:hideMark/>
          </w:tcPr>
          <w:p w:rsidR="00D22CAE" w:rsidRPr="00DF798F" w:rsidRDefault="00D22CAE" w:rsidP="008738A4">
            <w:pPr>
              <w:spacing w:after="0" w:line="240" w:lineRule="auto"/>
              <w:jc w:val="center"/>
              <w:rPr>
                <w:rFonts w:ascii="Arial" w:eastAsia="Times New Roman" w:hAnsi="Arial" w:cs="Arial"/>
                <w:color w:val="000000"/>
                <w:lang w:eastAsia="es-CO"/>
              </w:rPr>
            </w:pPr>
            <w:r w:rsidRPr="00DF798F">
              <w:rPr>
                <w:rFonts w:ascii="Arial" w:eastAsia="Times New Roman" w:hAnsi="Arial" w:cs="Arial"/>
                <w:color w:val="000000"/>
                <w:lang w:eastAsia="es-CO"/>
              </w:rPr>
              <w:lastRenderedPageBreak/>
              <w:t>Plazo del crédito (en años)</w:t>
            </w:r>
          </w:p>
        </w:tc>
        <w:tc>
          <w:tcPr>
            <w:tcW w:w="1417" w:type="dxa"/>
            <w:tcBorders>
              <w:top w:val="single" w:sz="8" w:space="0" w:color="auto"/>
              <w:left w:val="nil"/>
              <w:bottom w:val="single" w:sz="8" w:space="0" w:color="auto"/>
              <w:right w:val="nil"/>
            </w:tcBorders>
            <w:shd w:val="clear" w:color="000000" w:fill="DDD9C4"/>
            <w:vAlign w:val="center"/>
            <w:hideMark/>
          </w:tcPr>
          <w:p w:rsidR="00D22CAE" w:rsidRPr="00DF798F" w:rsidRDefault="00D22CAE" w:rsidP="008738A4">
            <w:pPr>
              <w:spacing w:after="0" w:line="240" w:lineRule="auto"/>
              <w:jc w:val="center"/>
              <w:rPr>
                <w:rFonts w:ascii="Arial" w:eastAsia="Times New Roman" w:hAnsi="Arial" w:cs="Arial"/>
                <w:color w:val="000000"/>
                <w:lang w:eastAsia="es-CO"/>
              </w:rPr>
            </w:pPr>
            <w:r w:rsidRPr="00DF798F">
              <w:rPr>
                <w:rFonts w:ascii="Arial" w:eastAsia="Times New Roman" w:hAnsi="Arial" w:cs="Arial"/>
                <w:color w:val="000000"/>
                <w:lang w:eastAsia="es-CO"/>
              </w:rPr>
              <w:t>Comisión Mediano Productor</w:t>
            </w:r>
          </w:p>
        </w:tc>
        <w:tc>
          <w:tcPr>
            <w:tcW w:w="1843" w:type="dxa"/>
            <w:tcBorders>
              <w:top w:val="single" w:sz="8" w:space="0" w:color="auto"/>
              <w:left w:val="nil"/>
              <w:bottom w:val="single" w:sz="8" w:space="0" w:color="auto"/>
              <w:right w:val="single" w:sz="8" w:space="0" w:color="auto"/>
            </w:tcBorders>
            <w:shd w:val="clear" w:color="000000" w:fill="DDD9C4"/>
            <w:vAlign w:val="center"/>
            <w:hideMark/>
          </w:tcPr>
          <w:p w:rsidR="00D22CAE" w:rsidRPr="00DF798F" w:rsidRDefault="00D22CAE" w:rsidP="008738A4">
            <w:pPr>
              <w:spacing w:after="0" w:line="240" w:lineRule="auto"/>
              <w:jc w:val="center"/>
              <w:rPr>
                <w:rFonts w:ascii="Arial" w:eastAsia="Times New Roman" w:hAnsi="Arial" w:cs="Arial"/>
                <w:color w:val="000000"/>
                <w:lang w:eastAsia="es-CO"/>
              </w:rPr>
            </w:pPr>
            <w:r w:rsidRPr="00DF798F">
              <w:rPr>
                <w:rFonts w:ascii="Arial" w:eastAsia="Times New Roman" w:hAnsi="Arial" w:cs="Arial"/>
                <w:color w:val="000000"/>
                <w:lang w:eastAsia="es-CO"/>
              </w:rPr>
              <w:t>Comisión Gran Productor</w:t>
            </w:r>
          </w:p>
        </w:tc>
      </w:tr>
      <w:tr w:rsidR="00D22CAE" w:rsidRPr="00DF798F" w:rsidTr="008738A4">
        <w:trPr>
          <w:trHeight w:val="300"/>
        </w:trPr>
        <w:tc>
          <w:tcPr>
            <w:tcW w:w="1985" w:type="dxa"/>
            <w:tcBorders>
              <w:top w:val="nil"/>
              <w:left w:val="single" w:sz="8" w:space="0" w:color="auto"/>
              <w:bottom w:val="nil"/>
              <w:right w:val="nil"/>
            </w:tcBorders>
            <w:shd w:val="clear" w:color="auto" w:fill="auto"/>
            <w:noWrap/>
            <w:vAlign w:val="center"/>
            <w:hideMark/>
          </w:tcPr>
          <w:p w:rsidR="00D22CAE" w:rsidRPr="00DF798F" w:rsidRDefault="00D22CAE" w:rsidP="008738A4">
            <w:pPr>
              <w:spacing w:after="0" w:line="240" w:lineRule="auto"/>
              <w:jc w:val="center"/>
              <w:rPr>
                <w:rFonts w:ascii="Arial" w:eastAsia="Times New Roman" w:hAnsi="Arial" w:cs="Arial"/>
                <w:color w:val="000000"/>
                <w:lang w:eastAsia="es-CO"/>
              </w:rPr>
            </w:pPr>
            <w:r w:rsidRPr="00DF798F">
              <w:rPr>
                <w:rFonts w:ascii="Arial" w:eastAsia="Times New Roman" w:hAnsi="Arial" w:cs="Arial"/>
                <w:color w:val="000000"/>
                <w:lang w:eastAsia="es-CO"/>
              </w:rPr>
              <w:t>1</w:t>
            </w:r>
          </w:p>
        </w:tc>
        <w:tc>
          <w:tcPr>
            <w:tcW w:w="1417" w:type="dxa"/>
            <w:tcBorders>
              <w:top w:val="nil"/>
              <w:left w:val="nil"/>
              <w:bottom w:val="nil"/>
              <w:right w:val="nil"/>
            </w:tcBorders>
            <w:shd w:val="clear" w:color="auto" w:fill="auto"/>
            <w:noWrap/>
            <w:vAlign w:val="center"/>
            <w:hideMark/>
          </w:tcPr>
          <w:p w:rsidR="00D22CAE" w:rsidRPr="00DF798F" w:rsidRDefault="00D22CAE" w:rsidP="008738A4">
            <w:pPr>
              <w:spacing w:after="0" w:line="240" w:lineRule="auto"/>
              <w:jc w:val="center"/>
              <w:rPr>
                <w:rFonts w:ascii="Arial" w:eastAsia="Times New Roman" w:hAnsi="Arial" w:cs="Arial"/>
                <w:color w:val="000000"/>
                <w:lang w:eastAsia="es-CO"/>
              </w:rPr>
            </w:pPr>
            <w:r w:rsidRPr="00DF798F">
              <w:rPr>
                <w:rFonts w:ascii="Arial" w:eastAsia="Times New Roman" w:hAnsi="Arial" w:cs="Arial"/>
                <w:color w:val="000000"/>
                <w:lang w:eastAsia="es-CO"/>
              </w:rPr>
              <w:t>5,10%</w:t>
            </w:r>
          </w:p>
        </w:tc>
        <w:tc>
          <w:tcPr>
            <w:tcW w:w="1843" w:type="dxa"/>
            <w:tcBorders>
              <w:top w:val="nil"/>
              <w:left w:val="nil"/>
              <w:bottom w:val="nil"/>
              <w:right w:val="single" w:sz="8" w:space="0" w:color="auto"/>
            </w:tcBorders>
            <w:shd w:val="clear" w:color="auto" w:fill="auto"/>
            <w:noWrap/>
            <w:vAlign w:val="center"/>
            <w:hideMark/>
          </w:tcPr>
          <w:p w:rsidR="00D22CAE" w:rsidRPr="00DF798F" w:rsidRDefault="00D22CAE" w:rsidP="008738A4">
            <w:pPr>
              <w:spacing w:after="0" w:line="240" w:lineRule="auto"/>
              <w:jc w:val="center"/>
              <w:rPr>
                <w:rFonts w:ascii="Arial" w:eastAsia="Times New Roman" w:hAnsi="Arial" w:cs="Arial"/>
                <w:color w:val="000000"/>
                <w:lang w:eastAsia="es-CO"/>
              </w:rPr>
            </w:pPr>
            <w:r w:rsidRPr="00DF798F">
              <w:rPr>
                <w:rFonts w:ascii="Arial" w:eastAsia="Times New Roman" w:hAnsi="Arial" w:cs="Arial"/>
                <w:color w:val="000000"/>
                <w:lang w:eastAsia="es-CO"/>
              </w:rPr>
              <w:t>5,90%</w:t>
            </w:r>
          </w:p>
        </w:tc>
      </w:tr>
      <w:tr w:rsidR="00D22CAE" w:rsidRPr="00DF798F" w:rsidTr="008738A4">
        <w:trPr>
          <w:trHeight w:val="300"/>
        </w:trPr>
        <w:tc>
          <w:tcPr>
            <w:tcW w:w="1985" w:type="dxa"/>
            <w:tcBorders>
              <w:top w:val="nil"/>
              <w:left w:val="single" w:sz="8" w:space="0" w:color="auto"/>
              <w:bottom w:val="nil"/>
              <w:right w:val="nil"/>
            </w:tcBorders>
            <w:shd w:val="clear" w:color="auto" w:fill="auto"/>
            <w:noWrap/>
            <w:vAlign w:val="center"/>
            <w:hideMark/>
          </w:tcPr>
          <w:p w:rsidR="00D22CAE" w:rsidRPr="00DF798F" w:rsidRDefault="00D22CAE" w:rsidP="008738A4">
            <w:pPr>
              <w:spacing w:after="0" w:line="240" w:lineRule="auto"/>
              <w:jc w:val="center"/>
              <w:rPr>
                <w:rFonts w:ascii="Arial" w:eastAsia="Times New Roman" w:hAnsi="Arial" w:cs="Arial"/>
                <w:color w:val="000000"/>
                <w:lang w:eastAsia="es-CO"/>
              </w:rPr>
            </w:pPr>
            <w:r w:rsidRPr="00DF798F">
              <w:rPr>
                <w:rFonts w:ascii="Arial" w:eastAsia="Times New Roman" w:hAnsi="Arial" w:cs="Arial"/>
                <w:color w:val="000000"/>
                <w:lang w:eastAsia="es-CO"/>
              </w:rPr>
              <w:t>2</w:t>
            </w:r>
          </w:p>
        </w:tc>
        <w:tc>
          <w:tcPr>
            <w:tcW w:w="1417" w:type="dxa"/>
            <w:tcBorders>
              <w:top w:val="nil"/>
              <w:left w:val="nil"/>
              <w:bottom w:val="nil"/>
              <w:right w:val="nil"/>
            </w:tcBorders>
            <w:shd w:val="clear" w:color="auto" w:fill="auto"/>
            <w:noWrap/>
            <w:vAlign w:val="center"/>
            <w:hideMark/>
          </w:tcPr>
          <w:p w:rsidR="00D22CAE" w:rsidRPr="00DF798F" w:rsidRDefault="00D22CAE" w:rsidP="008738A4">
            <w:pPr>
              <w:spacing w:after="0" w:line="240" w:lineRule="auto"/>
              <w:jc w:val="center"/>
              <w:rPr>
                <w:rFonts w:ascii="Arial" w:eastAsia="Times New Roman" w:hAnsi="Arial" w:cs="Arial"/>
                <w:color w:val="000000"/>
                <w:lang w:eastAsia="es-CO"/>
              </w:rPr>
            </w:pPr>
            <w:r w:rsidRPr="00DF798F">
              <w:rPr>
                <w:rFonts w:ascii="Arial" w:eastAsia="Times New Roman" w:hAnsi="Arial" w:cs="Arial"/>
                <w:color w:val="000000"/>
                <w:lang w:eastAsia="es-CO"/>
              </w:rPr>
              <w:t>4,50%</w:t>
            </w:r>
          </w:p>
        </w:tc>
        <w:tc>
          <w:tcPr>
            <w:tcW w:w="1843" w:type="dxa"/>
            <w:tcBorders>
              <w:top w:val="nil"/>
              <w:left w:val="nil"/>
              <w:bottom w:val="nil"/>
              <w:right w:val="single" w:sz="8" w:space="0" w:color="auto"/>
            </w:tcBorders>
            <w:shd w:val="clear" w:color="auto" w:fill="auto"/>
            <w:noWrap/>
            <w:vAlign w:val="center"/>
            <w:hideMark/>
          </w:tcPr>
          <w:p w:rsidR="00D22CAE" w:rsidRPr="00DF798F" w:rsidRDefault="00D22CAE" w:rsidP="008738A4">
            <w:pPr>
              <w:spacing w:after="0" w:line="240" w:lineRule="auto"/>
              <w:jc w:val="center"/>
              <w:rPr>
                <w:rFonts w:ascii="Arial" w:eastAsia="Times New Roman" w:hAnsi="Arial" w:cs="Arial"/>
                <w:color w:val="000000"/>
                <w:lang w:eastAsia="es-CO"/>
              </w:rPr>
            </w:pPr>
            <w:r w:rsidRPr="00DF798F">
              <w:rPr>
                <w:rFonts w:ascii="Arial" w:eastAsia="Times New Roman" w:hAnsi="Arial" w:cs="Arial"/>
                <w:color w:val="000000"/>
                <w:lang w:eastAsia="es-CO"/>
              </w:rPr>
              <w:t>5,20%</w:t>
            </w:r>
          </w:p>
        </w:tc>
      </w:tr>
      <w:tr w:rsidR="00D22CAE" w:rsidRPr="00DF798F" w:rsidTr="008738A4">
        <w:trPr>
          <w:trHeight w:val="300"/>
        </w:trPr>
        <w:tc>
          <w:tcPr>
            <w:tcW w:w="1985" w:type="dxa"/>
            <w:tcBorders>
              <w:top w:val="nil"/>
              <w:left w:val="single" w:sz="8" w:space="0" w:color="auto"/>
              <w:bottom w:val="nil"/>
              <w:right w:val="nil"/>
            </w:tcBorders>
            <w:shd w:val="clear" w:color="auto" w:fill="auto"/>
            <w:noWrap/>
            <w:vAlign w:val="center"/>
            <w:hideMark/>
          </w:tcPr>
          <w:p w:rsidR="00D22CAE" w:rsidRPr="00DF798F" w:rsidRDefault="00D22CAE" w:rsidP="008738A4">
            <w:pPr>
              <w:spacing w:after="0" w:line="240" w:lineRule="auto"/>
              <w:jc w:val="center"/>
              <w:rPr>
                <w:rFonts w:ascii="Arial" w:eastAsia="Times New Roman" w:hAnsi="Arial" w:cs="Arial"/>
                <w:color w:val="000000"/>
                <w:lang w:eastAsia="es-CO"/>
              </w:rPr>
            </w:pPr>
            <w:r w:rsidRPr="00DF798F">
              <w:rPr>
                <w:rFonts w:ascii="Arial" w:eastAsia="Times New Roman" w:hAnsi="Arial" w:cs="Arial"/>
                <w:color w:val="000000"/>
                <w:lang w:eastAsia="es-CO"/>
              </w:rPr>
              <w:t>3</w:t>
            </w:r>
          </w:p>
        </w:tc>
        <w:tc>
          <w:tcPr>
            <w:tcW w:w="1417" w:type="dxa"/>
            <w:tcBorders>
              <w:top w:val="nil"/>
              <w:left w:val="nil"/>
              <w:bottom w:val="nil"/>
              <w:right w:val="nil"/>
            </w:tcBorders>
            <w:shd w:val="clear" w:color="auto" w:fill="auto"/>
            <w:noWrap/>
            <w:vAlign w:val="center"/>
            <w:hideMark/>
          </w:tcPr>
          <w:p w:rsidR="00D22CAE" w:rsidRPr="00DF798F" w:rsidRDefault="00D22CAE" w:rsidP="008738A4">
            <w:pPr>
              <w:spacing w:after="0" w:line="240" w:lineRule="auto"/>
              <w:jc w:val="center"/>
              <w:rPr>
                <w:rFonts w:ascii="Arial" w:eastAsia="Times New Roman" w:hAnsi="Arial" w:cs="Arial"/>
                <w:color w:val="000000"/>
                <w:lang w:eastAsia="es-CO"/>
              </w:rPr>
            </w:pPr>
            <w:r w:rsidRPr="00DF798F">
              <w:rPr>
                <w:rFonts w:ascii="Arial" w:eastAsia="Times New Roman" w:hAnsi="Arial" w:cs="Arial"/>
                <w:color w:val="000000"/>
                <w:lang w:eastAsia="es-CO"/>
              </w:rPr>
              <w:t>4,10%</w:t>
            </w:r>
          </w:p>
        </w:tc>
        <w:tc>
          <w:tcPr>
            <w:tcW w:w="1843" w:type="dxa"/>
            <w:tcBorders>
              <w:top w:val="nil"/>
              <w:left w:val="nil"/>
              <w:bottom w:val="nil"/>
              <w:right w:val="single" w:sz="8" w:space="0" w:color="auto"/>
            </w:tcBorders>
            <w:shd w:val="clear" w:color="auto" w:fill="auto"/>
            <w:noWrap/>
            <w:vAlign w:val="center"/>
            <w:hideMark/>
          </w:tcPr>
          <w:p w:rsidR="00D22CAE" w:rsidRPr="00DF798F" w:rsidRDefault="00D22CAE" w:rsidP="008738A4">
            <w:pPr>
              <w:spacing w:after="0" w:line="240" w:lineRule="auto"/>
              <w:jc w:val="center"/>
              <w:rPr>
                <w:rFonts w:ascii="Arial" w:eastAsia="Times New Roman" w:hAnsi="Arial" w:cs="Arial"/>
                <w:color w:val="000000"/>
                <w:lang w:eastAsia="es-CO"/>
              </w:rPr>
            </w:pPr>
            <w:r w:rsidRPr="00DF798F">
              <w:rPr>
                <w:rFonts w:ascii="Arial" w:eastAsia="Times New Roman" w:hAnsi="Arial" w:cs="Arial"/>
                <w:color w:val="000000"/>
                <w:lang w:eastAsia="es-CO"/>
              </w:rPr>
              <w:t>4,80%</w:t>
            </w:r>
          </w:p>
        </w:tc>
      </w:tr>
      <w:tr w:rsidR="00D22CAE" w:rsidRPr="00DF798F" w:rsidTr="008738A4">
        <w:trPr>
          <w:trHeight w:val="300"/>
        </w:trPr>
        <w:tc>
          <w:tcPr>
            <w:tcW w:w="1985" w:type="dxa"/>
            <w:tcBorders>
              <w:top w:val="nil"/>
              <w:left w:val="single" w:sz="8" w:space="0" w:color="auto"/>
              <w:bottom w:val="nil"/>
              <w:right w:val="nil"/>
            </w:tcBorders>
            <w:shd w:val="clear" w:color="auto" w:fill="auto"/>
            <w:noWrap/>
            <w:vAlign w:val="center"/>
            <w:hideMark/>
          </w:tcPr>
          <w:p w:rsidR="00D22CAE" w:rsidRPr="00DF798F" w:rsidRDefault="00D22CAE" w:rsidP="008738A4">
            <w:pPr>
              <w:spacing w:after="0" w:line="240" w:lineRule="auto"/>
              <w:jc w:val="center"/>
              <w:rPr>
                <w:rFonts w:ascii="Arial" w:eastAsia="Times New Roman" w:hAnsi="Arial" w:cs="Arial"/>
                <w:color w:val="000000"/>
                <w:lang w:eastAsia="es-CO"/>
              </w:rPr>
            </w:pPr>
            <w:r w:rsidRPr="00DF798F">
              <w:rPr>
                <w:rFonts w:ascii="Arial" w:eastAsia="Times New Roman" w:hAnsi="Arial" w:cs="Arial"/>
                <w:color w:val="000000"/>
                <w:lang w:eastAsia="es-CO"/>
              </w:rPr>
              <w:t>4</w:t>
            </w:r>
          </w:p>
        </w:tc>
        <w:tc>
          <w:tcPr>
            <w:tcW w:w="1417" w:type="dxa"/>
            <w:tcBorders>
              <w:top w:val="nil"/>
              <w:left w:val="nil"/>
              <w:bottom w:val="nil"/>
              <w:right w:val="nil"/>
            </w:tcBorders>
            <w:shd w:val="clear" w:color="auto" w:fill="auto"/>
            <w:noWrap/>
            <w:vAlign w:val="center"/>
            <w:hideMark/>
          </w:tcPr>
          <w:p w:rsidR="00D22CAE" w:rsidRPr="00DF798F" w:rsidRDefault="00D22CAE" w:rsidP="008738A4">
            <w:pPr>
              <w:spacing w:after="0" w:line="240" w:lineRule="auto"/>
              <w:jc w:val="center"/>
              <w:rPr>
                <w:rFonts w:ascii="Arial" w:eastAsia="Times New Roman" w:hAnsi="Arial" w:cs="Arial"/>
                <w:color w:val="000000"/>
                <w:lang w:eastAsia="es-CO"/>
              </w:rPr>
            </w:pPr>
            <w:r w:rsidRPr="00DF798F">
              <w:rPr>
                <w:rFonts w:ascii="Arial" w:eastAsia="Times New Roman" w:hAnsi="Arial" w:cs="Arial"/>
                <w:color w:val="000000"/>
                <w:lang w:eastAsia="es-CO"/>
              </w:rPr>
              <w:t>3,90%</w:t>
            </w:r>
          </w:p>
        </w:tc>
        <w:tc>
          <w:tcPr>
            <w:tcW w:w="1843" w:type="dxa"/>
            <w:tcBorders>
              <w:top w:val="nil"/>
              <w:left w:val="nil"/>
              <w:bottom w:val="nil"/>
              <w:right w:val="single" w:sz="8" w:space="0" w:color="auto"/>
            </w:tcBorders>
            <w:shd w:val="clear" w:color="auto" w:fill="auto"/>
            <w:noWrap/>
            <w:vAlign w:val="center"/>
            <w:hideMark/>
          </w:tcPr>
          <w:p w:rsidR="00D22CAE" w:rsidRPr="00DF798F" w:rsidRDefault="00D22CAE" w:rsidP="008738A4">
            <w:pPr>
              <w:spacing w:after="0" w:line="240" w:lineRule="auto"/>
              <w:jc w:val="center"/>
              <w:rPr>
                <w:rFonts w:ascii="Arial" w:eastAsia="Times New Roman" w:hAnsi="Arial" w:cs="Arial"/>
                <w:color w:val="000000"/>
                <w:lang w:eastAsia="es-CO"/>
              </w:rPr>
            </w:pPr>
            <w:r w:rsidRPr="00DF798F">
              <w:rPr>
                <w:rFonts w:ascii="Arial" w:eastAsia="Times New Roman" w:hAnsi="Arial" w:cs="Arial"/>
                <w:color w:val="000000"/>
                <w:lang w:eastAsia="es-CO"/>
              </w:rPr>
              <w:t>4,50%</w:t>
            </w:r>
          </w:p>
        </w:tc>
      </w:tr>
      <w:tr w:rsidR="00D22CAE" w:rsidRPr="00DF798F" w:rsidTr="008738A4">
        <w:trPr>
          <w:trHeight w:val="300"/>
        </w:trPr>
        <w:tc>
          <w:tcPr>
            <w:tcW w:w="1985" w:type="dxa"/>
            <w:tcBorders>
              <w:top w:val="nil"/>
              <w:left w:val="single" w:sz="8" w:space="0" w:color="auto"/>
              <w:bottom w:val="nil"/>
              <w:right w:val="nil"/>
            </w:tcBorders>
            <w:shd w:val="clear" w:color="auto" w:fill="auto"/>
            <w:noWrap/>
            <w:vAlign w:val="center"/>
            <w:hideMark/>
          </w:tcPr>
          <w:p w:rsidR="00D22CAE" w:rsidRPr="00DF798F" w:rsidRDefault="00D22CAE" w:rsidP="008738A4">
            <w:pPr>
              <w:spacing w:after="0" w:line="240" w:lineRule="auto"/>
              <w:jc w:val="center"/>
              <w:rPr>
                <w:rFonts w:ascii="Arial" w:eastAsia="Times New Roman" w:hAnsi="Arial" w:cs="Arial"/>
                <w:color w:val="000000"/>
                <w:lang w:eastAsia="es-CO"/>
              </w:rPr>
            </w:pPr>
            <w:r w:rsidRPr="00DF798F">
              <w:rPr>
                <w:rFonts w:ascii="Arial" w:eastAsia="Times New Roman" w:hAnsi="Arial" w:cs="Arial"/>
                <w:color w:val="000000"/>
                <w:lang w:eastAsia="es-CO"/>
              </w:rPr>
              <w:t>5</w:t>
            </w:r>
          </w:p>
        </w:tc>
        <w:tc>
          <w:tcPr>
            <w:tcW w:w="1417" w:type="dxa"/>
            <w:tcBorders>
              <w:top w:val="nil"/>
              <w:left w:val="nil"/>
              <w:bottom w:val="nil"/>
              <w:right w:val="nil"/>
            </w:tcBorders>
            <w:shd w:val="clear" w:color="auto" w:fill="auto"/>
            <w:noWrap/>
            <w:vAlign w:val="center"/>
            <w:hideMark/>
          </w:tcPr>
          <w:p w:rsidR="00D22CAE" w:rsidRPr="00DF798F" w:rsidRDefault="00D22CAE" w:rsidP="008738A4">
            <w:pPr>
              <w:spacing w:after="0" w:line="240" w:lineRule="auto"/>
              <w:jc w:val="center"/>
              <w:rPr>
                <w:rFonts w:ascii="Arial" w:eastAsia="Times New Roman" w:hAnsi="Arial" w:cs="Arial"/>
                <w:color w:val="000000"/>
                <w:lang w:eastAsia="es-CO"/>
              </w:rPr>
            </w:pPr>
            <w:r w:rsidRPr="00DF798F">
              <w:rPr>
                <w:rFonts w:ascii="Arial" w:eastAsia="Times New Roman" w:hAnsi="Arial" w:cs="Arial"/>
                <w:color w:val="000000"/>
                <w:lang w:eastAsia="es-CO"/>
              </w:rPr>
              <w:t>3,60%</w:t>
            </w:r>
          </w:p>
        </w:tc>
        <w:tc>
          <w:tcPr>
            <w:tcW w:w="1843" w:type="dxa"/>
            <w:tcBorders>
              <w:top w:val="nil"/>
              <w:left w:val="nil"/>
              <w:bottom w:val="nil"/>
              <w:right w:val="single" w:sz="8" w:space="0" w:color="auto"/>
            </w:tcBorders>
            <w:shd w:val="clear" w:color="auto" w:fill="auto"/>
            <w:noWrap/>
            <w:vAlign w:val="center"/>
            <w:hideMark/>
          </w:tcPr>
          <w:p w:rsidR="00D22CAE" w:rsidRPr="00DF798F" w:rsidRDefault="00D22CAE" w:rsidP="008738A4">
            <w:pPr>
              <w:spacing w:after="0" w:line="240" w:lineRule="auto"/>
              <w:jc w:val="center"/>
              <w:rPr>
                <w:rFonts w:ascii="Arial" w:eastAsia="Times New Roman" w:hAnsi="Arial" w:cs="Arial"/>
                <w:color w:val="000000"/>
                <w:lang w:eastAsia="es-CO"/>
              </w:rPr>
            </w:pPr>
            <w:r w:rsidRPr="00DF798F">
              <w:rPr>
                <w:rFonts w:ascii="Arial" w:eastAsia="Times New Roman" w:hAnsi="Arial" w:cs="Arial"/>
                <w:color w:val="000000"/>
                <w:lang w:eastAsia="es-CO"/>
              </w:rPr>
              <w:t>4,20%</w:t>
            </w:r>
          </w:p>
        </w:tc>
      </w:tr>
      <w:tr w:rsidR="00D22CAE" w:rsidRPr="00DF798F" w:rsidTr="008738A4">
        <w:trPr>
          <w:trHeight w:val="300"/>
        </w:trPr>
        <w:tc>
          <w:tcPr>
            <w:tcW w:w="1985" w:type="dxa"/>
            <w:tcBorders>
              <w:top w:val="nil"/>
              <w:left w:val="single" w:sz="8" w:space="0" w:color="auto"/>
              <w:bottom w:val="single" w:sz="4" w:space="0" w:color="auto"/>
              <w:right w:val="nil"/>
            </w:tcBorders>
            <w:shd w:val="clear" w:color="auto" w:fill="auto"/>
            <w:noWrap/>
            <w:vAlign w:val="center"/>
            <w:hideMark/>
          </w:tcPr>
          <w:p w:rsidR="00D22CAE" w:rsidRPr="00DF798F" w:rsidRDefault="00D22CAE" w:rsidP="008738A4">
            <w:pPr>
              <w:spacing w:after="0" w:line="240" w:lineRule="auto"/>
              <w:jc w:val="center"/>
              <w:rPr>
                <w:rFonts w:ascii="Arial" w:eastAsia="Times New Roman" w:hAnsi="Arial" w:cs="Arial"/>
                <w:color w:val="000000"/>
                <w:lang w:eastAsia="es-CO"/>
              </w:rPr>
            </w:pPr>
            <w:r w:rsidRPr="00DF798F">
              <w:rPr>
                <w:rFonts w:ascii="Arial" w:eastAsia="Times New Roman" w:hAnsi="Arial" w:cs="Arial"/>
                <w:color w:val="000000"/>
                <w:lang w:eastAsia="es-CO"/>
              </w:rPr>
              <w:t>6</w:t>
            </w:r>
          </w:p>
        </w:tc>
        <w:tc>
          <w:tcPr>
            <w:tcW w:w="1417" w:type="dxa"/>
            <w:tcBorders>
              <w:top w:val="nil"/>
              <w:left w:val="nil"/>
              <w:bottom w:val="single" w:sz="4" w:space="0" w:color="auto"/>
              <w:right w:val="nil"/>
            </w:tcBorders>
            <w:shd w:val="clear" w:color="auto" w:fill="auto"/>
            <w:noWrap/>
            <w:vAlign w:val="center"/>
            <w:hideMark/>
          </w:tcPr>
          <w:p w:rsidR="00D22CAE" w:rsidRPr="00DF798F" w:rsidRDefault="00D22CAE" w:rsidP="008738A4">
            <w:pPr>
              <w:spacing w:after="0" w:line="240" w:lineRule="auto"/>
              <w:jc w:val="center"/>
              <w:rPr>
                <w:rFonts w:ascii="Arial" w:eastAsia="Times New Roman" w:hAnsi="Arial" w:cs="Arial"/>
                <w:color w:val="000000"/>
                <w:lang w:eastAsia="es-CO"/>
              </w:rPr>
            </w:pPr>
            <w:r w:rsidRPr="00DF798F">
              <w:rPr>
                <w:rFonts w:ascii="Arial" w:eastAsia="Times New Roman" w:hAnsi="Arial" w:cs="Arial"/>
                <w:color w:val="000000"/>
                <w:lang w:eastAsia="es-CO"/>
              </w:rPr>
              <w:t>3,50%</w:t>
            </w:r>
          </w:p>
        </w:tc>
        <w:tc>
          <w:tcPr>
            <w:tcW w:w="1843" w:type="dxa"/>
            <w:tcBorders>
              <w:top w:val="nil"/>
              <w:left w:val="nil"/>
              <w:bottom w:val="single" w:sz="4" w:space="0" w:color="auto"/>
              <w:right w:val="single" w:sz="8" w:space="0" w:color="auto"/>
            </w:tcBorders>
            <w:shd w:val="clear" w:color="auto" w:fill="auto"/>
            <w:noWrap/>
            <w:vAlign w:val="center"/>
            <w:hideMark/>
          </w:tcPr>
          <w:p w:rsidR="00D22CAE" w:rsidRPr="00DF798F" w:rsidRDefault="00D22CAE" w:rsidP="008738A4">
            <w:pPr>
              <w:spacing w:after="0" w:line="240" w:lineRule="auto"/>
              <w:jc w:val="center"/>
              <w:rPr>
                <w:rFonts w:ascii="Arial" w:eastAsia="Times New Roman" w:hAnsi="Arial" w:cs="Arial"/>
                <w:color w:val="000000"/>
                <w:lang w:eastAsia="es-CO"/>
              </w:rPr>
            </w:pPr>
            <w:r w:rsidRPr="00DF798F">
              <w:rPr>
                <w:rFonts w:ascii="Arial" w:eastAsia="Times New Roman" w:hAnsi="Arial" w:cs="Arial"/>
                <w:color w:val="000000"/>
                <w:lang w:eastAsia="es-CO"/>
              </w:rPr>
              <w:t>4,00%</w:t>
            </w:r>
          </w:p>
        </w:tc>
      </w:tr>
      <w:tr w:rsidR="00D22CAE" w:rsidRPr="00DF798F" w:rsidTr="008738A4">
        <w:trPr>
          <w:trHeight w:val="300"/>
        </w:trPr>
        <w:tc>
          <w:tcPr>
            <w:tcW w:w="1985" w:type="dxa"/>
            <w:tcBorders>
              <w:top w:val="single" w:sz="4" w:space="0" w:color="auto"/>
              <w:left w:val="single" w:sz="4" w:space="0" w:color="auto"/>
              <w:right w:val="nil"/>
            </w:tcBorders>
            <w:shd w:val="clear" w:color="auto" w:fill="auto"/>
            <w:noWrap/>
            <w:vAlign w:val="center"/>
            <w:hideMark/>
          </w:tcPr>
          <w:p w:rsidR="00D22CAE" w:rsidRPr="00DF798F" w:rsidRDefault="00D22CAE" w:rsidP="008738A4">
            <w:pPr>
              <w:spacing w:after="0" w:line="240" w:lineRule="auto"/>
              <w:jc w:val="center"/>
              <w:rPr>
                <w:rFonts w:ascii="Arial" w:eastAsia="Times New Roman" w:hAnsi="Arial" w:cs="Arial"/>
                <w:color w:val="000000"/>
                <w:lang w:eastAsia="es-CO"/>
              </w:rPr>
            </w:pPr>
            <w:r w:rsidRPr="00DF798F">
              <w:rPr>
                <w:rFonts w:ascii="Arial" w:eastAsia="Times New Roman" w:hAnsi="Arial" w:cs="Arial"/>
                <w:color w:val="000000"/>
                <w:lang w:eastAsia="es-CO"/>
              </w:rPr>
              <w:t>7</w:t>
            </w:r>
          </w:p>
        </w:tc>
        <w:tc>
          <w:tcPr>
            <w:tcW w:w="1417" w:type="dxa"/>
            <w:tcBorders>
              <w:top w:val="single" w:sz="4" w:space="0" w:color="auto"/>
              <w:left w:val="nil"/>
              <w:right w:val="nil"/>
            </w:tcBorders>
            <w:shd w:val="clear" w:color="auto" w:fill="auto"/>
            <w:noWrap/>
            <w:vAlign w:val="center"/>
            <w:hideMark/>
          </w:tcPr>
          <w:p w:rsidR="00D22CAE" w:rsidRPr="00DF798F" w:rsidRDefault="00D22CAE" w:rsidP="008738A4">
            <w:pPr>
              <w:spacing w:after="0" w:line="240" w:lineRule="auto"/>
              <w:jc w:val="center"/>
              <w:rPr>
                <w:rFonts w:ascii="Arial" w:eastAsia="Times New Roman" w:hAnsi="Arial" w:cs="Arial"/>
                <w:color w:val="000000"/>
                <w:lang w:eastAsia="es-CO"/>
              </w:rPr>
            </w:pPr>
            <w:r w:rsidRPr="00DF798F">
              <w:rPr>
                <w:rFonts w:ascii="Arial" w:eastAsia="Times New Roman" w:hAnsi="Arial" w:cs="Arial"/>
                <w:color w:val="000000"/>
                <w:lang w:eastAsia="es-CO"/>
              </w:rPr>
              <w:t>3,30%</w:t>
            </w:r>
          </w:p>
        </w:tc>
        <w:tc>
          <w:tcPr>
            <w:tcW w:w="1843" w:type="dxa"/>
            <w:tcBorders>
              <w:top w:val="single" w:sz="4" w:space="0" w:color="auto"/>
              <w:left w:val="nil"/>
              <w:right w:val="single" w:sz="4" w:space="0" w:color="auto"/>
            </w:tcBorders>
            <w:shd w:val="clear" w:color="auto" w:fill="auto"/>
            <w:noWrap/>
            <w:vAlign w:val="center"/>
            <w:hideMark/>
          </w:tcPr>
          <w:p w:rsidR="00D22CAE" w:rsidRPr="00DF798F" w:rsidRDefault="00D22CAE" w:rsidP="008738A4">
            <w:pPr>
              <w:spacing w:after="0" w:line="240" w:lineRule="auto"/>
              <w:jc w:val="center"/>
              <w:rPr>
                <w:rFonts w:ascii="Arial" w:eastAsia="Times New Roman" w:hAnsi="Arial" w:cs="Arial"/>
                <w:color w:val="000000"/>
                <w:lang w:eastAsia="es-CO"/>
              </w:rPr>
            </w:pPr>
            <w:r w:rsidRPr="00DF798F">
              <w:rPr>
                <w:rFonts w:ascii="Arial" w:eastAsia="Times New Roman" w:hAnsi="Arial" w:cs="Arial"/>
                <w:color w:val="000000"/>
                <w:lang w:eastAsia="es-CO"/>
              </w:rPr>
              <w:t>3,80%</w:t>
            </w:r>
          </w:p>
        </w:tc>
      </w:tr>
      <w:tr w:rsidR="00D22CAE" w:rsidRPr="00DF798F" w:rsidTr="008738A4">
        <w:trPr>
          <w:trHeight w:val="300"/>
        </w:trPr>
        <w:tc>
          <w:tcPr>
            <w:tcW w:w="1985" w:type="dxa"/>
            <w:tcBorders>
              <w:left w:val="single" w:sz="4" w:space="0" w:color="auto"/>
              <w:right w:val="nil"/>
            </w:tcBorders>
            <w:shd w:val="clear" w:color="auto" w:fill="auto"/>
            <w:noWrap/>
            <w:vAlign w:val="center"/>
            <w:hideMark/>
          </w:tcPr>
          <w:p w:rsidR="00D22CAE" w:rsidRPr="00DF798F" w:rsidRDefault="00D22CAE" w:rsidP="008738A4">
            <w:pPr>
              <w:spacing w:after="0" w:line="240" w:lineRule="auto"/>
              <w:jc w:val="center"/>
              <w:rPr>
                <w:rFonts w:ascii="Arial" w:eastAsia="Times New Roman" w:hAnsi="Arial" w:cs="Arial"/>
                <w:color w:val="000000"/>
                <w:lang w:eastAsia="es-CO"/>
              </w:rPr>
            </w:pPr>
            <w:r w:rsidRPr="00DF798F">
              <w:rPr>
                <w:rFonts w:ascii="Arial" w:eastAsia="Times New Roman" w:hAnsi="Arial" w:cs="Arial"/>
                <w:color w:val="000000"/>
                <w:lang w:eastAsia="es-CO"/>
              </w:rPr>
              <w:t>8</w:t>
            </w:r>
          </w:p>
        </w:tc>
        <w:tc>
          <w:tcPr>
            <w:tcW w:w="1417" w:type="dxa"/>
            <w:tcBorders>
              <w:left w:val="nil"/>
              <w:right w:val="nil"/>
            </w:tcBorders>
            <w:shd w:val="clear" w:color="auto" w:fill="auto"/>
            <w:noWrap/>
            <w:vAlign w:val="center"/>
            <w:hideMark/>
          </w:tcPr>
          <w:p w:rsidR="00D22CAE" w:rsidRPr="00DF798F" w:rsidRDefault="00D22CAE" w:rsidP="008738A4">
            <w:pPr>
              <w:spacing w:after="0" w:line="240" w:lineRule="auto"/>
              <w:jc w:val="center"/>
              <w:rPr>
                <w:rFonts w:ascii="Arial" w:eastAsia="Times New Roman" w:hAnsi="Arial" w:cs="Arial"/>
                <w:color w:val="000000"/>
                <w:lang w:eastAsia="es-CO"/>
              </w:rPr>
            </w:pPr>
            <w:r w:rsidRPr="00DF798F">
              <w:rPr>
                <w:rFonts w:ascii="Arial" w:eastAsia="Times New Roman" w:hAnsi="Arial" w:cs="Arial"/>
                <w:color w:val="000000"/>
                <w:lang w:eastAsia="es-CO"/>
              </w:rPr>
              <w:t>3,20%</w:t>
            </w:r>
          </w:p>
        </w:tc>
        <w:tc>
          <w:tcPr>
            <w:tcW w:w="1843" w:type="dxa"/>
            <w:tcBorders>
              <w:left w:val="nil"/>
              <w:right w:val="single" w:sz="4" w:space="0" w:color="auto"/>
            </w:tcBorders>
            <w:shd w:val="clear" w:color="auto" w:fill="auto"/>
            <w:noWrap/>
            <w:vAlign w:val="center"/>
            <w:hideMark/>
          </w:tcPr>
          <w:p w:rsidR="00D22CAE" w:rsidRPr="00DF798F" w:rsidRDefault="00D22CAE" w:rsidP="008738A4">
            <w:pPr>
              <w:spacing w:after="0" w:line="240" w:lineRule="auto"/>
              <w:jc w:val="center"/>
              <w:rPr>
                <w:rFonts w:ascii="Arial" w:eastAsia="Times New Roman" w:hAnsi="Arial" w:cs="Arial"/>
                <w:color w:val="000000"/>
                <w:lang w:eastAsia="es-CO"/>
              </w:rPr>
            </w:pPr>
            <w:r w:rsidRPr="00DF798F">
              <w:rPr>
                <w:rFonts w:ascii="Arial" w:eastAsia="Times New Roman" w:hAnsi="Arial" w:cs="Arial"/>
                <w:color w:val="000000"/>
                <w:lang w:eastAsia="es-CO"/>
              </w:rPr>
              <w:t>3,70%</w:t>
            </w:r>
          </w:p>
        </w:tc>
      </w:tr>
      <w:tr w:rsidR="00D22CAE" w:rsidRPr="00DF798F" w:rsidTr="008738A4">
        <w:trPr>
          <w:trHeight w:val="300"/>
        </w:trPr>
        <w:tc>
          <w:tcPr>
            <w:tcW w:w="1985" w:type="dxa"/>
            <w:tcBorders>
              <w:left w:val="single" w:sz="4" w:space="0" w:color="auto"/>
              <w:bottom w:val="nil"/>
              <w:right w:val="nil"/>
            </w:tcBorders>
            <w:shd w:val="clear" w:color="auto" w:fill="auto"/>
            <w:noWrap/>
            <w:vAlign w:val="center"/>
            <w:hideMark/>
          </w:tcPr>
          <w:p w:rsidR="00D22CAE" w:rsidRPr="00DF798F" w:rsidRDefault="00D22CAE" w:rsidP="008738A4">
            <w:pPr>
              <w:spacing w:after="0" w:line="240" w:lineRule="auto"/>
              <w:jc w:val="center"/>
              <w:rPr>
                <w:rFonts w:ascii="Arial" w:eastAsia="Times New Roman" w:hAnsi="Arial" w:cs="Arial"/>
                <w:color w:val="000000"/>
                <w:lang w:eastAsia="es-CO"/>
              </w:rPr>
            </w:pPr>
            <w:r w:rsidRPr="00DF798F">
              <w:rPr>
                <w:rFonts w:ascii="Arial" w:eastAsia="Times New Roman" w:hAnsi="Arial" w:cs="Arial"/>
                <w:color w:val="000000"/>
                <w:lang w:eastAsia="es-CO"/>
              </w:rPr>
              <w:t>9</w:t>
            </w:r>
          </w:p>
        </w:tc>
        <w:tc>
          <w:tcPr>
            <w:tcW w:w="1417" w:type="dxa"/>
            <w:tcBorders>
              <w:left w:val="nil"/>
              <w:bottom w:val="nil"/>
              <w:right w:val="nil"/>
            </w:tcBorders>
            <w:shd w:val="clear" w:color="auto" w:fill="auto"/>
            <w:noWrap/>
            <w:vAlign w:val="center"/>
            <w:hideMark/>
          </w:tcPr>
          <w:p w:rsidR="00D22CAE" w:rsidRPr="00DF798F" w:rsidRDefault="00D22CAE" w:rsidP="008738A4">
            <w:pPr>
              <w:spacing w:after="0" w:line="240" w:lineRule="auto"/>
              <w:jc w:val="center"/>
              <w:rPr>
                <w:rFonts w:ascii="Arial" w:eastAsia="Times New Roman" w:hAnsi="Arial" w:cs="Arial"/>
                <w:color w:val="000000"/>
                <w:lang w:eastAsia="es-CO"/>
              </w:rPr>
            </w:pPr>
            <w:r w:rsidRPr="00DF798F">
              <w:rPr>
                <w:rFonts w:ascii="Arial" w:eastAsia="Times New Roman" w:hAnsi="Arial" w:cs="Arial"/>
                <w:color w:val="000000"/>
                <w:lang w:eastAsia="es-CO"/>
              </w:rPr>
              <w:t>3,10%</w:t>
            </w:r>
          </w:p>
        </w:tc>
        <w:tc>
          <w:tcPr>
            <w:tcW w:w="1843" w:type="dxa"/>
            <w:tcBorders>
              <w:left w:val="nil"/>
              <w:bottom w:val="nil"/>
              <w:right w:val="single" w:sz="4" w:space="0" w:color="auto"/>
            </w:tcBorders>
            <w:shd w:val="clear" w:color="auto" w:fill="auto"/>
            <w:noWrap/>
            <w:vAlign w:val="center"/>
            <w:hideMark/>
          </w:tcPr>
          <w:p w:rsidR="00D22CAE" w:rsidRPr="00DF798F" w:rsidRDefault="00D22CAE" w:rsidP="008738A4">
            <w:pPr>
              <w:spacing w:after="0" w:line="240" w:lineRule="auto"/>
              <w:jc w:val="center"/>
              <w:rPr>
                <w:rFonts w:ascii="Arial" w:eastAsia="Times New Roman" w:hAnsi="Arial" w:cs="Arial"/>
                <w:color w:val="000000"/>
                <w:lang w:eastAsia="es-CO"/>
              </w:rPr>
            </w:pPr>
            <w:r w:rsidRPr="00DF798F">
              <w:rPr>
                <w:rFonts w:ascii="Arial" w:eastAsia="Times New Roman" w:hAnsi="Arial" w:cs="Arial"/>
                <w:color w:val="000000"/>
                <w:lang w:eastAsia="es-CO"/>
              </w:rPr>
              <w:t>3,60%</w:t>
            </w:r>
          </w:p>
        </w:tc>
      </w:tr>
      <w:tr w:rsidR="00D22CAE" w:rsidRPr="00DF798F" w:rsidTr="008738A4">
        <w:trPr>
          <w:trHeight w:val="300"/>
        </w:trPr>
        <w:tc>
          <w:tcPr>
            <w:tcW w:w="1985" w:type="dxa"/>
            <w:tcBorders>
              <w:top w:val="nil"/>
              <w:left w:val="single" w:sz="4" w:space="0" w:color="auto"/>
              <w:bottom w:val="nil"/>
              <w:right w:val="nil"/>
            </w:tcBorders>
            <w:shd w:val="clear" w:color="auto" w:fill="auto"/>
            <w:noWrap/>
            <w:vAlign w:val="center"/>
            <w:hideMark/>
          </w:tcPr>
          <w:p w:rsidR="00D22CAE" w:rsidRPr="00DF798F" w:rsidRDefault="00D22CAE" w:rsidP="008738A4">
            <w:pPr>
              <w:spacing w:after="0" w:line="240" w:lineRule="auto"/>
              <w:jc w:val="center"/>
              <w:rPr>
                <w:rFonts w:ascii="Arial" w:eastAsia="Times New Roman" w:hAnsi="Arial" w:cs="Arial"/>
                <w:color w:val="000000"/>
                <w:lang w:eastAsia="es-CO"/>
              </w:rPr>
            </w:pPr>
            <w:r w:rsidRPr="00DF798F">
              <w:rPr>
                <w:rFonts w:ascii="Arial" w:eastAsia="Times New Roman" w:hAnsi="Arial" w:cs="Arial"/>
                <w:color w:val="000000"/>
                <w:lang w:eastAsia="es-CO"/>
              </w:rPr>
              <w:t>10</w:t>
            </w:r>
          </w:p>
        </w:tc>
        <w:tc>
          <w:tcPr>
            <w:tcW w:w="1417" w:type="dxa"/>
            <w:tcBorders>
              <w:top w:val="nil"/>
              <w:left w:val="nil"/>
              <w:bottom w:val="nil"/>
              <w:right w:val="nil"/>
            </w:tcBorders>
            <w:shd w:val="clear" w:color="auto" w:fill="auto"/>
            <w:noWrap/>
            <w:vAlign w:val="center"/>
            <w:hideMark/>
          </w:tcPr>
          <w:p w:rsidR="00D22CAE" w:rsidRPr="00DF798F" w:rsidRDefault="00D22CAE" w:rsidP="008738A4">
            <w:pPr>
              <w:spacing w:after="0" w:line="240" w:lineRule="auto"/>
              <w:jc w:val="center"/>
              <w:rPr>
                <w:rFonts w:ascii="Arial" w:eastAsia="Times New Roman" w:hAnsi="Arial" w:cs="Arial"/>
                <w:color w:val="000000"/>
                <w:lang w:eastAsia="es-CO"/>
              </w:rPr>
            </w:pPr>
            <w:r w:rsidRPr="00DF798F">
              <w:rPr>
                <w:rFonts w:ascii="Arial" w:eastAsia="Times New Roman" w:hAnsi="Arial" w:cs="Arial"/>
                <w:color w:val="000000"/>
                <w:lang w:eastAsia="es-CO"/>
              </w:rPr>
              <w:t>3,00%</w:t>
            </w:r>
          </w:p>
        </w:tc>
        <w:tc>
          <w:tcPr>
            <w:tcW w:w="1843" w:type="dxa"/>
            <w:tcBorders>
              <w:top w:val="nil"/>
              <w:left w:val="nil"/>
              <w:bottom w:val="nil"/>
              <w:right w:val="single" w:sz="4" w:space="0" w:color="auto"/>
            </w:tcBorders>
            <w:shd w:val="clear" w:color="auto" w:fill="auto"/>
            <w:noWrap/>
            <w:vAlign w:val="center"/>
            <w:hideMark/>
          </w:tcPr>
          <w:p w:rsidR="00D22CAE" w:rsidRPr="00DF798F" w:rsidRDefault="00D22CAE" w:rsidP="008738A4">
            <w:pPr>
              <w:spacing w:after="0" w:line="240" w:lineRule="auto"/>
              <w:jc w:val="center"/>
              <w:rPr>
                <w:rFonts w:ascii="Arial" w:eastAsia="Times New Roman" w:hAnsi="Arial" w:cs="Arial"/>
                <w:color w:val="000000"/>
                <w:lang w:eastAsia="es-CO"/>
              </w:rPr>
            </w:pPr>
            <w:r w:rsidRPr="00DF798F">
              <w:rPr>
                <w:rFonts w:ascii="Arial" w:eastAsia="Times New Roman" w:hAnsi="Arial" w:cs="Arial"/>
                <w:color w:val="000000"/>
                <w:lang w:eastAsia="es-CO"/>
              </w:rPr>
              <w:t>3,50%</w:t>
            </w:r>
          </w:p>
        </w:tc>
      </w:tr>
      <w:tr w:rsidR="00D22CAE" w:rsidRPr="00DF798F" w:rsidTr="008738A4">
        <w:trPr>
          <w:trHeight w:val="300"/>
        </w:trPr>
        <w:tc>
          <w:tcPr>
            <w:tcW w:w="1985" w:type="dxa"/>
            <w:tcBorders>
              <w:top w:val="nil"/>
              <w:left w:val="single" w:sz="4" w:space="0" w:color="auto"/>
              <w:bottom w:val="nil"/>
              <w:right w:val="nil"/>
            </w:tcBorders>
            <w:shd w:val="clear" w:color="auto" w:fill="auto"/>
            <w:noWrap/>
            <w:vAlign w:val="center"/>
            <w:hideMark/>
          </w:tcPr>
          <w:p w:rsidR="00D22CAE" w:rsidRPr="00DF798F" w:rsidRDefault="00D22CAE" w:rsidP="008738A4">
            <w:pPr>
              <w:spacing w:after="0" w:line="240" w:lineRule="auto"/>
              <w:jc w:val="center"/>
              <w:rPr>
                <w:rFonts w:ascii="Arial" w:eastAsia="Times New Roman" w:hAnsi="Arial" w:cs="Arial"/>
                <w:color w:val="000000"/>
                <w:lang w:eastAsia="es-CO"/>
              </w:rPr>
            </w:pPr>
            <w:r w:rsidRPr="00DF798F">
              <w:rPr>
                <w:rFonts w:ascii="Arial" w:eastAsia="Times New Roman" w:hAnsi="Arial" w:cs="Arial"/>
                <w:color w:val="000000"/>
                <w:lang w:eastAsia="es-CO"/>
              </w:rPr>
              <w:t>11</w:t>
            </w:r>
          </w:p>
        </w:tc>
        <w:tc>
          <w:tcPr>
            <w:tcW w:w="1417" w:type="dxa"/>
            <w:tcBorders>
              <w:top w:val="nil"/>
              <w:left w:val="nil"/>
              <w:bottom w:val="nil"/>
              <w:right w:val="nil"/>
            </w:tcBorders>
            <w:shd w:val="clear" w:color="auto" w:fill="auto"/>
            <w:noWrap/>
            <w:vAlign w:val="center"/>
            <w:hideMark/>
          </w:tcPr>
          <w:p w:rsidR="00D22CAE" w:rsidRPr="00DF798F" w:rsidRDefault="00D22CAE" w:rsidP="008738A4">
            <w:pPr>
              <w:spacing w:after="0" w:line="240" w:lineRule="auto"/>
              <w:jc w:val="center"/>
              <w:rPr>
                <w:rFonts w:ascii="Arial" w:eastAsia="Times New Roman" w:hAnsi="Arial" w:cs="Arial"/>
                <w:color w:val="000000"/>
                <w:lang w:eastAsia="es-CO"/>
              </w:rPr>
            </w:pPr>
            <w:r w:rsidRPr="00DF798F">
              <w:rPr>
                <w:rFonts w:ascii="Arial" w:eastAsia="Times New Roman" w:hAnsi="Arial" w:cs="Arial"/>
                <w:color w:val="000000"/>
                <w:lang w:eastAsia="es-CO"/>
              </w:rPr>
              <w:t>3,00%</w:t>
            </w:r>
          </w:p>
        </w:tc>
        <w:tc>
          <w:tcPr>
            <w:tcW w:w="1843" w:type="dxa"/>
            <w:tcBorders>
              <w:top w:val="nil"/>
              <w:left w:val="nil"/>
              <w:bottom w:val="nil"/>
              <w:right w:val="single" w:sz="4" w:space="0" w:color="auto"/>
            </w:tcBorders>
            <w:shd w:val="clear" w:color="auto" w:fill="auto"/>
            <w:noWrap/>
            <w:vAlign w:val="center"/>
            <w:hideMark/>
          </w:tcPr>
          <w:p w:rsidR="00D22CAE" w:rsidRPr="00DF798F" w:rsidRDefault="00D22CAE" w:rsidP="008738A4">
            <w:pPr>
              <w:spacing w:after="0" w:line="240" w:lineRule="auto"/>
              <w:jc w:val="center"/>
              <w:rPr>
                <w:rFonts w:ascii="Arial" w:eastAsia="Times New Roman" w:hAnsi="Arial" w:cs="Arial"/>
                <w:color w:val="000000"/>
                <w:lang w:eastAsia="es-CO"/>
              </w:rPr>
            </w:pPr>
            <w:r w:rsidRPr="00DF798F">
              <w:rPr>
                <w:rFonts w:ascii="Arial" w:eastAsia="Times New Roman" w:hAnsi="Arial" w:cs="Arial"/>
                <w:color w:val="000000"/>
                <w:lang w:eastAsia="es-CO"/>
              </w:rPr>
              <w:t>3,40%</w:t>
            </w:r>
          </w:p>
        </w:tc>
      </w:tr>
      <w:tr w:rsidR="00D22CAE" w:rsidRPr="00DF798F" w:rsidTr="008738A4">
        <w:trPr>
          <w:trHeight w:val="300"/>
        </w:trPr>
        <w:tc>
          <w:tcPr>
            <w:tcW w:w="1985" w:type="dxa"/>
            <w:tcBorders>
              <w:top w:val="nil"/>
              <w:left w:val="single" w:sz="4" w:space="0" w:color="auto"/>
              <w:bottom w:val="nil"/>
              <w:right w:val="nil"/>
            </w:tcBorders>
            <w:shd w:val="clear" w:color="auto" w:fill="auto"/>
            <w:noWrap/>
            <w:vAlign w:val="center"/>
            <w:hideMark/>
          </w:tcPr>
          <w:p w:rsidR="00D22CAE" w:rsidRPr="00DF798F" w:rsidRDefault="00D22CAE" w:rsidP="008738A4">
            <w:pPr>
              <w:spacing w:after="0" w:line="240" w:lineRule="auto"/>
              <w:jc w:val="center"/>
              <w:rPr>
                <w:rFonts w:ascii="Arial" w:eastAsia="Times New Roman" w:hAnsi="Arial" w:cs="Arial"/>
                <w:color w:val="000000"/>
                <w:lang w:eastAsia="es-CO"/>
              </w:rPr>
            </w:pPr>
            <w:r w:rsidRPr="00DF798F">
              <w:rPr>
                <w:rFonts w:ascii="Arial" w:eastAsia="Times New Roman" w:hAnsi="Arial" w:cs="Arial"/>
                <w:color w:val="000000"/>
                <w:lang w:eastAsia="es-CO"/>
              </w:rPr>
              <w:t>12</w:t>
            </w:r>
          </w:p>
        </w:tc>
        <w:tc>
          <w:tcPr>
            <w:tcW w:w="1417" w:type="dxa"/>
            <w:tcBorders>
              <w:top w:val="nil"/>
              <w:left w:val="nil"/>
              <w:bottom w:val="nil"/>
              <w:right w:val="nil"/>
            </w:tcBorders>
            <w:shd w:val="clear" w:color="auto" w:fill="auto"/>
            <w:noWrap/>
            <w:vAlign w:val="center"/>
            <w:hideMark/>
          </w:tcPr>
          <w:p w:rsidR="00D22CAE" w:rsidRPr="00DF798F" w:rsidRDefault="00D22CAE" w:rsidP="008738A4">
            <w:pPr>
              <w:spacing w:after="0" w:line="240" w:lineRule="auto"/>
              <w:jc w:val="center"/>
              <w:rPr>
                <w:rFonts w:ascii="Arial" w:eastAsia="Times New Roman" w:hAnsi="Arial" w:cs="Arial"/>
                <w:color w:val="000000"/>
                <w:lang w:eastAsia="es-CO"/>
              </w:rPr>
            </w:pPr>
            <w:r w:rsidRPr="00DF798F">
              <w:rPr>
                <w:rFonts w:ascii="Arial" w:eastAsia="Times New Roman" w:hAnsi="Arial" w:cs="Arial"/>
                <w:color w:val="000000"/>
                <w:lang w:eastAsia="es-CO"/>
              </w:rPr>
              <w:t>2,90%</w:t>
            </w:r>
          </w:p>
        </w:tc>
        <w:tc>
          <w:tcPr>
            <w:tcW w:w="1843" w:type="dxa"/>
            <w:tcBorders>
              <w:top w:val="nil"/>
              <w:left w:val="nil"/>
              <w:bottom w:val="nil"/>
              <w:right w:val="single" w:sz="4" w:space="0" w:color="auto"/>
            </w:tcBorders>
            <w:shd w:val="clear" w:color="auto" w:fill="auto"/>
            <w:noWrap/>
            <w:vAlign w:val="center"/>
            <w:hideMark/>
          </w:tcPr>
          <w:p w:rsidR="00D22CAE" w:rsidRPr="00DF798F" w:rsidRDefault="00D22CAE" w:rsidP="008738A4">
            <w:pPr>
              <w:spacing w:after="0" w:line="240" w:lineRule="auto"/>
              <w:jc w:val="center"/>
              <w:rPr>
                <w:rFonts w:ascii="Arial" w:eastAsia="Times New Roman" w:hAnsi="Arial" w:cs="Arial"/>
                <w:color w:val="000000"/>
                <w:lang w:eastAsia="es-CO"/>
              </w:rPr>
            </w:pPr>
            <w:r w:rsidRPr="00DF798F">
              <w:rPr>
                <w:rFonts w:ascii="Arial" w:eastAsia="Times New Roman" w:hAnsi="Arial" w:cs="Arial"/>
                <w:color w:val="000000"/>
                <w:lang w:eastAsia="es-CO"/>
              </w:rPr>
              <w:t>3,30%</w:t>
            </w:r>
          </w:p>
        </w:tc>
      </w:tr>
      <w:tr w:rsidR="00D22CAE" w:rsidRPr="00DF798F" w:rsidTr="008738A4">
        <w:trPr>
          <w:trHeight w:val="300"/>
        </w:trPr>
        <w:tc>
          <w:tcPr>
            <w:tcW w:w="1985" w:type="dxa"/>
            <w:tcBorders>
              <w:top w:val="nil"/>
              <w:left w:val="single" w:sz="4" w:space="0" w:color="auto"/>
              <w:bottom w:val="nil"/>
              <w:right w:val="nil"/>
            </w:tcBorders>
            <w:shd w:val="clear" w:color="auto" w:fill="auto"/>
            <w:noWrap/>
            <w:vAlign w:val="center"/>
            <w:hideMark/>
          </w:tcPr>
          <w:p w:rsidR="00D22CAE" w:rsidRPr="00DF798F" w:rsidRDefault="00D22CAE" w:rsidP="008738A4">
            <w:pPr>
              <w:spacing w:after="0" w:line="240" w:lineRule="auto"/>
              <w:jc w:val="center"/>
              <w:rPr>
                <w:rFonts w:ascii="Arial" w:eastAsia="Times New Roman" w:hAnsi="Arial" w:cs="Arial"/>
                <w:color w:val="000000"/>
                <w:lang w:eastAsia="es-CO"/>
              </w:rPr>
            </w:pPr>
            <w:r w:rsidRPr="00DF798F">
              <w:rPr>
                <w:rFonts w:ascii="Arial" w:eastAsia="Times New Roman" w:hAnsi="Arial" w:cs="Arial"/>
                <w:color w:val="000000"/>
                <w:lang w:eastAsia="es-CO"/>
              </w:rPr>
              <w:t>13</w:t>
            </w:r>
          </w:p>
        </w:tc>
        <w:tc>
          <w:tcPr>
            <w:tcW w:w="1417" w:type="dxa"/>
            <w:tcBorders>
              <w:top w:val="nil"/>
              <w:left w:val="nil"/>
              <w:bottom w:val="nil"/>
              <w:right w:val="nil"/>
            </w:tcBorders>
            <w:shd w:val="clear" w:color="auto" w:fill="auto"/>
            <w:noWrap/>
            <w:vAlign w:val="center"/>
            <w:hideMark/>
          </w:tcPr>
          <w:p w:rsidR="00D22CAE" w:rsidRPr="00DF798F" w:rsidRDefault="00D22CAE" w:rsidP="008738A4">
            <w:pPr>
              <w:spacing w:after="0" w:line="240" w:lineRule="auto"/>
              <w:jc w:val="center"/>
              <w:rPr>
                <w:rFonts w:ascii="Arial" w:eastAsia="Times New Roman" w:hAnsi="Arial" w:cs="Arial"/>
                <w:color w:val="000000"/>
                <w:lang w:eastAsia="es-CO"/>
              </w:rPr>
            </w:pPr>
            <w:r w:rsidRPr="00DF798F">
              <w:rPr>
                <w:rFonts w:ascii="Arial" w:eastAsia="Times New Roman" w:hAnsi="Arial" w:cs="Arial"/>
                <w:color w:val="000000"/>
                <w:lang w:eastAsia="es-CO"/>
              </w:rPr>
              <w:t>2,80%</w:t>
            </w:r>
          </w:p>
        </w:tc>
        <w:tc>
          <w:tcPr>
            <w:tcW w:w="1843" w:type="dxa"/>
            <w:tcBorders>
              <w:top w:val="nil"/>
              <w:left w:val="nil"/>
              <w:bottom w:val="nil"/>
              <w:right w:val="single" w:sz="4" w:space="0" w:color="auto"/>
            </w:tcBorders>
            <w:shd w:val="clear" w:color="auto" w:fill="auto"/>
            <w:noWrap/>
            <w:vAlign w:val="center"/>
            <w:hideMark/>
          </w:tcPr>
          <w:p w:rsidR="00D22CAE" w:rsidRPr="00DF798F" w:rsidRDefault="00D22CAE" w:rsidP="008738A4">
            <w:pPr>
              <w:spacing w:after="0" w:line="240" w:lineRule="auto"/>
              <w:jc w:val="center"/>
              <w:rPr>
                <w:rFonts w:ascii="Arial" w:eastAsia="Times New Roman" w:hAnsi="Arial" w:cs="Arial"/>
                <w:color w:val="000000"/>
                <w:lang w:eastAsia="es-CO"/>
              </w:rPr>
            </w:pPr>
            <w:r w:rsidRPr="00DF798F">
              <w:rPr>
                <w:rFonts w:ascii="Arial" w:eastAsia="Times New Roman" w:hAnsi="Arial" w:cs="Arial"/>
                <w:color w:val="000000"/>
                <w:lang w:eastAsia="es-CO"/>
              </w:rPr>
              <w:t>3,20%</w:t>
            </w:r>
          </w:p>
        </w:tc>
      </w:tr>
      <w:tr w:rsidR="00D22CAE" w:rsidRPr="00DF798F" w:rsidTr="008738A4">
        <w:trPr>
          <w:trHeight w:val="300"/>
        </w:trPr>
        <w:tc>
          <w:tcPr>
            <w:tcW w:w="1985" w:type="dxa"/>
            <w:tcBorders>
              <w:top w:val="nil"/>
              <w:left w:val="single" w:sz="4" w:space="0" w:color="auto"/>
              <w:bottom w:val="nil"/>
              <w:right w:val="nil"/>
            </w:tcBorders>
            <w:shd w:val="clear" w:color="auto" w:fill="auto"/>
            <w:noWrap/>
            <w:vAlign w:val="center"/>
            <w:hideMark/>
          </w:tcPr>
          <w:p w:rsidR="00D22CAE" w:rsidRPr="00DF798F" w:rsidRDefault="00D22CAE" w:rsidP="008738A4">
            <w:pPr>
              <w:spacing w:after="0" w:line="240" w:lineRule="auto"/>
              <w:jc w:val="center"/>
              <w:rPr>
                <w:rFonts w:ascii="Arial" w:eastAsia="Times New Roman" w:hAnsi="Arial" w:cs="Arial"/>
                <w:color w:val="000000"/>
                <w:lang w:eastAsia="es-CO"/>
              </w:rPr>
            </w:pPr>
            <w:r w:rsidRPr="00DF798F">
              <w:rPr>
                <w:rFonts w:ascii="Arial" w:eastAsia="Times New Roman" w:hAnsi="Arial" w:cs="Arial"/>
                <w:color w:val="000000"/>
                <w:lang w:eastAsia="es-CO"/>
              </w:rPr>
              <w:t>14</w:t>
            </w:r>
          </w:p>
        </w:tc>
        <w:tc>
          <w:tcPr>
            <w:tcW w:w="1417" w:type="dxa"/>
            <w:tcBorders>
              <w:top w:val="nil"/>
              <w:left w:val="nil"/>
              <w:bottom w:val="nil"/>
              <w:right w:val="nil"/>
            </w:tcBorders>
            <w:shd w:val="clear" w:color="auto" w:fill="auto"/>
            <w:noWrap/>
            <w:vAlign w:val="center"/>
            <w:hideMark/>
          </w:tcPr>
          <w:p w:rsidR="00D22CAE" w:rsidRPr="00DF798F" w:rsidRDefault="00D22CAE" w:rsidP="008738A4">
            <w:pPr>
              <w:spacing w:after="0" w:line="240" w:lineRule="auto"/>
              <w:jc w:val="center"/>
              <w:rPr>
                <w:rFonts w:ascii="Arial" w:eastAsia="Times New Roman" w:hAnsi="Arial" w:cs="Arial"/>
                <w:color w:val="000000"/>
                <w:lang w:eastAsia="es-CO"/>
              </w:rPr>
            </w:pPr>
            <w:r w:rsidRPr="00DF798F">
              <w:rPr>
                <w:rFonts w:ascii="Arial" w:eastAsia="Times New Roman" w:hAnsi="Arial" w:cs="Arial"/>
                <w:color w:val="000000"/>
                <w:lang w:eastAsia="es-CO"/>
              </w:rPr>
              <w:t>2,70%</w:t>
            </w:r>
          </w:p>
        </w:tc>
        <w:tc>
          <w:tcPr>
            <w:tcW w:w="1843" w:type="dxa"/>
            <w:tcBorders>
              <w:top w:val="nil"/>
              <w:left w:val="nil"/>
              <w:bottom w:val="nil"/>
              <w:right w:val="single" w:sz="4" w:space="0" w:color="auto"/>
            </w:tcBorders>
            <w:shd w:val="clear" w:color="auto" w:fill="auto"/>
            <w:noWrap/>
            <w:vAlign w:val="center"/>
            <w:hideMark/>
          </w:tcPr>
          <w:p w:rsidR="00D22CAE" w:rsidRPr="00DF798F" w:rsidRDefault="00D22CAE" w:rsidP="008738A4">
            <w:pPr>
              <w:spacing w:after="0" w:line="240" w:lineRule="auto"/>
              <w:jc w:val="center"/>
              <w:rPr>
                <w:rFonts w:ascii="Arial" w:eastAsia="Times New Roman" w:hAnsi="Arial" w:cs="Arial"/>
                <w:color w:val="000000"/>
                <w:lang w:eastAsia="es-CO"/>
              </w:rPr>
            </w:pPr>
            <w:r w:rsidRPr="00DF798F">
              <w:rPr>
                <w:rFonts w:ascii="Arial" w:eastAsia="Times New Roman" w:hAnsi="Arial" w:cs="Arial"/>
                <w:color w:val="000000"/>
                <w:lang w:eastAsia="es-CO"/>
              </w:rPr>
              <w:t>3,10%</w:t>
            </w:r>
          </w:p>
        </w:tc>
      </w:tr>
      <w:tr w:rsidR="00D22CAE" w:rsidRPr="00DF798F" w:rsidTr="008738A4">
        <w:trPr>
          <w:trHeight w:val="315"/>
        </w:trPr>
        <w:tc>
          <w:tcPr>
            <w:tcW w:w="1985" w:type="dxa"/>
            <w:tcBorders>
              <w:top w:val="nil"/>
              <w:left w:val="single" w:sz="4" w:space="0" w:color="auto"/>
              <w:bottom w:val="single" w:sz="4" w:space="0" w:color="auto"/>
              <w:right w:val="nil"/>
            </w:tcBorders>
            <w:shd w:val="clear" w:color="auto" w:fill="auto"/>
            <w:noWrap/>
            <w:vAlign w:val="center"/>
            <w:hideMark/>
          </w:tcPr>
          <w:p w:rsidR="00D22CAE" w:rsidRPr="00DF798F" w:rsidRDefault="00D22CAE" w:rsidP="008738A4">
            <w:pPr>
              <w:spacing w:after="0" w:line="240" w:lineRule="auto"/>
              <w:jc w:val="center"/>
              <w:rPr>
                <w:rFonts w:ascii="Arial" w:eastAsia="Times New Roman" w:hAnsi="Arial" w:cs="Arial"/>
                <w:color w:val="000000"/>
                <w:lang w:eastAsia="es-CO"/>
              </w:rPr>
            </w:pPr>
            <w:r w:rsidRPr="00DF798F">
              <w:rPr>
                <w:rFonts w:ascii="Arial" w:eastAsia="Times New Roman" w:hAnsi="Arial" w:cs="Arial"/>
                <w:color w:val="000000"/>
                <w:lang w:eastAsia="es-CO"/>
              </w:rPr>
              <w:t>15</w:t>
            </w:r>
          </w:p>
        </w:tc>
        <w:tc>
          <w:tcPr>
            <w:tcW w:w="1417" w:type="dxa"/>
            <w:tcBorders>
              <w:top w:val="nil"/>
              <w:left w:val="nil"/>
              <w:bottom w:val="single" w:sz="4" w:space="0" w:color="auto"/>
              <w:right w:val="nil"/>
            </w:tcBorders>
            <w:shd w:val="clear" w:color="auto" w:fill="auto"/>
            <w:noWrap/>
            <w:vAlign w:val="center"/>
            <w:hideMark/>
          </w:tcPr>
          <w:p w:rsidR="00D22CAE" w:rsidRPr="00DF798F" w:rsidRDefault="00D22CAE" w:rsidP="008738A4">
            <w:pPr>
              <w:spacing w:after="0" w:line="240" w:lineRule="auto"/>
              <w:jc w:val="center"/>
              <w:rPr>
                <w:rFonts w:ascii="Arial" w:eastAsia="Times New Roman" w:hAnsi="Arial" w:cs="Arial"/>
                <w:color w:val="000000"/>
                <w:lang w:eastAsia="es-CO"/>
              </w:rPr>
            </w:pPr>
            <w:r w:rsidRPr="00DF798F">
              <w:rPr>
                <w:rFonts w:ascii="Arial" w:eastAsia="Times New Roman" w:hAnsi="Arial" w:cs="Arial"/>
                <w:color w:val="000000"/>
                <w:lang w:eastAsia="es-CO"/>
              </w:rPr>
              <w:t>2,60%</w:t>
            </w:r>
          </w:p>
        </w:tc>
        <w:tc>
          <w:tcPr>
            <w:tcW w:w="1843" w:type="dxa"/>
            <w:tcBorders>
              <w:top w:val="nil"/>
              <w:left w:val="nil"/>
              <w:bottom w:val="single" w:sz="4" w:space="0" w:color="auto"/>
              <w:right w:val="single" w:sz="4" w:space="0" w:color="auto"/>
            </w:tcBorders>
            <w:shd w:val="clear" w:color="auto" w:fill="auto"/>
            <w:noWrap/>
            <w:vAlign w:val="center"/>
            <w:hideMark/>
          </w:tcPr>
          <w:p w:rsidR="00D22CAE" w:rsidRPr="00DF798F" w:rsidRDefault="00D22CAE" w:rsidP="008738A4">
            <w:pPr>
              <w:spacing w:after="0" w:line="240" w:lineRule="auto"/>
              <w:jc w:val="center"/>
              <w:rPr>
                <w:rFonts w:ascii="Arial" w:eastAsia="Times New Roman" w:hAnsi="Arial" w:cs="Arial"/>
                <w:color w:val="000000"/>
                <w:lang w:eastAsia="es-CO"/>
              </w:rPr>
            </w:pPr>
            <w:r w:rsidRPr="00DF798F">
              <w:rPr>
                <w:rFonts w:ascii="Arial" w:eastAsia="Times New Roman" w:hAnsi="Arial" w:cs="Arial"/>
                <w:color w:val="000000"/>
                <w:lang w:eastAsia="es-CO"/>
              </w:rPr>
              <w:t>3,00%</w:t>
            </w:r>
          </w:p>
        </w:tc>
      </w:tr>
    </w:tbl>
    <w:p w:rsidR="00D22CAE" w:rsidRPr="00DF798F" w:rsidRDefault="00D22CAE" w:rsidP="00D22CAE">
      <w:pPr>
        <w:spacing w:line="0" w:lineRule="atLeast"/>
        <w:ind w:left="720"/>
        <w:jc w:val="both"/>
        <w:rPr>
          <w:rFonts w:ascii="Arial" w:eastAsia="Arial" w:hAnsi="Arial" w:cs="Arial"/>
          <w:color w:val="000000"/>
          <w:u w:color="000000"/>
          <w:bdr w:val="nil"/>
        </w:rPr>
      </w:pPr>
    </w:p>
    <w:p w:rsidR="00D22CAE" w:rsidRPr="00DF798F" w:rsidRDefault="00D22CAE" w:rsidP="00D22CAE">
      <w:pPr>
        <w:numPr>
          <w:ilvl w:val="0"/>
          <w:numId w:val="1"/>
        </w:numPr>
        <w:spacing w:after="200" w:line="0" w:lineRule="atLeast"/>
        <w:jc w:val="both"/>
        <w:rPr>
          <w:rFonts w:ascii="Arial" w:eastAsia="Arial" w:hAnsi="Arial" w:cs="Arial"/>
          <w:color w:val="000000"/>
          <w:u w:color="000000"/>
          <w:bdr w:val="nil"/>
        </w:rPr>
      </w:pPr>
      <w:r w:rsidRPr="00DF798F">
        <w:rPr>
          <w:rFonts w:ascii="Arial" w:eastAsia="Arial" w:hAnsi="Arial" w:cs="Arial"/>
          <w:color w:val="000000"/>
          <w:u w:color="000000"/>
          <w:bdr w:val="nil"/>
        </w:rPr>
        <w:t xml:space="preserve">Para crédito con esquemas asociativos </w:t>
      </w:r>
    </w:p>
    <w:tbl>
      <w:tblPr>
        <w:tblW w:w="7656" w:type="dxa"/>
        <w:tblInd w:w="779" w:type="dxa"/>
        <w:tblCellMar>
          <w:left w:w="70" w:type="dxa"/>
          <w:right w:w="70" w:type="dxa"/>
        </w:tblCellMar>
        <w:tblLook w:val="04A0" w:firstRow="1" w:lastRow="0" w:firstColumn="1" w:lastColumn="0" w:noHBand="0" w:noVBand="1"/>
      </w:tblPr>
      <w:tblGrid>
        <w:gridCol w:w="6456"/>
        <w:gridCol w:w="1200"/>
      </w:tblGrid>
      <w:tr w:rsidR="00D22CAE" w:rsidRPr="00DF798F" w:rsidTr="008738A4">
        <w:trPr>
          <w:trHeight w:val="315"/>
        </w:trPr>
        <w:tc>
          <w:tcPr>
            <w:tcW w:w="6456" w:type="dxa"/>
            <w:tcBorders>
              <w:top w:val="single" w:sz="8" w:space="0" w:color="auto"/>
              <w:left w:val="single" w:sz="8" w:space="0" w:color="auto"/>
              <w:bottom w:val="single" w:sz="8" w:space="0" w:color="auto"/>
              <w:right w:val="nil"/>
            </w:tcBorders>
            <w:shd w:val="clear" w:color="000000" w:fill="DDD9C4"/>
            <w:noWrap/>
            <w:vAlign w:val="center"/>
            <w:hideMark/>
          </w:tcPr>
          <w:p w:rsidR="00D22CAE" w:rsidRPr="00DF798F" w:rsidRDefault="00D22CAE" w:rsidP="008738A4">
            <w:pPr>
              <w:spacing w:after="0" w:line="240" w:lineRule="auto"/>
              <w:rPr>
                <w:rFonts w:ascii="Arial" w:eastAsia="Times New Roman" w:hAnsi="Arial" w:cs="Arial"/>
                <w:color w:val="000000"/>
                <w:lang w:eastAsia="es-CO"/>
              </w:rPr>
            </w:pPr>
            <w:r w:rsidRPr="00DF798F">
              <w:rPr>
                <w:rFonts w:ascii="Arial" w:eastAsia="Times New Roman" w:hAnsi="Arial" w:cs="Arial"/>
                <w:color w:val="000000"/>
                <w:lang w:eastAsia="es-CO"/>
              </w:rPr>
              <w:t>Tipo de esquema</w:t>
            </w:r>
          </w:p>
        </w:tc>
        <w:tc>
          <w:tcPr>
            <w:tcW w:w="1200" w:type="dxa"/>
            <w:tcBorders>
              <w:top w:val="single" w:sz="8" w:space="0" w:color="auto"/>
              <w:left w:val="nil"/>
              <w:bottom w:val="single" w:sz="8" w:space="0" w:color="auto"/>
              <w:right w:val="single" w:sz="8" w:space="0" w:color="auto"/>
            </w:tcBorders>
            <w:shd w:val="clear" w:color="000000" w:fill="DDD9C4"/>
            <w:noWrap/>
            <w:vAlign w:val="center"/>
            <w:hideMark/>
          </w:tcPr>
          <w:p w:rsidR="00D22CAE" w:rsidRPr="00DF798F" w:rsidRDefault="00D22CAE" w:rsidP="008738A4">
            <w:pPr>
              <w:spacing w:after="0" w:line="240" w:lineRule="auto"/>
              <w:rPr>
                <w:rFonts w:ascii="Arial" w:eastAsia="Times New Roman" w:hAnsi="Arial" w:cs="Arial"/>
                <w:color w:val="000000"/>
                <w:lang w:eastAsia="es-CO"/>
              </w:rPr>
            </w:pPr>
            <w:r w:rsidRPr="00DF798F">
              <w:rPr>
                <w:rFonts w:ascii="Arial" w:eastAsia="Times New Roman" w:hAnsi="Arial" w:cs="Arial"/>
                <w:color w:val="000000"/>
                <w:lang w:eastAsia="es-CO"/>
              </w:rPr>
              <w:t>Comisión</w:t>
            </w:r>
          </w:p>
        </w:tc>
      </w:tr>
      <w:tr w:rsidR="00D22CAE" w:rsidRPr="00DF798F" w:rsidTr="000D772D">
        <w:trPr>
          <w:trHeight w:val="300"/>
        </w:trPr>
        <w:tc>
          <w:tcPr>
            <w:tcW w:w="6456" w:type="dxa"/>
            <w:tcBorders>
              <w:top w:val="nil"/>
              <w:left w:val="single" w:sz="8" w:space="0" w:color="auto"/>
              <w:right w:val="nil"/>
            </w:tcBorders>
            <w:shd w:val="clear" w:color="auto" w:fill="auto"/>
            <w:noWrap/>
            <w:vAlign w:val="center"/>
            <w:hideMark/>
          </w:tcPr>
          <w:p w:rsidR="00D22CAE" w:rsidRPr="000D772D" w:rsidRDefault="00D22CAE" w:rsidP="008738A4">
            <w:pPr>
              <w:spacing w:after="0" w:line="240" w:lineRule="auto"/>
              <w:rPr>
                <w:rFonts w:ascii="Arial" w:eastAsia="Times New Roman" w:hAnsi="Arial" w:cs="Arial"/>
                <w:color w:val="000000"/>
                <w:lang w:eastAsia="es-CO"/>
              </w:rPr>
            </w:pPr>
            <w:r w:rsidRPr="000D772D">
              <w:rPr>
                <w:rFonts w:ascii="Arial" w:eastAsia="Times New Roman" w:hAnsi="Arial" w:cs="Arial"/>
                <w:color w:val="000000"/>
                <w:lang w:eastAsia="es-CO"/>
              </w:rPr>
              <w:t xml:space="preserve"> Esquemas asociativos                                                                  </w:t>
            </w:r>
          </w:p>
        </w:tc>
        <w:tc>
          <w:tcPr>
            <w:tcW w:w="1200" w:type="dxa"/>
            <w:tcBorders>
              <w:top w:val="nil"/>
              <w:left w:val="nil"/>
              <w:right w:val="single" w:sz="8" w:space="0" w:color="auto"/>
            </w:tcBorders>
            <w:shd w:val="clear" w:color="auto" w:fill="auto"/>
            <w:noWrap/>
            <w:vAlign w:val="center"/>
            <w:hideMark/>
          </w:tcPr>
          <w:p w:rsidR="00D22CAE" w:rsidRPr="000D772D" w:rsidRDefault="00D22CAE" w:rsidP="008738A4">
            <w:pPr>
              <w:spacing w:after="0" w:line="240" w:lineRule="auto"/>
              <w:jc w:val="right"/>
              <w:rPr>
                <w:rFonts w:ascii="Arial" w:eastAsia="Times New Roman" w:hAnsi="Arial" w:cs="Arial"/>
                <w:color w:val="000000"/>
                <w:lang w:eastAsia="es-CO"/>
              </w:rPr>
            </w:pPr>
            <w:r w:rsidRPr="000D772D">
              <w:rPr>
                <w:rFonts w:ascii="Arial" w:eastAsia="Times New Roman" w:hAnsi="Arial" w:cs="Arial"/>
                <w:color w:val="000000"/>
                <w:lang w:eastAsia="es-CO"/>
              </w:rPr>
              <w:t>1,50%</w:t>
            </w:r>
          </w:p>
        </w:tc>
      </w:tr>
      <w:tr w:rsidR="00D22CAE" w:rsidRPr="00DF798F" w:rsidTr="000D772D">
        <w:trPr>
          <w:trHeight w:val="315"/>
        </w:trPr>
        <w:tc>
          <w:tcPr>
            <w:tcW w:w="6456" w:type="dxa"/>
            <w:tcBorders>
              <w:top w:val="nil"/>
              <w:left w:val="single" w:sz="8" w:space="0" w:color="auto"/>
              <w:bottom w:val="single" w:sz="4" w:space="0" w:color="auto"/>
              <w:right w:val="nil"/>
            </w:tcBorders>
            <w:shd w:val="clear" w:color="auto" w:fill="auto"/>
            <w:noWrap/>
            <w:vAlign w:val="center"/>
            <w:hideMark/>
          </w:tcPr>
          <w:p w:rsidR="00D22CAE" w:rsidRPr="000D772D" w:rsidRDefault="00D22CAE" w:rsidP="008738A4">
            <w:pPr>
              <w:spacing w:after="0" w:line="240" w:lineRule="auto"/>
              <w:rPr>
                <w:rFonts w:ascii="Arial" w:eastAsia="Times New Roman" w:hAnsi="Arial" w:cs="Arial"/>
                <w:color w:val="000000"/>
                <w:lang w:eastAsia="es-CO"/>
              </w:rPr>
            </w:pPr>
            <w:r w:rsidRPr="000D772D">
              <w:rPr>
                <w:rFonts w:ascii="Arial" w:eastAsia="Times New Roman" w:hAnsi="Arial" w:cs="Arial"/>
                <w:color w:val="000000"/>
                <w:lang w:eastAsia="es-CO"/>
              </w:rPr>
              <w:t xml:space="preserve">Esquemas de Integración                                        </w:t>
            </w:r>
          </w:p>
        </w:tc>
        <w:tc>
          <w:tcPr>
            <w:tcW w:w="1200" w:type="dxa"/>
            <w:tcBorders>
              <w:top w:val="nil"/>
              <w:left w:val="nil"/>
              <w:bottom w:val="single" w:sz="4" w:space="0" w:color="auto"/>
              <w:right w:val="single" w:sz="8" w:space="0" w:color="auto"/>
            </w:tcBorders>
            <w:shd w:val="clear" w:color="auto" w:fill="auto"/>
            <w:noWrap/>
            <w:vAlign w:val="center"/>
            <w:hideMark/>
          </w:tcPr>
          <w:p w:rsidR="00D22CAE" w:rsidRPr="000D772D" w:rsidRDefault="00D22CAE" w:rsidP="008738A4">
            <w:pPr>
              <w:spacing w:after="0" w:line="240" w:lineRule="auto"/>
              <w:jc w:val="right"/>
              <w:rPr>
                <w:rFonts w:ascii="Arial" w:eastAsia="Times New Roman" w:hAnsi="Arial" w:cs="Arial"/>
                <w:color w:val="000000"/>
                <w:lang w:eastAsia="es-CO"/>
              </w:rPr>
            </w:pPr>
            <w:r w:rsidRPr="000D772D">
              <w:rPr>
                <w:rFonts w:ascii="Arial" w:eastAsia="Times New Roman" w:hAnsi="Arial" w:cs="Arial"/>
                <w:color w:val="000000"/>
                <w:lang w:eastAsia="es-CO"/>
              </w:rPr>
              <w:t>2,25%</w:t>
            </w:r>
          </w:p>
        </w:tc>
      </w:tr>
    </w:tbl>
    <w:p w:rsidR="00D22CAE" w:rsidRPr="00DF798F" w:rsidRDefault="00D22CAE" w:rsidP="00D22CAE">
      <w:pPr>
        <w:spacing w:after="0" w:line="240" w:lineRule="auto"/>
        <w:ind w:left="360"/>
        <w:jc w:val="both"/>
        <w:rPr>
          <w:rFonts w:ascii="Arial" w:eastAsia="Arial" w:hAnsi="Arial" w:cs="Arial"/>
          <w:color w:val="000000"/>
          <w:u w:color="000000"/>
          <w:bdr w:val="nil"/>
        </w:rPr>
      </w:pPr>
    </w:p>
    <w:p w:rsidR="00D22CAE" w:rsidRPr="00DF798F" w:rsidRDefault="00D22CAE" w:rsidP="00D22CAE">
      <w:pPr>
        <w:pStyle w:val="Prrafodelista"/>
        <w:numPr>
          <w:ilvl w:val="0"/>
          <w:numId w:val="1"/>
        </w:numPr>
        <w:spacing w:after="0" w:line="240" w:lineRule="auto"/>
        <w:jc w:val="both"/>
        <w:rPr>
          <w:rFonts w:ascii="Arial" w:eastAsia="Arial" w:hAnsi="Arial" w:cs="Arial"/>
          <w:color w:val="000000"/>
          <w:u w:color="000000"/>
          <w:bdr w:val="nil"/>
        </w:rPr>
      </w:pPr>
      <w:r w:rsidRPr="00DF798F">
        <w:rPr>
          <w:rFonts w:ascii="Arial" w:eastAsia="Arial" w:hAnsi="Arial" w:cs="Arial"/>
          <w:color w:val="000000"/>
          <w:u w:color="000000"/>
          <w:bdr w:val="nil"/>
        </w:rPr>
        <w:t>Para microcrédito agropecuario y rural</w:t>
      </w:r>
    </w:p>
    <w:p w:rsidR="00D22CAE" w:rsidRPr="00DF798F" w:rsidRDefault="00D22CAE" w:rsidP="00D22CAE">
      <w:pPr>
        <w:spacing w:after="0" w:line="240" w:lineRule="auto"/>
        <w:jc w:val="both"/>
        <w:rPr>
          <w:rFonts w:ascii="Arial" w:eastAsia="Arial" w:hAnsi="Arial" w:cs="Arial"/>
          <w:color w:val="000000"/>
          <w:u w:color="000000"/>
          <w:bdr w:val="nil"/>
        </w:rPr>
      </w:pPr>
    </w:p>
    <w:tbl>
      <w:tblPr>
        <w:tblW w:w="7656" w:type="dxa"/>
        <w:tblInd w:w="779" w:type="dxa"/>
        <w:tblCellMar>
          <w:left w:w="70" w:type="dxa"/>
          <w:right w:w="70" w:type="dxa"/>
        </w:tblCellMar>
        <w:tblLook w:val="04A0" w:firstRow="1" w:lastRow="0" w:firstColumn="1" w:lastColumn="0" w:noHBand="0" w:noVBand="1"/>
      </w:tblPr>
      <w:tblGrid>
        <w:gridCol w:w="6456"/>
        <w:gridCol w:w="1200"/>
      </w:tblGrid>
      <w:tr w:rsidR="00D22CAE" w:rsidRPr="00DF798F" w:rsidTr="008738A4">
        <w:trPr>
          <w:trHeight w:val="315"/>
        </w:trPr>
        <w:tc>
          <w:tcPr>
            <w:tcW w:w="6456" w:type="dxa"/>
            <w:tcBorders>
              <w:top w:val="single" w:sz="8" w:space="0" w:color="auto"/>
              <w:left w:val="single" w:sz="8" w:space="0" w:color="auto"/>
              <w:bottom w:val="single" w:sz="8" w:space="0" w:color="auto"/>
              <w:right w:val="nil"/>
            </w:tcBorders>
            <w:shd w:val="clear" w:color="000000" w:fill="DDD9C4"/>
            <w:noWrap/>
            <w:vAlign w:val="center"/>
            <w:hideMark/>
          </w:tcPr>
          <w:p w:rsidR="00D22CAE" w:rsidRPr="00DF798F" w:rsidRDefault="00D22CAE" w:rsidP="008738A4">
            <w:pPr>
              <w:spacing w:after="0" w:line="240" w:lineRule="auto"/>
              <w:rPr>
                <w:rFonts w:ascii="Arial" w:eastAsia="Times New Roman" w:hAnsi="Arial" w:cs="Arial"/>
                <w:color w:val="000000"/>
                <w:lang w:eastAsia="es-CO"/>
              </w:rPr>
            </w:pPr>
            <w:r w:rsidRPr="00DF798F">
              <w:rPr>
                <w:rFonts w:ascii="Arial" w:eastAsia="Times New Roman" w:hAnsi="Arial" w:cs="Arial"/>
                <w:color w:val="000000"/>
                <w:lang w:eastAsia="es-CO"/>
              </w:rPr>
              <w:t>Tipo de esquema</w:t>
            </w:r>
          </w:p>
        </w:tc>
        <w:tc>
          <w:tcPr>
            <w:tcW w:w="1200" w:type="dxa"/>
            <w:tcBorders>
              <w:top w:val="single" w:sz="8" w:space="0" w:color="auto"/>
              <w:left w:val="nil"/>
              <w:bottom w:val="single" w:sz="8" w:space="0" w:color="auto"/>
              <w:right w:val="single" w:sz="8" w:space="0" w:color="auto"/>
            </w:tcBorders>
            <w:shd w:val="clear" w:color="000000" w:fill="DDD9C4"/>
            <w:noWrap/>
            <w:vAlign w:val="center"/>
            <w:hideMark/>
          </w:tcPr>
          <w:p w:rsidR="00D22CAE" w:rsidRPr="00DF798F" w:rsidRDefault="00D22CAE" w:rsidP="008738A4">
            <w:pPr>
              <w:spacing w:after="0" w:line="240" w:lineRule="auto"/>
              <w:jc w:val="center"/>
              <w:rPr>
                <w:rFonts w:ascii="Arial" w:eastAsia="Times New Roman" w:hAnsi="Arial" w:cs="Arial"/>
                <w:color w:val="000000"/>
                <w:lang w:eastAsia="es-CO"/>
              </w:rPr>
            </w:pPr>
            <w:r w:rsidRPr="00DF798F">
              <w:rPr>
                <w:rFonts w:ascii="Arial" w:eastAsia="Times New Roman" w:hAnsi="Arial" w:cs="Arial"/>
                <w:color w:val="000000"/>
                <w:lang w:eastAsia="es-CO"/>
              </w:rPr>
              <w:t>Comisión</w:t>
            </w:r>
          </w:p>
        </w:tc>
      </w:tr>
      <w:tr w:rsidR="00D22CAE" w:rsidRPr="00DF798F" w:rsidTr="008738A4">
        <w:trPr>
          <w:trHeight w:val="315"/>
        </w:trPr>
        <w:tc>
          <w:tcPr>
            <w:tcW w:w="6456" w:type="dxa"/>
            <w:tcBorders>
              <w:top w:val="nil"/>
              <w:left w:val="single" w:sz="8" w:space="0" w:color="auto"/>
              <w:bottom w:val="single" w:sz="8" w:space="0" w:color="auto"/>
              <w:right w:val="nil"/>
            </w:tcBorders>
            <w:shd w:val="clear" w:color="auto" w:fill="auto"/>
            <w:noWrap/>
            <w:vAlign w:val="center"/>
            <w:hideMark/>
          </w:tcPr>
          <w:p w:rsidR="00D22CAE" w:rsidRPr="00DF798F" w:rsidRDefault="00D22CAE" w:rsidP="008738A4">
            <w:pPr>
              <w:spacing w:after="0" w:line="240" w:lineRule="auto"/>
              <w:rPr>
                <w:rFonts w:ascii="Arial" w:eastAsia="Times New Roman" w:hAnsi="Arial" w:cs="Arial"/>
                <w:color w:val="000000"/>
                <w:lang w:eastAsia="es-CO"/>
              </w:rPr>
            </w:pPr>
            <w:r w:rsidRPr="00DF798F">
              <w:rPr>
                <w:rFonts w:ascii="Arial" w:eastAsia="Times New Roman" w:hAnsi="Arial" w:cs="Arial"/>
                <w:color w:val="000000"/>
                <w:lang w:eastAsia="es-CO"/>
              </w:rPr>
              <w:t>Microcrédito agropecuario y rural con tecnología microfinanciera</w:t>
            </w:r>
          </w:p>
        </w:tc>
        <w:tc>
          <w:tcPr>
            <w:tcW w:w="1200" w:type="dxa"/>
            <w:tcBorders>
              <w:top w:val="nil"/>
              <w:left w:val="nil"/>
              <w:bottom w:val="single" w:sz="8" w:space="0" w:color="auto"/>
              <w:right w:val="single" w:sz="8" w:space="0" w:color="auto"/>
            </w:tcBorders>
            <w:shd w:val="clear" w:color="auto" w:fill="auto"/>
            <w:noWrap/>
            <w:vAlign w:val="center"/>
            <w:hideMark/>
          </w:tcPr>
          <w:p w:rsidR="00D22CAE" w:rsidRPr="00DF798F" w:rsidRDefault="00D22CAE" w:rsidP="008738A4">
            <w:pPr>
              <w:spacing w:after="0" w:line="240" w:lineRule="auto"/>
              <w:jc w:val="center"/>
              <w:rPr>
                <w:rFonts w:ascii="Arial" w:eastAsia="Times New Roman" w:hAnsi="Arial" w:cs="Arial"/>
                <w:color w:val="000000"/>
                <w:lang w:eastAsia="es-CO"/>
              </w:rPr>
            </w:pPr>
            <w:r w:rsidRPr="00DF798F">
              <w:rPr>
                <w:rFonts w:ascii="Arial" w:eastAsia="Times New Roman" w:hAnsi="Arial" w:cs="Arial"/>
                <w:color w:val="000000"/>
                <w:lang w:eastAsia="es-CO"/>
              </w:rPr>
              <w:t xml:space="preserve">      5,00%</w:t>
            </w:r>
          </w:p>
        </w:tc>
      </w:tr>
    </w:tbl>
    <w:p w:rsidR="00D22CAE" w:rsidRPr="00DF798F" w:rsidRDefault="00D22CAE" w:rsidP="00D22CAE">
      <w:pPr>
        <w:pStyle w:val="Prrafodelista"/>
        <w:jc w:val="both"/>
        <w:rPr>
          <w:rFonts w:ascii="Arial" w:eastAsia="Arial" w:hAnsi="Arial" w:cs="Arial"/>
          <w:color w:val="000000"/>
          <w:u w:color="000000"/>
          <w:bdr w:val="nil"/>
        </w:rPr>
      </w:pPr>
    </w:p>
    <w:p w:rsidR="00D22CAE" w:rsidRPr="00DF798F" w:rsidRDefault="00D22CAE" w:rsidP="00D22CAE">
      <w:pPr>
        <w:pStyle w:val="Prrafodelista"/>
        <w:numPr>
          <w:ilvl w:val="0"/>
          <w:numId w:val="1"/>
        </w:numPr>
        <w:spacing w:after="200" w:line="276" w:lineRule="auto"/>
        <w:jc w:val="both"/>
        <w:rPr>
          <w:rFonts w:ascii="Arial" w:eastAsia="Arial" w:hAnsi="Arial" w:cs="Arial"/>
          <w:color w:val="000000"/>
          <w:u w:color="000000"/>
          <w:bdr w:val="nil"/>
        </w:rPr>
      </w:pPr>
      <w:r w:rsidRPr="00DF798F">
        <w:rPr>
          <w:rFonts w:ascii="Arial" w:hAnsi="Arial" w:cs="Arial"/>
          <w:color w:val="000000"/>
          <w:lang w:eastAsia="es-CO"/>
        </w:rPr>
        <w:t>Embarcaciones pesqueras y de cabotaje – Buenaventura</w:t>
      </w:r>
    </w:p>
    <w:tbl>
      <w:tblPr>
        <w:tblW w:w="7656" w:type="dxa"/>
        <w:tblInd w:w="779" w:type="dxa"/>
        <w:tblCellMar>
          <w:left w:w="70" w:type="dxa"/>
          <w:right w:w="70" w:type="dxa"/>
        </w:tblCellMar>
        <w:tblLook w:val="04A0" w:firstRow="1" w:lastRow="0" w:firstColumn="1" w:lastColumn="0" w:noHBand="0" w:noVBand="1"/>
      </w:tblPr>
      <w:tblGrid>
        <w:gridCol w:w="6456"/>
        <w:gridCol w:w="1200"/>
      </w:tblGrid>
      <w:tr w:rsidR="00D22CAE" w:rsidRPr="00DF798F" w:rsidTr="008738A4">
        <w:trPr>
          <w:trHeight w:val="315"/>
        </w:trPr>
        <w:tc>
          <w:tcPr>
            <w:tcW w:w="6456" w:type="dxa"/>
            <w:tcBorders>
              <w:top w:val="single" w:sz="8" w:space="0" w:color="auto"/>
              <w:left w:val="single" w:sz="8" w:space="0" w:color="auto"/>
              <w:bottom w:val="single" w:sz="8" w:space="0" w:color="auto"/>
              <w:right w:val="nil"/>
            </w:tcBorders>
            <w:shd w:val="clear" w:color="000000" w:fill="DDD9C4"/>
            <w:noWrap/>
            <w:vAlign w:val="center"/>
            <w:hideMark/>
          </w:tcPr>
          <w:p w:rsidR="00D22CAE" w:rsidRPr="00DF798F" w:rsidRDefault="00D22CAE" w:rsidP="008738A4">
            <w:pPr>
              <w:spacing w:after="0" w:line="240" w:lineRule="auto"/>
              <w:rPr>
                <w:rFonts w:ascii="Arial" w:eastAsia="Times New Roman" w:hAnsi="Arial" w:cs="Arial"/>
                <w:color w:val="000000"/>
                <w:lang w:eastAsia="es-CO"/>
              </w:rPr>
            </w:pPr>
            <w:r w:rsidRPr="00DF798F">
              <w:rPr>
                <w:rFonts w:ascii="Arial" w:eastAsia="Times New Roman" w:hAnsi="Arial" w:cs="Arial"/>
                <w:color w:val="000000"/>
                <w:lang w:eastAsia="es-CO"/>
              </w:rPr>
              <w:t>Tipo de esquema</w:t>
            </w:r>
          </w:p>
        </w:tc>
        <w:tc>
          <w:tcPr>
            <w:tcW w:w="1200" w:type="dxa"/>
            <w:tcBorders>
              <w:top w:val="single" w:sz="8" w:space="0" w:color="auto"/>
              <w:left w:val="nil"/>
              <w:bottom w:val="single" w:sz="8" w:space="0" w:color="auto"/>
              <w:right w:val="single" w:sz="8" w:space="0" w:color="auto"/>
            </w:tcBorders>
            <w:shd w:val="clear" w:color="000000" w:fill="DDD9C4"/>
            <w:noWrap/>
            <w:vAlign w:val="center"/>
            <w:hideMark/>
          </w:tcPr>
          <w:p w:rsidR="00D22CAE" w:rsidRPr="00DF798F" w:rsidRDefault="00D22CAE" w:rsidP="008738A4">
            <w:pPr>
              <w:spacing w:after="0" w:line="240" w:lineRule="auto"/>
              <w:jc w:val="center"/>
              <w:rPr>
                <w:rFonts w:ascii="Arial" w:eastAsia="Times New Roman" w:hAnsi="Arial" w:cs="Arial"/>
                <w:color w:val="000000"/>
                <w:lang w:eastAsia="es-CO"/>
              </w:rPr>
            </w:pPr>
            <w:r w:rsidRPr="00DF798F">
              <w:rPr>
                <w:rFonts w:ascii="Arial" w:eastAsia="Times New Roman" w:hAnsi="Arial" w:cs="Arial"/>
                <w:color w:val="000000"/>
                <w:lang w:eastAsia="es-CO"/>
              </w:rPr>
              <w:t>Comisión</w:t>
            </w:r>
          </w:p>
        </w:tc>
      </w:tr>
      <w:tr w:rsidR="00D22CAE" w:rsidRPr="00DF798F" w:rsidTr="008738A4">
        <w:trPr>
          <w:trHeight w:val="315"/>
        </w:trPr>
        <w:tc>
          <w:tcPr>
            <w:tcW w:w="6456" w:type="dxa"/>
            <w:tcBorders>
              <w:top w:val="nil"/>
              <w:left w:val="single" w:sz="8" w:space="0" w:color="auto"/>
              <w:bottom w:val="single" w:sz="8" w:space="0" w:color="auto"/>
              <w:right w:val="nil"/>
            </w:tcBorders>
            <w:shd w:val="clear" w:color="auto" w:fill="auto"/>
            <w:noWrap/>
            <w:vAlign w:val="center"/>
            <w:hideMark/>
          </w:tcPr>
          <w:p w:rsidR="00D22CAE" w:rsidRPr="00DF798F" w:rsidRDefault="00D22CAE" w:rsidP="008738A4">
            <w:pPr>
              <w:spacing w:after="0" w:line="240" w:lineRule="auto"/>
              <w:rPr>
                <w:rFonts w:ascii="Arial" w:eastAsia="Times New Roman" w:hAnsi="Arial" w:cs="Arial"/>
                <w:color w:val="000000"/>
                <w:lang w:eastAsia="es-CO"/>
              </w:rPr>
            </w:pPr>
            <w:r w:rsidRPr="00DF798F">
              <w:rPr>
                <w:rFonts w:ascii="Arial" w:eastAsia="Times New Roman" w:hAnsi="Arial" w:cs="Arial"/>
                <w:color w:val="000000"/>
                <w:lang w:eastAsia="es-CO"/>
              </w:rPr>
              <w:t>Embarcaciones pesqueras y de cabotaje – Buenaventura</w:t>
            </w:r>
          </w:p>
        </w:tc>
        <w:tc>
          <w:tcPr>
            <w:tcW w:w="1200" w:type="dxa"/>
            <w:tcBorders>
              <w:top w:val="nil"/>
              <w:left w:val="nil"/>
              <w:bottom w:val="single" w:sz="8" w:space="0" w:color="auto"/>
              <w:right w:val="single" w:sz="8" w:space="0" w:color="auto"/>
            </w:tcBorders>
            <w:shd w:val="clear" w:color="auto" w:fill="auto"/>
            <w:noWrap/>
            <w:vAlign w:val="center"/>
            <w:hideMark/>
          </w:tcPr>
          <w:p w:rsidR="00D22CAE" w:rsidRPr="00DF798F" w:rsidRDefault="00D22CAE" w:rsidP="008738A4">
            <w:pPr>
              <w:spacing w:after="0" w:line="240" w:lineRule="auto"/>
              <w:jc w:val="center"/>
              <w:rPr>
                <w:rFonts w:ascii="Arial" w:eastAsia="Times New Roman" w:hAnsi="Arial" w:cs="Arial"/>
                <w:color w:val="000000"/>
                <w:lang w:eastAsia="es-CO"/>
              </w:rPr>
            </w:pPr>
            <w:r w:rsidRPr="00DF798F">
              <w:rPr>
                <w:rFonts w:ascii="Arial" w:eastAsia="Times New Roman" w:hAnsi="Arial" w:cs="Arial"/>
                <w:color w:val="000000"/>
                <w:lang w:eastAsia="es-CO"/>
              </w:rPr>
              <w:t xml:space="preserve">      1,50%</w:t>
            </w:r>
          </w:p>
        </w:tc>
      </w:tr>
    </w:tbl>
    <w:p w:rsidR="00D22CAE" w:rsidRPr="00DF798F" w:rsidRDefault="00D22CAE" w:rsidP="00D22CAE">
      <w:pPr>
        <w:spacing w:after="0" w:line="0" w:lineRule="atLeast"/>
        <w:jc w:val="both"/>
        <w:rPr>
          <w:rFonts w:ascii="Arial" w:hAnsi="Arial" w:cs="Arial"/>
          <w:b/>
          <w:bCs/>
          <w:snapToGrid w:val="0"/>
        </w:rPr>
      </w:pPr>
    </w:p>
    <w:p w:rsidR="00D22CAE" w:rsidRDefault="00D22CAE" w:rsidP="00D22CAE">
      <w:pPr>
        <w:spacing w:after="0" w:line="0" w:lineRule="atLeast"/>
        <w:jc w:val="both"/>
        <w:rPr>
          <w:rFonts w:ascii="Arial" w:eastAsia="Calibri" w:hAnsi="Arial" w:cs="Arial"/>
        </w:rPr>
      </w:pPr>
      <w:r w:rsidRPr="00DF798F">
        <w:rPr>
          <w:rFonts w:ascii="Arial" w:hAnsi="Arial" w:cs="Arial"/>
          <w:b/>
          <w:bCs/>
          <w:snapToGrid w:val="0"/>
        </w:rPr>
        <w:t>Parágrafo Primero:</w:t>
      </w:r>
      <w:r w:rsidRPr="00DF798F">
        <w:rPr>
          <w:rFonts w:ascii="Arial" w:eastAsia="Calibri" w:hAnsi="Arial" w:cs="Arial"/>
        </w:rPr>
        <w:t xml:space="preserve"> En el caso de operaciones de microcrédito agropecuario y rural con tecnología microfinanciera, la comisión podrá ser revisada y de ser necesario modificada periódicamente por esta Comisión. </w:t>
      </w:r>
    </w:p>
    <w:p w:rsidR="000D772D" w:rsidRDefault="000D772D" w:rsidP="00D22CAE">
      <w:pPr>
        <w:spacing w:after="0" w:line="0" w:lineRule="atLeast"/>
        <w:jc w:val="both"/>
        <w:rPr>
          <w:rFonts w:ascii="Arial" w:eastAsia="Calibri" w:hAnsi="Arial" w:cs="Arial"/>
        </w:rPr>
      </w:pPr>
    </w:p>
    <w:p w:rsidR="000D772D" w:rsidRPr="000D772D" w:rsidRDefault="000D772D" w:rsidP="00D22CAE">
      <w:pPr>
        <w:spacing w:after="0" w:line="0" w:lineRule="atLeast"/>
        <w:jc w:val="both"/>
        <w:rPr>
          <w:rFonts w:ascii="Arial" w:eastAsia="Calibri" w:hAnsi="Arial" w:cs="Arial"/>
          <w:strike/>
          <w:color w:val="FF0000"/>
        </w:rPr>
      </w:pPr>
      <w:r>
        <w:rPr>
          <w:rFonts w:ascii="Arial" w:eastAsia="Calibri" w:hAnsi="Arial" w:cs="Arial"/>
          <w:b/>
        </w:rPr>
        <w:t xml:space="preserve">Parágrafo Segundo: </w:t>
      </w:r>
      <w:r>
        <w:rPr>
          <w:rFonts w:ascii="Arial" w:eastAsia="Calibri" w:hAnsi="Arial" w:cs="Arial"/>
        </w:rPr>
        <w:t>En el caso de Ent</w:t>
      </w:r>
      <w:r w:rsidR="00AB3B7B">
        <w:rPr>
          <w:rFonts w:ascii="Arial" w:eastAsia="Calibri" w:hAnsi="Arial" w:cs="Arial"/>
        </w:rPr>
        <w:t>idades</w:t>
      </w:r>
      <w:r>
        <w:rPr>
          <w:rFonts w:ascii="Arial" w:eastAsia="Calibri" w:hAnsi="Arial" w:cs="Arial"/>
        </w:rPr>
        <w:t xml:space="preserve"> Territoriales, la comisión de la cobertura será la correspondiente al tipo de productor de acuerdo a la clasificación por nivel de activos.</w:t>
      </w:r>
    </w:p>
    <w:p w:rsidR="00D22CAE" w:rsidRPr="00DF798F" w:rsidRDefault="00D22CAE" w:rsidP="00D22CAE">
      <w:pPr>
        <w:spacing w:after="0" w:line="0" w:lineRule="atLeast"/>
        <w:jc w:val="both"/>
        <w:rPr>
          <w:rFonts w:ascii="Arial" w:hAnsi="Arial" w:cs="Arial"/>
          <w:b/>
          <w:bCs/>
          <w:snapToGrid w:val="0"/>
        </w:rPr>
      </w:pPr>
    </w:p>
    <w:p w:rsidR="00D22CAE" w:rsidRPr="00DF798F" w:rsidRDefault="00D22CAE" w:rsidP="00D22CAE">
      <w:pPr>
        <w:spacing w:after="0" w:line="0" w:lineRule="atLeast"/>
        <w:jc w:val="both"/>
        <w:rPr>
          <w:rFonts w:ascii="Arial" w:hAnsi="Arial" w:cs="Arial"/>
          <w:b/>
          <w:bCs/>
          <w:snapToGrid w:val="0"/>
          <w:color w:val="000000" w:themeColor="text1"/>
        </w:rPr>
      </w:pPr>
      <w:r w:rsidRPr="00DF798F">
        <w:rPr>
          <w:rFonts w:ascii="Arial" w:hAnsi="Arial" w:cs="Arial"/>
          <w:b/>
          <w:bCs/>
          <w:snapToGrid w:val="0"/>
        </w:rPr>
        <w:t xml:space="preserve">Parágrafo </w:t>
      </w:r>
      <w:r w:rsidR="000D772D">
        <w:rPr>
          <w:rFonts w:ascii="Arial" w:hAnsi="Arial" w:cs="Arial"/>
          <w:b/>
          <w:bCs/>
          <w:snapToGrid w:val="0"/>
        </w:rPr>
        <w:t>Tercero</w:t>
      </w:r>
      <w:r w:rsidRPr="00DF798F">
        <w:rPr>
          <w:rFonts w:ascii="Arial" w:hAnsi="Arial" w:cs="Arial"/>
          <w:b/>
          <w:bCs/>
          <w:snapToGrid w:val="0"/>
        </w:rPr>
        <w:t>:</w:t>
      </w:r>
      <w:r w:rsidRPr="00DF798F">
        <w:rPr>
          <w:rFonts w:ascii="Arial" w:eastAsia="Calibri" w:hAnsi="Arial" w:cs="Arial"/>
        </w:rPr>
        <w:t xml:space="preserve"> La Comisión se entiende causada, por el solo hecho de la expedición de la garantía.</w:t>
      </w:r>
    </w:p>
    <w:p w:rsidR="00D22CAE" w:rsidRPr="00DF798F" w:rsidRDefault="00D22CAE" w:rsidP="00D22CAE">
      <w:pPr>
        <w:spacing w:after="0" w:line="0" w:lineRule="atLeast"/>
        <w:jc w:val="both"/>
        <w:rPr>
          <w:rFonts w:ascii="Arial" w:hAnsi="Arial" w:cs="Arial"/>
          <w:b/>
          <w:bCs/>
          <w:snapToGrid w:val="0"/>
          <w:color w:val="000000" w:themeColor="text1"/>
        </w:rPr>
      </w:pPr>
    </w:p>
    <w:p w:rsidR="00D22CAE" w:rsidRPr="00DF798F" w:rsidRDefault="00D22CAE" w:rsidP="00D22CAE">
      <w:pPr>
        <w:spacing w:after="0" w:line="0" w:lineRule="atLeast"/>
        <w:jc w:val="both"/>
        <w:rPr>
          <w:rFonts w:ascii="Arial" w:hAnsi="Arial" w:cs="Arial"/>
          <w:snapToGrid w:val="0"/>
        </w:rPr>
      </w:pPr>
      <w:r w:rsidRPr="00DF798F">
        <w:rPr>
          <w:rFonts w:ascii="Arial" w:hAnsi="Arial" w:cs="Arial"/>
          <w:b/>
          <w:bCs/>
          <w:snapToGrid w:val="0"/>
          <w:color w:val="000000" w:themeColor="text1"/>
        </w:rPr>
        <w:lastRenderedPageBreak/>
        <w:t xml:space="preserve">Coberturas.- </w:t>
      </w:r>
      <w:r w:rsidRPr="00DF798F">
        <w:rPr>
          <w:rFonts w:ascii="Arial" w:hAnsi="Arial" w:cs="Arial"/>
          <w:snapToGrid w:val="0"/>
        </w:rPr>
        <w:t>El FAG garantizará el capital del crédito, y la cobertura de la garantía sobre el mismo será la siguiente:</w:t>
      </w:r>
    </w:p>
    <w:p w:rsidR="00D22CAE" w:rsidRPr="00DF798F" w:rsidRDefault="00D22CAE" w:rsidP="00D22CAE">
      <w:pPr>
        <w:spacing w:after="0" w:line="0" w:lineRule="atLeast"/>
        <w:jc w:val="both"/>
        <w:rPr>
          <w:rFonts w:ascii="Arial" w:hAnsi="Arial" w:cs="Arial"/>
          <w:snapToGrid w:val="0"/>
        </w:rPr>
      </w:pPr>
    </w:p>
    <w:p w:rsidR="00D22CAE" w:rsidRPr="00DF798F" w:rsidRDefault="00D22CAE" w:rsidP="00D22CAE">
      <w:pPr>
        <w:numPr>
          <w:ilvl w:val="0"/>
          <w:numId w:val="3"/>
        </w:numPr>
        <w:spacing w:after="200" w:line="0" w:lineRule="atLeast"/>
        <w:jc w:val="both"/>
        <w:rPr>
          <w:rFonts w:ascii="Arial" w:hAnsi="Arial" w:cs="Arial"/>
          <w:snapToGrid w:val="0"/>
        </w:rPr>
      </w:pPr>
      <w:r w:rsidRPr="00DF798F">
        <w:rPr>
          <w:rFonts w:ascii="Arial" w:hAnsi="Arial" w:cs="Arial"/>
          <w:snapToGrid w:val="0"/>
        </w:rPr>
        <w:t>Para i) crédito individual; o ii) crédito asociativo con responsabilidad individual:</w:t>
      </w:r>
    </w:p>
    <w:tbl>
      <w:tblPr>
        <w:tblW w:w="8079" w:type="dxa"/>
        <w:tblInd w:w="496" w:type="dxa"/>
        <w:tblCellMar>
          <w:left w:w="70" w:type="dxa"/>
          <w:right w:w="70" w:type="dxa"/>
        </w:tblCellMar>
        <w:tblLook w:val="04A0" w:firstRow="1" w:lastRow="0" w:firstColumn="1" w:lastColumn="0" w:noHBand="0" w:noVBand="1"/>
      </w:tblPr>
      <w:tblGrid>
        <w:gridCol w:w="6237"/>
        <w:gridCol w:w="1842"/>
      </w:tblGrid>
      <w:tr w:rsidR="00D22CAE" w:rsidRPr="00DF798F" w:rsidTr="008738A4">
        <w:trPr>
          <w:trHeight w:val="330"/>
          <w:tblHeader/>
        </w:trPr>
        <w:tc>
          <w:tcPr>
            <w:tcW w:w="6237" w:type="dxa"/>
            <w:tcBorders>
              <w:top w:val="single" w:sz="12" w:space="0" w:color="auto"/>
              <w:left w:val="single" w:sz="8" w:space="0" w:color="auto"/>
              <w:bottom w:val="single" w:sz="8" w:space="0" w:color="auto"/>
              <w:right w:val="nil"/>
            </w:tcBorders>
            <w:shd w:val="clear" w:color="000000" w:fill="DDD9C4"/>
            <w:noWrap/>
            <w:vAlign w:val="center"/>
            <w:hideMark/>
          </w:tcPr>
          <w:p w:rsidR="00D22CAE" w:rsidRPr="00DF798F" w:rsidRDefault="00D22CAE" w:rsidP="008738A4">
            <w:pPr>
              <w:spacing w:after="0" w:line="240" w:lineRule="auto"/>
              <w:jc w:val="center"/>
              <w:rPr>
                <w:rFonts w:ascii="Arial" w:eastAsia="Times New Roman" w:hAnsi="Arial" w:cs="Arial"/>
                <w:color w:val="000000"/>
                <w:lang w:eastAsia="es-CO"/>
              </w:rPr>
            </w:pPr>
            <w:r w:rsidRPr="00DF798F">
              <w:rPr>
                <w:rFonts w:ascii="Arial" w:eastAsia="Times New Roman" w:hAnsi="Arial" w:cs="Arial"/>
                <w:color w:val="000000"/>
                <w:lang w:eastAsia="es-CO"/>
              </w:rPr>
              <w:t>Tipo de productor</w:t>
            </w:r>
          </w:p>
        </w:tc>
        <w:tc>
          <w:tcPr>
            <w:tcW w:w="1842" w:type="dxa"/>
            <w:tcBorders>
              <w:top w:val="single" w:sz="12" w:space="0" w:color="auto"/>
              <w:left w:val="nil"/>
              <w:bottom w:val="single" w:sz="8" w:space="0" w:color="auto"/>
              <w:right w:val="single" w:sz="8" w:space="0" w:color="auto"/>
            </w:tcBorders>
            <w:shd w:val="clear" w:color="000000" w:fill="DDD9C4"/>
            <w:noWrap/>
            <w:vAlign w:val="center"/>
            <w:hideMark/>
          </w:tcPr>
          <w:p w:rsidR="00D22CAE" w:rsidRPr="00DF798F" w:rsidRDefault="00D22CAE" w:rsidP="008738A4">
            <w:pPr>
              <w:spacing w:after="0" w:line="240" w:lineRule="auto"/>
              <w:jc w:val="right"/>
              <w:rPr>
                <w:rFonts w:ascii="Arial" w:eastAsia="Times New Roman" w:hAnsi="Arial" w:cs="Arial"/>
                <w:color w:val="000000"/>
                <w:lang w:eastAsia="es-CO"/>
              </w:rPr>
            </w:pPr>
            <w:r w:rsidRPr="00DF798F">
              <w:rPr>
                <w:rFonts w:ascii="Arial" w:eastAsia="Times New Roman" w:hAnsi="Arial" w:cs="Arial"/>
                <w:color w:val="000000"/>
                <w:lang w:eastAsia="es-CO"/>
              </w:rPr>
              <w:t>Cobertura</w:t>
            </w:r>
          </w:p>
        </w:tc>
      </w:tr>
      <w:tr w:rsidR="00D22CAE" w:rsidRPr="00DF798F" w:rsidTr="008738A4">
        <w:trPr>
          <w:trHeight w:val="315"/>
        </w:trPr>
        <w:tc>
          <w:tcPr>
            <w:tcW w:w="6237" w:type="dxa"/>
            <w:tcBorders>
              <w:top w:val="nil"/>
              <w:left w:val="single" w:sz="8" w:space="0" w:color="auto"/>
              <w:bottom w:val="single" w:sz="8" w:space="0" w:color="auto"/>
              <w:right w:val="nil"/>
            </w:tcBorders>
            <w:shd w:val="clear" w:color="auto" w:fill="auto"/>
            <w:noWrap/>
            <w:vAlign w:val="center"/>
            <w:hideMark/>
          </w:tcPr>
          <w:p w:rsidR="00D22CAE" w:rsidRPr="00DF798F" w:rsidRDefault="00D22CAE" w:rsidP="008738A4">
            <w:pPr>
              <w:spacing w:after="0" w:line="240" w:lineRule="auto"/>
              <w:rPr>
                <w:rFonts w:ascii="Arial" w:eastAsia="Times New Roman" w:hAnsi="Arial" w:cs="Arial"/>
                <w:color w:val="000000"/>
                <w:lang w:eastAsia="es-CO"/>
              </w:rPr>
            </w:pPr>
            <w:r w:rsidRPr="00DF798F">
              <w:rPr>
                <w:rFonts w:ascii="Arial" w:eastAsia="Times New Roman" w:hAnsi="Arial" w:cs="Arial"/>
                <w:color w:val="000000"/>
                <w:lang w:eastAsia="es-CO"/>
              </w:rPr>
              <w:t>Desplazados</w:t>
            </w:r>
          </w:p>
        </w:tc>
        <w:tc>
          <w:tcPr>
            <w:tcW w:w="1842" w:type="dxa"/>
            <w:tcBorders>
              <w:top w:val="nil"/>
              <w:left w:val="nil"/>
              <w:bottom w:val="single" w:sz="8" w:space="0" w:color="auto"/>
              <w:right w:val="single" w:sz="8" w:space="0" w:color="auto"/>
            </w:tcBorders>
            <w:shd w:val="clear" w:color="auto" w:fill="auto"/>
            <w:noWrap/>
            <w:vAlign w:val="center"/>
            <w:hideMark/>
          </w:tcPr>
          <w:p w:rsidR="00D22CAE" w:rsidRPr="00DF798F" w:rsidRDefault="00D22CAE" w:rsidP="008738A4">
            <w:pPr>
              <w:spacing w:after="0" w:line="240" w:lineRule="auto"/>
              <w:jc w:val="right"/>
              <w:rPr>
                <w:rFonts w:ascii="Arial" w:eastAsia="Times New Roman" w:hAnsi="Arial" w:cs="Arial"/>
                <w:color w:val="000000"/>
                <w:lang w:eastAsia="es-CO"/>
              </w:rPr>
            </w:pPr>
            <w:r w:rsidRPr="00DF798F">
              <w:rPr>
                <w:rFonts w:ascii="Arial" w:eastAsia="Times New Roman" w:hAnsi="Arial" w:cs="Arial"/>
                <w:color w:val="000000"/>
                <w:lang w:eastAsia="es-CO"/>
              </w:rPr>
              <w:t>100%</w:t>
            </w:r>
          </w:p>
        </w:tc>
      </w:tr>
      <w:tr w:rsidR="00D22CAE" w:rsidRPr="00DF798F" w:rsidTr="008738A4">
        <w:trPr>
          <w:trHeight w:val="540"/>
        </w:trPr>
        <w:tc>
          <w:tcPr>
            <w:tcW w:w="6237" w:type="dxa"/>
            <w:tcBorders>
              <w:top w:val="nil"/>
              <w:left w:val="single" w:sz="8" w:space="0" w:color="auto"/>
              <w:bottom w:val="nil"/>
              <w:right w:val="nil"/>
            </w:tcBorders>
            <w:shd w:val="clear" w:color="auto" w:fill="auto"/>
            <w:noWrap/>
            <w:vAlign w:val="center"/>
            <w:hideMark/>
          </w:tcPr>
          <w:p w:rsidR="00D22CAE" w:rsidRPr="00DF798F" w:rsidRDefault="00D22CAE" w:rsidP="008738A4">
            <w:pPr>
              <w:spacing w:after="0" w:line="240" w:lineRule="auto"/>
              <w:rPr>
                <w:rFonts w:ascii="Arial" w:eastAsia="Times New Roman" w:hAnsi="Arial" w:cs="Arial"/>
                <w:color w:val="000000"/>
                <w:lang w:eastAsia="es-CO"/>
              </w:rPr>
            </w:pPr>
            <w:r w:rsidRPr="00DF798F">
              <w:rPr>
                <w:rFonts w:ascii="Arial" w:eastAsia="Times New Roman" w:hAnsi="Arial" w:cs="Arial"/>
                <w:color w:val="000000"/>
                <w:lang w:eastAsia="es-CO"/>
              </w:rPr>
              <w:t>Pequeño productor y mujer rural:</w:t>
            </w:r>
          </w:p>
        </w:tc>
        <w:tc>
          <w:tcPr>
            <w:tcW w:w="1842" w:type="dxa"/>
            <w:tcBorders>
              <w:top w:val="nil"/>
              <w:left w:val="nil"/>
              <w:bottom w:val="nil"/>
              <w:right w:val="single" w:sz="8" w:space="0" w:color="auto"/>
            </w:tcBorders>
            <w:shd w:val="clear" w:color="auto" w:fill="auto"/>
            <w:noWrap/>
            <w:vAlign w:val="center"/>
            <w:hideMark/>
          </w:tcPr>
          <w:p w:rsidR="00D22CAE" w:rsidRPr="00DF798F" w:rsidRDefault="00D22CAE" w:rsidP="008738A4">
            <w:pPr>
              <w:spacing w:after="0" w:line="240" w:lineRule="auto"/>
              <w:jc w:val="right"/>
              <w:rPr>
                <w:rFonts w:ascii="Arial" w:eastAsia="Times New Roman" w:hAnsi="Arial" w:cs="Arial"/>
                <w:color w:val="000000"/>
                <w:lang w:eastAsia="es-CO"/>
              </w:rPr>
            </w:pPr>
            <w:r w:rsidRPr="00DF798F">
              <w:rPr>
                <w:rFonts w:ascii="Arial" w:eastAsia="Times New Roman" w:hAnsi="Arial" w:cs="Arial"/>
                <w:color w:val="000000"/>
                <w:lang w:eastAsia="es-CO"/>
              </w:rPr>
              <w:t> </w:t>
            </w:r>
          </w:p>
        </w:tc>
      </w:tr>
      <w:tr w:rsidR="00D22CAE" w:rsidRPr="00DF798F" w:rsidTr="008738A4">
        <w:trPr>
          <w:trHeight w:val="300"/>
        </w:trPr>
        <w:tc>
          <w:tcPr>
            <w:tcW w:w="6237" w:type="dxa"/>
            <w:tcBorders>
              <w:top w:val="nil"/>
              <w:left w:val="single" w:sz="8" w:space="0" w:color="auto"/>
              <w:bottom w:val="nil"/>
              <w:right w:val="nil"/>
            </w:tcBorders>
            <w:shd w:val="clear" w:color="auto" w:fill="auto"/>
            <w:vAlign w:val="center"/>
            <w:hideMark/>
          </w:tcPr>
          <w:p w:rsidR="00D22CAE" w:rsidRPr="00DF798F" w:rsidRDefault="00D22CAE" w:rsidP="008738A4">
            <w:pPr>
              <w:spacing w:after="0" w:line="240" w:lineRule="auto"/>
              <w:rPr>
                <w:rFonts w:ascii="Arial" w:eastAsia="Times New Roman" w:hAnsi="Arial" w:cs="Arial"/>
                <w:color w:val="000000"/>
                <w:lang w:eastAsia="es-CO"/>
              </w:rPr>
            </w:pPr>
            <w:r w:rsidRPr="00DF798F">
              <w:rPr>
                <w:rFonts w:ascii="Arial" w:eastAsia="Times New Roman" w:hAnsi="Arial" w:cs="Arial"/>
                <w:color w:val="000000"/>
                <w:lang w:eastAsia="es-CO"/>
              </w:rPr>
              <w:t xml:space="preserve">   Víctimas, reinsertados y desarrollo alternativo</w:t>
            </w:r>
          </w:p>
        </w:tc>
        <w:tc>
          <w:tcPr>
            <w:tcW w:w="1842" w:type="dxa"/>
            <w:tcBorders>
              <w:top w:val="nil"/>
              <w:left w:val="nil"/>
              <w:bottom w:val="nil"/>
              <w:right w:val="single" w:sz="8" w:space="0" w:color="auto"/>
            </w:tcBorders>
            <w:shd w:val="clear" w:color="auto" w:fill="auto"/>
            <w:noWrap/>
            <w:vAlign w:val="center"/>
            <w:hideMark/>
          </w:tcPr>
          <w:p w:rsidR="00D22CAE" w:rsidRPr="00DF798F" w:rsidRDefault="00D22CAE" w:rsidP="008738A4">
            <w:pPr>
              <w:spacing w:after="0" w:line="240" w:lineRule="auto"/>
              <w:jc w:val="right"/>
              <w:rPr>
                <w:rFonts w:ascii="Arial" w:eastAsia="Times New Roman" w:hAnsi="Arial" w:cs="Arial"/>
                <w:color w:val="000000"/>
                <w:lang w:eastAsia="es-CO"/>
              </w:rPr>
            </w:pPr>
            <w:r w:rsidRPr="00DF798F">
              <w:rPr>
                <w:rFonts w:ascii="Arial" w:eastAsia="Times New Roman" w:hAnsi="Arial" w:cs="Arial"/>
                <w:color w:val="000000"/>
                <w:lang w:eastAsia="es-CO"/>
              </w:rPr>
              <w:t>100%</w:t>
            </w:r>
          </w:p>
        </w:tc>
      </w:tr>
      <w:tr w:rsidR="00D22CAE" w:rsidRPr="00DF798F" w:rsidTr="008738A4">
        <w:trPr>
          <w:trHeight w:val="315"/>
        </w:trPr>
        <w:tc>
          <w:tcPr>
            <w:tcW w:w="6237" w:type="dxa"/>
            <w:tcBorders>
              <w:top w:val="nil"/>
              <w:left w:val="single" w:sz="8" w:space="0" w:color="auto"/>
              <w:bottom w:val="single" w:sz="8" w:space="0" w:color="auto"/>
              <w:right w:val="nil"/>
            </w:tcBorders>
            <w:shd w:val="clear" w:color="auto" w:fill="auto"/>
            <w:vAlign w:val="center"/>
            <w:hideMark/>
          </w:tcPr>
          <w:p w:rsidR="00D22CAE" w:rsidRPr="00DF798F" w:rsidRDefault="00D22CAE" w:rsidP="008738A4">
            <w:pPr>
              <w:spacing w:after="0" w:line="240" w:lineRule="auto"/>
              <w:rPr>
                <w:rFonts w:ascii="Arial" w:eastAsia="Times New Roman" w:hAnsi="Arial" w:cs="Arial"/>
                <w:color w:val="000000"/>
                <w:lang w:eastAsia="es-CO"/>
              </w:rPr>
            </w:pPr>
            <w:r w:rsidRPr="00DF798F">
              <w:rPr>
                <w:rFonts w:ascii="Arial" w:eastAsia="Times New Roman" w:hAnsi="Arial" w:cs="Arial"/>
                <w:color w:val="000000"/>
                <w:lang w:eastAsia="es-CO"/>
              </w:rPr>
              <w:t xml:space="preserve">   Ordinario y Plan Colombia Siembra</w:t>
            </w:r>
          </w:p>
        </w:tc>
        <w:tc>
          <w:tcPr>
            <w:tcW w:w="1842" w:type="dxa"/>
            <w:tcBorders>
              <w:top w:val="nil"/>
              <w:left w:val="nil"/>
              <w:bottom w:val="single" w:sz="8" w:space="0" w:color="auto"/>
              <w:right w:val="single" w:sz="8" w:space="0" w:color="auto"/>
            </w:tcBorders>
            <w:shd w:val="clear" w:color="auto" w:fill="auto"/>
            <w:noWrap/>
            <w:vAlign w:val="center"/>
            <w:hideMark/>
          </w:tcPr>
          <w:p w:rsidR="00D22CAE" w:rsidRPr="00DF798F" w:rsidRDefault="00D22CAE" w:rsidP="008738A4">
            <w:pPr>
              <w:spacing w:after="0" w:line="240" w:lineRule="auto"/>
              <w:jc w:val="right"/>
              <w:rPr>
                <w:rFonts w:ascii="Arial" w:eastAsia="Times New Roman" w:hAnsi="Arial" w:cs="Arial"/>
                <w:color w:val="000000"/>
                <w:lang w:eastAsia="es-CO"/>
              </w:rPr>
            </w:pPr>
            <w:r w:rsidRPr="00DF798F">
              <w:rPr>
                <w:rFonts w:ascii="Arial" w:eastAsia="Times New Roman" w:hAnsi="Arial" w:cs="Arial"/>
                <w:color w:val="000000"/>
                <w:lang w:eastAsia="es-CO"/>
              </w:rPr>
              <w:t>80%</w:t>
            </w:r>
          </w:p>
        </w:tc>
      </w:tr>
      <w:tr w:rsidR="00D22CAE" w:rsidRPr="00DF798F" w:rsidTr="008738A4">
        <w:trPr>
          <w:trHeight w:val="330"/>
        </w:trPr>
        <w:tc>
          <w:tcPr>
            <w:tcW w:w="6237" w:type="dxa"/>
            <w:tcBorders>
              <w:top w:val="nil"/>
              <w:left w:val="single" w:sz="8" w:space="0" w:color="auto"/>
              <w:bottom w:val="nil"/>
              <w:right w:val="nil"/>
            </w:tcBorders>
            <w:shd w:val="clear" w:color="auto" w:fill="auto"/>
            <w:vAlign w:val="center"/>
            <w:hideMark/>
          </w:tcPr>
          <w:p w:rsidR="00D22CAE" w:rsidRPr="00DF798F" w:rsidRDefault="00D22CAE" w:rsidP="008738A4">
            <w:pPr>
              <w:spacing w:after="0" w:line="240" w:lineRule="auto"/>
              <w:rPr>
                <w:rFonts w:ascii="Arial" w:eastAsia="Times New Roman" w:hAnsi="Arial" w:cs="Arial"/>
                <w:color w:val="000000"/>
                <w:lang w:eastAsia="es-CO"/>
              </w:rPr>
            </w:pPr>
            <w:r w:rsidRPr="00DF798F">
              <w:rPr>
                <w:rFonts w:ascii="Arial" w:eastAsia="Times New Roman" w:hAnsi="Arial" w:cs="Arial"/>
                <w:color w:val="000000"/>
                <w:lang w:eastAsia="es-CO"/>
              </w:rPr>
              <w:t xml:space="preserve">   Embarcaciones pesqueras y de cabotaje – Buenaventura</w:t>
            </w:r>
          </w:p>
        </w:tc>
        <w:tc>
          <w:tcPr>
            <w:tcW w:w="1842" w:type="dxa"/>
            <w:tcBorders>
              <w:top w:val="nil"/>
              <w:left w:val="nil"/>
              <w:bottom w:val="nil"/>
              <w:right w:val="single" w:sz="8" w:space="0" w:color="auto"/>
            </w:tcBorders>
            <w:shd w:val="clear" w:color="auto" w:fill="auto"/>
            <w:noWrap/>
            <w:vAlign w:val="center"/>
            <w:hideMark/>
          </w:tcPr>
          <w:p w:rsidR="00D22CAE" w:rsidRPr="00DF798F" w:rsidRDefault="00D22CAE" w:rsidP="008738A4">
            <w:pPr>
              <w:spacing w:after="0" w:line="240" w:lineRule="auto"/>
              <w:ind w:left="268"/>
              <w:jc w:val="right"/>
              <w:rPr>
                <w:rFonts w:ascii="Arial" w:eastAsia="Times New Roman" w:hAnsi="Arial" w:cs="Arial"/>
                <w:color w:val="000000"/>
                <w:lang w:eastAsia="es-CO"/>
              </w:rPr>
            </w:pPr>
            <w:r w:rsidRPr="00DF798F">
              <w:rPr>
                <w:rFonts w:ascii="Arial" w:eastAsia="Times New Roman" w:hAnsi="Arial" w:cs="Arial"/>
                <w:color w:val="000000"/>
                <w:lang w:eastAsia="es-CO"/>
              </w:rPr>
              <w:t>80%</w:t>
            </w:r>
          </w:p>
        </w:tc>
      </w:tr>
      <w:tr w:rsidR="00D22CAE" w:rsidRPr="00DF798F" w:rsidTr="008738A4">
        <w:trPr>
          <w:trHeight w:val="360"/>
        </w:trPr>
        <w:tc>
          <w:tcPr>
            <w:tcW w:w="6237" w:type="dxa"/>
            <w:tcBorders>
              <w:top w:val="nil"/>
              <w:left w:val="single" w:sz="8" w:space="0" w:color="auto"/>
              <w:bottom w:val="single" w:sz="8" w:space="0" w:color="auto"/>
              <w:right w:val="nil"/>
            </w:tcBorders>
            <w:shd w:val="clear" w:color="auto" w:fill="auto"/>
            <w:vAlign w:val="center"/>
            <w:hideMark/>
          </w:tcPr>
          <w:p w:rsidR="00D22CAE" w:rsidRPr="00DF798F" w:rsidRDefault="00D22CAE" w:rsidP="008738A4">
            <w:pPr>
              <w:spacing w:after="0" w:line="240" w:lineRule="auto"/>
              <w:rPr>
                <w:rFonts w:ascii="Arial" w:eastAsia="Times New Roman" w:hAnsi="Arial" w:cs="Arial"/>
                <w:color w:val="000000"/>
                <w:lang w:eastAsia="es-CO"/>
              </w:rPr>
            </w:pPr>
            <w:r w:rsidRPr="00DF798F">
              <w:rPr>
                <w:rFonts w:ascii="Arial" w:eastAsia="Times New Roman" w:hAnsi="Arial" w:cs="Arial"/>
                <w:color w:val="000000"/>
                <w:lang w:eastAsia="es-CO"/>
              </w:rPr>
              <w:t xml:space="preserve">   Pasivos no financieros vencidos a 31 de diciembre de 2013</w:t>
            </w:r>
          </w:p>
        </w:tc>
        <w:tc>
          <w:tcPr>
            <w:tcW w:w="1842" w:type="dxa"/>
            <w:tcBorders>
              <w:top w:val="nil"/>
              <w:left w:val="nil"/>
              <w:bottom w:val="single" w:sz="8" w:space="0" w:color="auto"/>
              <w:right w:val="single" w:sz="8" w:space="0" w:color="auto"/>
            </w:tcBorders>
            <w:shd w:val="clear" w:color="auto" w:fill="auto"/>
            <w:noWrap/>
            <w:vAlign w:val="center"/>
            <w:hideMark/>
          </w:tcPr>
          <w:p w:rsidR="00D22CAE" w:rsidRPr="00DF798F" w:rsidRDefault="00D22CAE" w:rsidP="008738A4">
            <w:pPr>
              <w:spacing w:after="0" w:line="240" w:lineRule="auto"/>
              <w:jc w:val="right"/>
              <w:rPr>
                <w:rFonts w:ascii="Arial" w:eastAsia="Times New Roman" w:hAnsi="Arial" w:cs="Arial"/>
                <w:color w:val="000000"/>
                <w:lang w:eastAsia="es-CO"/>
              </w:rPr>
            </w:pPr>
            <w:r w:rsidRPr="00DF798F">
              <w:rPr>
                <w:rFonts w:ascii="Arial" w:eastAsia="Times New Roman" w:hAnsi="Arial" w:cs="Arial"/>
                <w:color w:val="000000"/>
                <w:lang w:eastAsia="es-CO"/>
              </w:rPr>
              <w:t>50%</w:t>
            </w:r>
          </w:p>
        </w:tc>
      </w:tr>
      <w:tr w:rsidR="00D22CAE" w:rsidRPr="00DF798F" w:rsidTr="008738A4">
        <w:trPr>
          <w:trHeight w:val="525"/>
        </w:trPr>
        <w:tc>
          <w:tcPr>
            <w:tcW w:w="6237" w:type="dxa"/>
            <w:tcBorders>
              <w:top w:val="nil"/>
              <w:left w:val="single" w:sz="8" w:space="0" w:color="auto"/>
              <w:bottom w:val="nil"/>
              <w:right w:val="nil"/>
            </w:tcBorders>
            <w:shd w:val="clear" w:color="auto" w:fill="auto"/>
            <w:vAlign w:val="center"/>
            <w:hideMark/>
          </w:tcPr>
          <w:p w:rsidR="00D22CAE" w:rsidRPr="00DF798F" w:rsidRDefault="00D22CAE" w:rsidP="008738A4">
            <w:pPr>
              <w:spacing w:after="0" w:line="240" w:lineRule="auto"/>
              <w:rPr>
                <w:rFonts w:ascii="Arial" w:eastAsia="Times New Roman" w:hAnsi="Arial" w:cs="Arial"/>
                <w:color w:val="000000"/>
                <w:lang w:eastAsia="es-CO"/>
              </w:rPr>
            </w:pPr>
            <w:r w:rsidRPr="00DF798F">
              <w:rPr>
                <w:rFonts w:ascii="Arial" w:eastAsia="Times New Roman" w:hAnsi="Arial" w:cs="Arial"/>
                <w:color w:val="000000"/>
                <w:lang w:eastAsia="es-CO"/>
              </w:rPr>
              <w:t>Mediano productor:</w:t>
            </w:r>
          </w:p>
        </w:tc>
        <w:tc>
          <w:tcPr>
            <w:tcW w:w="1842" w:type="dxa"/>
            <w:tcBorders>
              <w:top w:val="nil"/>
              <w:left w:val="nil"/>
              <w:bottom w:val="nil"/>
              <w:right w:val="single" w:sz="8" w:space="0" w:color="auto"/>
            </w:tcBorders>
            <w:shd w:val="clear" w:color="auto" w:fill="auto"/>
            <w:noWrap/>
            <w:vAlign w:val="center"/>
            <w:hideMark/>
          </w:tcPr>
          <w:p w:rsidR="00D22CAE" w:rsidRPr="00DF798F" w:rsidRDefault="00D22CAE" w:rsidP="008738A4">
            <w:pPr>
              <w:spacing w:after="0" w:line="240" w:lineRule="auto"/>
              <w:jc w:val="right"/>
              <w:rPr>
                <w:rFonts w:ascii="Arial" w:eastAsia="Times New Roman" w:hAnsi="Arial" w:cs="Arial"/>
                <w:color w:val="000000"/>
                <w:lang w:eastAsia="es-CO"/>
              </w:rPr>
            </w:pPr>
            <w:r w:rsidRPr="00DF798F">
              <w:rPr>
                <w:rFonts w:ascii="Arial" w:eastAsia="Times New Roman" w:hAnsi="Arial" w:cs="Arial"/>
                <w:color w:val="000000"/>
                <w:lang w:eastAsia="es-CO"/>
              </w:rPr>
              <w:t> </w:t>
            </w:r>
          </w:p>
        </w:tc>
      </w:tr>
      <w:tr w:rsidR="00D22CAE" w:rsidRPr="00DF798F" w:rsidTr="008738A4">
        <w:trPr>
          <w:trHeight w:val="300"/>
        </w:trPr>
        <w:tc>
          <w:tcPr>
            <w:tcW w:w="6237" w:type="dxa"/>
            <w:tcBorders>
              <w:top w:val="nil"/>
              <w:left w:val="single" w:sz="8" w:space="0" w:color="auto"/>
              <w:bottom w:val="nil"/>
              <w:right w:val="nil"/>
            </w:tcBorders>
            <w:shd w:val="clear" w:color="auto" w:fill="auto"/>
            <w:vAlign w:val="center"/>
            <w:hideMark/>
          </w:tcPr>
          <w:p w:rsidR="00D22CAE" w:rsidRPr="00DF798F" w:rsidRDefault="00D22CAE" w:rsidP="008738A4">
            <w:pPr>
              <w:spacing w:after="0" w:line="240" w:lineRule="auto"/>
              <w:rPr>
                <w:rFonts w:ascii="Arial" w:eastAsia="Times New Roman" w:hAnsi="Arial" w:cs="Arial"/>
                <w:color w:val="000000"/>
                <w:lang w:eastAsia="es-CO"/>
              </w:rPr>
            </w:pPr>
            <w:r w:rsidRPr="00DF798F">
              <w:rPr>
                <w:rFonts w:ascii="Arial" w:eastAsia="Times New Roman" w:hAnsi="Arial" w:cs="Arial"/>
                <w:color w:val="000000"/>
                <w:lang w:eastAsia="es-CO"/>
              </w:rPr>
              <w:t xml:space="preserve">   Víctimas, reinsertados y desarrollo alternativo</w:t>
            </w:r>
          </w:p>
        </w:tc>
        <w:tc>
          <w:tcPr>
            <w:tcW w:w="1842" w:type="dxa"/>
            <w:tcBorders>
              <w:top w:val="nil"/>
              <w:left w:val="nil"/>
              <w:bottom w:val="nil"/>
              <w:right w:val="single" w:sz="8" w:space="0" w:color="auto"/>
            </w:tcBorders>
            <w:shd w:val="clear" w:color="auto" w:fill="auto"/>
            <w:noWrap/>
            <w:vAlign w:val="center"/>
            <w:hideMark/>
          </w:tcPr>
          <w:p w:rsidR="00D22CAE" w:rsidRPr="00DF798F" w:rsidRDefault="00D22CAE" w:rsidP="008738A4">
            <w:pPr>
              <w:spacing w:after="0" w:line="240" w:lineRule="auto"/>
              <w:jc w:val="right"/>
              <w:rPr>
                <w:rFonts w:ascii="Arial" w:eastAsia="Times New Roman" w:hAnsi="Arial" w:cs="Arial"/>
                <w:color w:val="000000"/>
                <w:lang w:eastAsia="es-CO"/>
              </w:rPr>
            </w:pPr>
            <w:r w:rsidRPr="00DF798F">
              <w:rPr>
                <w:rFonts w:ascii="Arial" w:eastAsia="Times New Roman" w:hAnsi="Arial" w:cs="Arial"/>
                <w:color w:val="000000"/>
                <w:lang w:eastAsia="es-CO"/>
              </w:rPr>
              <w:t>80%</w:t>
            </w:r>
          </w:p>
        </w:tc>
      </w:tr>
      <w:tr w:rsidR="00D22CAE" w:rsidRPr="00DF798F" w:rsidTr="008738A4">
        <w:trPr>
          <w:trHeight w:val="300"/>
        </w:trPr>
        <w:tc>
          <w:tcPr>
            <w:tcW w:w="6237" w:type="dxa"/>
            <w:tcBorders>
              <w:top w:val="nil"/>
              <w:left w:val="single" w:sz="8" w:space="0" w:color="auto"/>
              <w:bottom w:val="nil"/>
              <w:right w:val="nil"/>
            </w:tcBorders>
            <w:shd w:val="clear" w:color="auto" w:fill="auto"/>
            <w:vAlign w:val="center"/>
            <w:hideMark/>
          </w:tcPr>
          <w:p w:rsidR="00D22CAE" w:rsidRPr="00DF798F" w:rsidRDefault="00D22CAE" w:rsidP="008738A4">
            <w:pPr>
              <w:spacing w:after="0" w:line="240" w:lineRule="auto"/>
              <w:rPr>
                <w:rFonts w:ascii="Arial" w:eastAsia="Times New Roman" w:hAnsi="Arial" w:cs="Arial"/>
                <w:color w:val="000000"/>
                <w:lang w:eastAsia="es-CO"/>
              </w:rPr>
            </w:pPr>
            <w:r w:rsidRPr="00DF798F">
              <w:rPr>
                <w:rFonts w:ascii="Arial" w:eastAsia="Times New Roman" w:hAnsi="Arial" w:cs="Arial"/>
                <w:color w:val="000000"/>
                <w:lang w:eastAsia="es-CO"/>
              </w:rPr>
              <w:t xml:space="preserve">   Ordinario </w:t>
            </w:r>
          </w:p>
        </w:tc>
        <w:tc>
          <w:tcPr>
            <w:tcW w:w="1842" w:type="dxa"/>
            <w:tcBorders>
              <w:top w:val="nil"/>
              <w:left w:val="nil"/>
              <w:bottom w:val="nil"/>
              <w:right w:val="single" w:sz="8" w:space="0" w:color="auto"/>
            </w:tcBorders>
            <w:shd w:val="clear" w:color="auto" w:fill="auto"/>
            <w:noWrap/>
            <w:vAlign w:val="center"/>
            <w:hideMark/>
          </w:tcPr>
          <w:p w:rsidR="00D22CAE" w:rsidRPr="00DF798F" w:rsidRDefault="00D22CAE" w:rsidP="008738A4">
            <w:pPr>
              <w:spacing w:after="0" w:line="240" w:lineRule="auto"/>
              <w:jc w:val="right"/>
              <w:rPr>
                <w:rFonts w:ascii="Arial" w:eastAsia="Times New Roman" w:hAnsi="Arial" w:cs="Arial"/>
                <w:color w:val="000000"/>
                <w:lang w:eastAsia="es-CO"/>
              </w:rPr>
            </w:pPr>
            <w:r w:rsidRPr="00DF798F">
              <w:rPr>
                <w:rFonts w:ascii="Arial" w:eastAsia="Times New Roman" w:hAnsi="Arial" w:cs="Arial"/>
                <w:color w:val="000000"/>
                <w:lang w:eastAsia="es-CO"/>
              </w:rPr>
              <w:t>60%</w:t>
            </w:r>
          </w:p>
        </w:tc>
      </w:tr>
      <w:tr w:rsidR="00D22CAE" w:rsidRPr="00DF798F" w:rsidTr="008738A4">
        <w:trPr>
          <w:trHeight w:val="300"/>
        </w:trPr>
        <w:tc>
          <w:tcPr>
            <w:tcW w:w="6237" w:type="dxa"/>
            <w:tcBorders>
              <w:top w:val="nil"/>
              <w:left w:val="single" w:sz="8" w:space="0" w:color="auto"/>
              <w:bottom w:val="nil"/>
              <w:right w:val="nil"/>
            </w:tcBorders>
            <w:shd w:val="clear" w:color="auto" w:fill="auto"/>
            <w:vAlign w:val="center"/>
            <w:hideMark/>
          </w:tcPr>
          <w:p w:rsidR="00D22CAE" w:rsidRPr="00DF798F" w:rsidRDefault="00D22CAE" w:rsidP="008738A4">
            <w:pPr>
              <w:spacing w:after="0" w:line="240" w:lineRule="auto"/>
              <w:rPr>
                <w:rFonts w:ascii="Arial" w:eastAsia="Times New Roman" w:hAnsi="Arial" w:cs="Arial"/>
                <w:color w:val="000000"/>
                <w:lang w:eastAsia="es-CO"/>
              </w:rPr>
            </w:pPr>
            <w:r w:rsidRPr="00DF798F">
              <w:rPr>
                <w:rFonts w:ascii="Arial" w:eastAsia="Times New Roman" w:hAnsi="Arial" w:cs="Arial"/>
                <w:color w:val="000000"/>
                <w:lang w:eastAsia="es-CO"/>
              </w:rPr>
              <w:t xml:space="preserve">   Embarcaciones pesqueras y de cabotaje - Buenaventura</w:t>
            </w:r>
          </w:p>
        </w:tc>
        <w:tc>
          <w:tcPr>
            <w:tcW w:w="1842" w:type="dxa"/>
            <w:tcBorders>
              <w:top w:val="nil"/>
              <w:left w:val="nil"/>
              <w:bottom w:val="nil"/>
              <w:right w:val="single" w:sz="8" w:space="0" w:color="auto"/>
            </w:tcBorders>
            <w:shd w:val="clear" w:color="auto" w:fill="auto"/>
            <w:noWrap/>
            <w:vAlign w:val="center"/>
            <w:hideMark/>
          </w:tcPr>
          <w:p w:rsidR="00D22CAE" w:rsidRPr="00DF798F" w:rsidRDefault="00D22CAE" w:rsidP="008738A4">
            <w:pPr>
              <w:spacing w:after="0" w:line="240" w:lineRule="auto"/>
              <w:jc w:val="right"/>
              <w:rPr>
                <w:rFonts w:ascii="Arial" w:eastAsia="Times New Roman" w:hAnsi="Arial" w:cs="Arial"/>
                <w:color w:val="000000"/>
                <w:lang w:eastAsia="es-CO"/>
              </w:rPr>
            </w:pPr>
            <w:r w:rsidRPr="00DF798F">
              <w:rPr>
                <w:rFonts w:ascii="Arial" w:eastAsia="Times New Roman" w:hAnsi="Arial" w:cs="Arial"/>
                <w:color w:val="000000"/>
                <w:lang w:eastAsia="es-CO"/>
              </w:rPr>
              <w:t>75%</w:t>
            </w:r>
          </w:p>
        </w:tc>
      </w:tr>
      <w:tr w:rsidR="00D22CAE" w:rsidRPr="00DF798F" w:rsidTr="008738A4">
        <w:trPr>
          <w:trHeight w:val="375"/>
        </w:trPr>
        <w:tc>
          <w:tcPr>
            <w:tcW w:w="6237" w:type="dxa"/>
            <w:tcBorders>
              <w:top w:val="nil"/>
              <w:left w:val="single" w:sz="8" w:space="0" w:color="auto"/>
              <w:bottom w:val="nil"/>
              <w:right w:val="nil"/>
            </w:tcBorders>
            <w:shd w:val="clear" w:color="auto" w:fill="auto"/>
            <w:vAlign w:val="center"/>
            <w:hideMark/>
          </w:tcPr>
          <w:p w:rsidR="00D22CAE" w:rsidRPr="00DF798F" w:rsidRDefault="00D22CAE" w:rsidP="008738A4">
            <w:pPr>
              <w:spacing w:after="0" w:line="240" w:lineRule="auto"/>
              <w:rPr>
                <w:rFonts w:ascii="Arial" w:eastAsia="Times New Roman" w:hAnsi="Arial" w:cs="Arial"/>
                <w:color w:val="000000"/>
                <w:lang w:eastAsia="es-CO"/>
              </w:rPr>
            </w:pPr>
            <w:r w:rsidRPr="00DF798F">
              <w:rPr>
                <w:rFonts w:ascii="Arial" w:eastAsia="Times New Roman" w:hAnsi="Arial" w:cs="Arial"/>
                <w:color w:val="000000"/>
                <w:lang w:eastAsia="es-CO"/>
              </w:rPr>
              <w:t xml:space="preserve">   Pasivos no financieros vencidos a 31 de diciembre de 2013 </w:t>
            </w:r>
          </w:p>
        </w:tc>
        <w:tc>
          <w:tcPr>
            <w:tcW w:w="1842" w:type="dxa"/>
            <w:tcBorders>
              <w:top w:val="nil"/>
              <w:left w:val="nil"/>
              <w:bottom w:val="nil"/>
              <w:right w:val="single" w:sz="8" w:space="0" w:color="auto"/>
            </w:tcBorders>
            <w:shd w:val="clear" w:color="auto" w:fill="auto"/>
            <w:noWrap/>
            <w:vAlign w:val="center"/>
            <w:hideMark/>
          </w:tcPr>
          <w:p w:rsidR="00D22CAE" w:rsidRPr="00DF798F" w:rsidRDefault="00D22CAE" w:rsidP="008738A4">
            <w:pPr>
              <w:spacing w:after="0" w:line="240" w:lineRule="auto"/>
              <w:jc w:val="right"/>
              <w:rPr>
                <w:rFonts w:ascii="Arial" w:eastAsia="Times New Roman" w:hAnsi="Arial" w:cs="Arial"/>
                <w:color w:val="000000"/>
                <w:lang w:eastAsia="es-CO"/>
              </w:rPr>
            </w:pPr>
            <w:r w:rsidRPr="00DF798F">
              <w:rPr>
                <w:rFonts w:ascii="Arial" w:eastAsia="Times New Roman" w:hAnsi="Arial" w:cs="Arial"/>
                <w:color w:val="000000"/>
                <w:lang w:eastAsia="es-CO"/>
              </w:rPr>
              <w:t>50%</w:t>
            </w:r>
          </w:p>
        </w:tc>
      </w:tr>
      <w:tr w:rsidR="00D22CAE" w:rsidRPr="00DF798F" w:rsidTr="008738A4">
        <w:trPr>
          <w:trHeight w:val="315"/>
        </w:trPr>
        <w:tc>
          <w:tcPr>
            <w:tcW w:w="6237" w:type="dxa"/>
            <w:tcBorders>
              <w:top w:val="nil"/>
              <w:left w:val="single" w:sz="8" w:space="0" w:color="auto"/>
              <w:bottom w:val="single" w:sz="8" w:space="0" w:color="auto"/>
              <w:right w:val="nil"/>
            </w:tcBorders>
            <w:shd w:val="clear" w:color="auto" w:fill="auto"/>
            <w:vAlign w:val="center"/>
            <w:hideMark/>
          </w:tcPr>
          <w:p w:rsidR="00D22CAE" w:rsidRPr="00DF798F" w:rsidRDefault="00D22CAE" w:rsidP="008738A4">
            <w:pPr>
              <w:spacing w:after="0" w:line="240" w:lineRule="auto"/>
              <w:rPr>
                <w:rFonts w:ascii="Arial" w:eastAsia="Times New Roman" w:hAnsi="Arial" w:cs="Arial"/>
                <w:color w:val="000000"/>
                <w:lang w:eastAsia="es-CO"/>
              </w:rPr>
            </w:pPr>
            <w:r w:rsidRPr="00DF798F">
              <w:rPr>
                <w:rFonts w:ascii="Arial" w:eastAsia="Times New Roman" w:hAnsi="Arial" w:cs="Arial"/>
                <w:color w:val="000000"/>
                <w:lang w:eastAsia="es-CO"/>
              </w:rPr>
              <w:t xml:space="preserve">   Plan Colombia Siembra               </w:t>
            </w:r>
          </w:p>
        </w:tc>
        <w:tc>
          <w:tcPr>
            <w:tcW w:w="1842" w:type="dxa"/>
            <w:tcBorders>
              <w:top w:val="nil"/>
              <w:left w:val="nil"/>
              <w:bottom w:val="single" w:sz="8" w:space="0" w:color="auto"/>
              <w:right w:val="single" w:sz="8" w:space="0" w:color="auto"/>
            </w:tcBorders>
            <w:shd w:val="clear" w:color="auto" w:fill="auto"/>
            <w:noWrap/>
            <w:vAlign w:val="center"/>
            <w:hideMark/>
          </w:tcPr>
          <w:p w:rsidR="00D22CAE" w:rsidRPr="00DF798F" w:rsidRDefault="00D22CAE" w:rsidP="008738A4">
            <w:pPr>
              <w:spacing w:after="0" w:line="240" w:lineRule="auto"/>
              <w:jc w:val="right"/>
              <w:rPr>
                <w:rFonts w:ascii="Arial" w:eastAsia="Times New Roman" w:hAnsi="Arial" w:cs="Arial"/>
                <w:color w:val="000000"/>
                <w:lang w:eastAsia="es-CO"/>
              </w:rPr>
            </w:pPr>
            <w:r w:rsidRPr="00DF798F">
              <w:rPr>
                <w:rFonts w:ascii="Arial" w:eastAsia="Times New Roman" w:hAnsi="Arial" w:cs="Arial"/>
                <w:color w:val="000000"/>
                <w:lang w:eastAsia="es-CO"/>
              </w:rPr>
              <w:t>70%</w:t>
            </w:r>
          </w:p>
        </w:tc>
      </w:tr>
      <w:tr w:rsidR="00D22CAE" w:rsidRPr="00DF798F" w:rsidTr="008738A4">
        <w:trPr>
          <w:trHeight w:val="510"/>
        </w:trPr>
        <w:tc>
          <w:tcPr>
            <w:tcW w:w="6237" w:type="dxa"/>
            <w:tcBorders>
              <w:top w:val="nil"/>
              <w:left w:val="single" w:sz="8" w:space="0" w:color="auto"/>
              <w:bottom w:val="nil"/>
              <w:right w:val="nil"/>
            </w:tcBorders>
            <w:shd w:val="clear" w:color="auto" w:fill="auto"/>
            <w:vAlign w:val="center"/>
            <w:hideMark/>
          </w:tcPr>
          <w:p w:rsidR="00D22CAE" w:rsidRPr="00DF798F" w:rsidRDefault="00D22CAE" w:rsidP="008738A4">
            <w:pPr>
              <w:spacing w:after="0" w:line="240" w:lineRule="auto"/>
              <w:rPr>
                <w:rFonts w:ascii="Arial" w:eastAsia="Times New Roman" w:hAnsi="Arial" w:cs="Arial"/>
                <w:color w:val="000000"/>
                <w:lang w:eastAsia="es-CO"/>
              </w:rPr>
            </w:pPr>
            <w:r w:rsidRPr="00DF798F">
              <w:rPr>
                <w:rFonts w:ascii="Arial" w:eastAsia="Times New Roman" w:hAnsi="Arial" w:cs="Arial"/>
                <w:color w:val="000000"/>
                <w:lang w:eastAsia="es-CO"/>
              </w:rPr>
              <w:t>Gran productor:</w:t>
            </w:r>
          </w:p>
        </w:tc>
        <w:tc>
          <w:tcPr>
            <w:tcW w:w="1842" w:type="dxa"/>
            <w:tcBorders>
              <w:top w:val="nil"/>
              <w:left w:val="nil"/>
              <w:bottom w:val="nil"/>
              <w:right w:val="single" w:sz="8" w:space="0" w:color="auto"/>
            </w:tcBorders>
            <w:shd w:val="clear" w:color="auto" w:fill="auto"/>
            <w:noWrap/>
            <w:vAlign w:val="center"/>
            <w:hideMark/>
          </w:tcPr>
          <w:p w:rsidR="00D22CAE" w:rsidRPr="00DF798F" w:rsidRDefault="00D22CAE" w:rsidP="008738A4">
            <w:pPr>
              <w:spacing w:after="0" w:line="240" w:lineRule="auto"/>
              <w:jc w:val="right"/>
              <w:rPr>
                <w:rFonts w:ascii="Arial" w:eastAsia="Times New Roman" w:hAnsi="Arial" w:cs="Arial"/>
                <w:color w:val="000000"/>
                <w:lang w:eastAsia="es-CO"/>
              </w:rPr>
            </w:pPr>
            <w:r w:rsidRPr="00DF798F">
              <w:rPr>
                <w:rFonts w:ascii="Arial" w:eastAsia="Times New Roman" w:hAnsi="Arial" w:cs="Arial"/>
                <w:color w:val="000000"/>
                <w:lang w:eastAsia="es-CO"/>
              </w:rPr>
              <w:t> </w:t>
            </w:r>
          </w:p>
        </w:tc>
      </w:tr>
      <w:tr w:rsidR="00D22CAE" w:rsidRPr="00DF798F" w:rsidTr="008738A4">
        <w:trPr>
          <w:trHeight w:val="375"/>
        </w:trPr>
        <w:tc>
          <w:tcPr>
            <w:tcW w:w="6237" w:type="dxa"/>
            <w:tcBorders>
              <w:top w:val="nil"/>
              <w:left w:val="single" w:sz="8" w:space="0" w:color="auto"/>
              <w:bottom w:val="nil"/>
              <w:right w:val="nil"/>
            </w:tcBorders>
            <w:shd w:val="clear" w:color="auto" w:fill="auto"/>
            <w:vAlign w:val="center"/>
            <w:hideMark/>
          </w:tcPr>
          <w:p w:rsidR="00D22CAE" w:rsidRPr="00DF798F" w:rsidRDefault="00D22CAE" w:rsidP="008738A4">
            <w:pPr>
              <w:spacing w:after="0" w:line="240" w:lineRule="auto"/>
              <w:rPr>
                <w:rFonts w:ascii="Arial" w:eastAsia="Times New Roman" w:hAnsi="Arial" w:cs="Arial"/>
                <w:color w:val="000000"/>
                <w:lang w:eastAsia="es-CO"/>
              </w:rPr>
            </w:pPr>
            <w:r w:rsidRPr="00DF798F">
              <w:rPr>
                <w:rFonts w:ascii="Arial" w:eastAsia="Times New Roman" w:hAnsi="Arial" w:cs="Arial"/>
                <w:color w:val="000000"/>
                <w:lang w:eastAsia="es-CO"/>
              </w:rPr>
              <w:t xml:space="preserve">   Víctimas, reinsertados y desarrollo alternativo</w:t>
            </w:r>
          </w:p>
        </w:tc>
        <w:tc>
          <w:tcPr>
            <w:tcW w:w="1842" w:type="dxa"/>
            <w:tcBorders>
              <w:top w:val="nil"/>
              <w:left w:val="nil"/>
              <w:bottom w:val="nil"/>
              <w:right w:val="single" w:sz="8" w:space="0" w:color="auto"/>
            </w:tcBorders>
            <w:shd w:val="clear" w:color="auto" w:fill="auto"/>
            <w:noWrap/>
            <w:vAlign w:val="center"/>
            <w:hideMark/>
          </w:tcPr>
          <w:p w:rsidR="00D22CAE" w:rsidRPr="00DF798F" w:rsidRDefault="00D22CAE" w:rsidP="008738A4">
            <w:pPr>
              <w:spacing w:after="0" w:line="240" w:lineRule="auto"/>
              <w:jc w:val="right"/>
              <w:rPr>
                <w:rFonts w:ascii="Arial" w:eastAsia="Times New Roman" w:hAnsi="Arial" w:cs="Arial"/>
                <w:color w:val="000000"/>
                <w:lang w:eastAsia="es-CO"/>
              </w:rPr>
            </w:pPr>
            <w:r w:rsidRPr="00DF798F">
              <w:rPr>
                <w:rFonts w:ascii="Arial" w:eastAsia="Times New Roman" w:hAnsi="Arial" w:cs="Arial"/>
                <w:color w:val="000000"/>
                <w:lang w:eastAsia="es-CO"/>
              </w:rPr>
              <w:t>80%</w:t>
            </w:r>
          </w:p>
        </w:tc>
      </w:tr>
      <w:tr w:rsidR="00D22CAE" w:rsidRPr="00DF798F" w:rsidTr="008738A4">
        <w:trPr>
          <w:trHeight w:val="300"/>
        </w:trPr>
        <w:tc>
          <w:tcPr>
            <w:tcW w:w="6237" w:type="dxa"/>
            <w:tcBorders>
              <w:top w:val="nil"/>
              <w:left w:val="single" w:sz="8" w:space="0" w:color="auto"/>
              <w:bottom w:val="nil"/>
              <w:right w:val="nil"/>
            </w:tcBorders>
            <w:shd w:val="clear" w:color="auto" w:fill="auto"/>
            <w:vAlign w:val="center"/>
            <w:hideMark/>
          </w:tcPr>
          <w:p w:rsidR="00D22CAE" w:rsidRPr="00DF798F" w:rsidRDefault="00D22CAE" w:rsidP="008738A4">
            <w:pPr>
              <w:spacing w:after="0" w:line="240" w:lineRule="auto"/>
              <w:rPr>
                <w:rFonts w:ascii="Arial" w:eastAsia="Times New Roman" w:hAnsi="Arial" w:cs="Arial"/>
                <w:color w:val="000000"/>
                <w:lang w:eastAsia="es-CO"/>
              </w:rPr>
            </w:pPr>
            <w:r w:rsidRPr="00DF798F">
              <w:rPr>
                <w:rFonts w:ascii="Arial" w:eastAsia="Times New Roman" w:hAnsi="Arial" w:cs="Arial"/>
                <w:color w:val="000000"/>
                <w:lang w:eastAsia="es-CO"/>
              </w:rPr>
              <w:t xml:space="preserve">   Ordinario</w:t>
            </w:r>
          </w:p>
        </w:tc>
        <w:tc>
          <w:tcPr>
            <w:tcW w:w="1842" w:type="dxa"/>
            <w:tcBorders>
              <w:top w:val="nil"/>
              <w:left w:val="nil"/>
              <w:bottom w:val="nil"/>
              <w:right w:val="single" w:sz="8" w:space="0" w:color="auto"/>
            </w:tcBorders>
            <w:shd w:val="clear" w:color="auto" w:fill="auto"/>
            <w:noWrap/>
            <w:vAlign w:val="center"/>
            <w:hideMark/>
          </w:tcPr>
          <w:p w:rsidR="00D22CAE" w:rsidRPr="00DF798F" w:rsidRDefault="00D22CAE" w:rsidP="008738A4">
            <w:pPr>
              <w:spacing w:after="0" w:line="240" w:lineRule="auto"/>
              <w:jc w:val="right"/>
              <w:rPr>
                <w:rFonts w:ascii="Arial" w:eastAsia="Times New Roman" w:hAnsi="Arial" w:cs="Arial"/>
                <w:color w:val="000000"/>
                <w:lang w:eastAsia="es-CO"/>
              </w:rPr>
            </w:pPr>
            <w:r w:rsidRPr="00DF798F">
              <w:rPr>
                <w:rFonts w:ascii="Arial" w:eastAsia="Times New Roman" w:hAnsi="Arial" w:cs="Arial"/>
                <w:color w:val="000000"/>
                <w:lang w:eastAsia="es-CO"/>
              </w:rPr>
              <w:t>50%</w:t>
            </w:r>
          </w:p>
        </w:tc>
      </w:tr>
      <w:tr w:rsidR="00D22CAE" w:rsidRPr="00DF798F" w:rsidTr="008738A4">
        <w:trPr>
          <w:trHeight w:val="390"/>
        </w:trPr>
        <w:tc>
          <w:tcPr>
            <w:tcW w:w="6237" w:type="dxa"/>
            <w:tcBorders>
              <w:top w:val="nil"/>
              <w:left w:val="single" w:sz="8" w:space="0" w:color="auto"/>
              <w:bottom w:val="nil"/>
              <w:right w:val="nil"/>
            </w:tcBorders>
            <w:shd w:val="clear" w:color="auto" w:fill="auto"/>
            <w:vAlign w:val="center"/>
            <w:hideMark/>
          </w:tcPr>
          <w:p w:rsidR="00D22CAE" w:rsidRPr="00DF798F" w:rsidRDefault="00D22CAE" w:rsidP="008738A4">
            <w:pPr>
              <w:spacing w:after="0" w:line="240" w:lineRule="auto"/>
              <w:rPr>
                <w:rFonts w:ascii="Arial" w:eastAsia="Times New Roman" w:hAnsi="Arial" w:cs="Arial"/>
                <w:color w:val="000000"/>
                <w:lang w:eastAsia="es-CO"/>
              </w:rPr>
            </w:pPr>
            <w:r w:rsidRPr="00DF798F">
              <w:rPr>
                <w:rFonts w:ascii="Arial" w:eastAsia="Times New Roman" w:hAnsi="Arial" w:cs="Arial"/>
                <w:color w:val="000000"/>
                <w:lang w:eastAsia="es-CO"/>
              </w:rPr>
              <w:t xml:space="preserve">   Embarcaciones pesqueras y de cabotaje – Buenaventura</w:t>
            </w:r>
          </w:p>
        </w:tc>
        <w:tc>
          <w:tcPr>
            <w:tcW w:w="1842" w:type="dxa"/>
            <w:tcBorders>
              <w:top w:val="nil"/>
              <w:left w:val="nil"/>
              <w:bottom w:val="nil"/>
              <w:right w:val="single" w:sz="8" w:space="0" w:color="auto"/>
            </w:tcBorders>
            <w:shd w:val="clear" w:color="auto" w:fill="auto"/>
            <w:noWrap/>
            <w:vAlign w:val="center"/>
            <w:hideMark/>
          </w:tcPr>
          <w:p w:rsidR="00D22CAE" w:rsidRPr="00DF798F" w:rsidRDefault="00D22CAE" w:rsidP="008738A4">
            <w:pPr>
              <w:spacing w:after="0" w:line="240" w:lineRule="auto"/>
              <w:jc w:val="right"/>
              <w:rPr>
                <w:rFonts w:ascii="Arial" w:eastAsia="Times New Roman" w:hAnsi="Arial" w:cs="Arial"/>
                <w:color w:val="000000"/>
                <w:lang w:eastAsia="es-CO"/>
              </w:rPr>
            </w:pPr>
            <w:r w:rsidRPr="00DF798F">
              <w:rPr>
                <w:rFonts w:ascii="Arial" w:eastAsia="Times New Roman" w:hAnsi="Arial" w:cs="Arial"/>
                <w:color w:val="000000"/>
                <w:lang w:eastAsia="es-CO"/>
              </w:rPr>
              <w:t>75%</w:t>
            </w:r>
          </w:p>
        </w:tc>
      </w:tr>
      <w:tr w:rsidR="00D22CAE" w:rsidRPr="00DF798F" w:rsidTr="008738A4">
        <w:trPr>
          <w:trHeight w:val="315"/>
        </w:trPr>
        <w:tc>
          <w:tcPr>
            <w:tcW w:w="6237" w:type="dxa"/>
            <w:tcBorders>
              <w:top w:val="nil"/>
              <w:left w:val="single" w:sz="8" w:space="0" w:color="auto"/>
              <w:bottom w:val="single" w:sz="8" w:space="0" w:color="auto"/>
              <w:right w:val="nil"/>
            </w:tcBorders>
            <w:shd w:val="clear" w:color="auto" w:fill="auto"/>
            <w:vAlign w:val="center"/>
            <w:hideMark/>
          </w:tcPr>
          <w:p w:rsidR="00D22CAE" w:rsidRPr="00DF798F" w:rsidRDefault="00D22CAE" w:rsidP="008738A4">
            <w:pPr>
              <w:spacing w:after="0" w:line="240" w:lineRule="auto"/>
              <w:rPr>
                <w:rFonts w:ascii="Arial" w:eastAsia="Times New Roman" w:hAnsi="Arial" w:cs="Arial"/>
                <w:color w:val="000000"/>
                <w:lang w:eastAsia="es-CO"/>
              </w:rPr>
            </w:pPr>
            <w:r w:rsidRPr="00DF798F">
              <w:rPr>
                <w:rFonts w:ascii="Arial" w:eastAsia="Times New Roman" w:hAnsi="Arial" w:cs="Arial"/>
                <w:color w:val="000000"/>
                <w:lang w:eastAsia="es-CO"/>
              </w:rPr>
              <w:t xml:space="preserve">   Plan Colombia Siembra</w:t>
            </w:r>
          </w:p>
        </w:tc>
        <w:tc>
          <w:tcPr>
            <w:tcW w:w="1842" w:type="dxa"/>
            <w:tcBorders>
              <w:top w:val="nil"/>
              <w:left w:val="nil"/>
              <w:bottom w:val="single" w:sz="8" w:space="0" w:color="auto"/>
              <w:right w:val="single" w:sz="8" w:space="0" w:color="auto"/>
            </w:tcBorders>
            <w:shd w:val="clear" w:color="auto" w:fill="auto"/>
            <w:noWrap/>
            <w:vAlign w:val="center"/>
            <w:hideMark/>
          </w:tcPr>
          <w:p w:rsidR="00D22CAE" w:rsidRPr="00DF798F" w:rsidRDefault="00D22CAE" w:rsidP="008738A4">
            <w:pPr>
              <w:spacing w:after="0" w:line="240" w:lineRule="auto"/>
              <w:jc w:val="right"/>
              <w:rPr>
                <w:rFonts w:ascii="Arial" w:eastAsia="Times New Roman" w:hAnsi="Arial" w:cs="Arial"/>
                <w:color w:val="000000"/>
                <w:lang w:eastAsia="es-CO"/>
              </w:rPr>
            </w:pPr>
            <w:r w:rsidRPr="00DF798F">
              <w:rPr>
                <w:rFonts w:ascii="Arial" w:eastAsia="Times New Roman" w:hAnsi="Arial" w:cs="Arial"/>
                <w:color w:val="000000"/>
                <w:lang w:eastAsia="es-CO"/>
              </w:rPr>
              <w:t>60%</w:t>
            </w:r>
          </w:p>
        </w:tc>
      </w:tr>
    </w:tbl>
    <w:p w:rsidR="00D22CAE" w:rsidRPr="00DF798F" w:rsidRDefault="00D22CAE" w:rsidP="00D22CAE">
      <w:pPr>
        <w:pStyle w:val="Cuerpo"/>
        <w:jc w:val="both"/>
        <w:rPr>
          <w:sz w:val="22"/>
          <w:szCs w:val="22"/>
        </w:rPr>
      </w:pPr>
    </w:p>
    <w:p w:rsidR="00D22CAE" w:rsidRPr="00DF798F" w:rsidRDefault="00D22CAE" w:rsidP="00D22CAE">
      <w:pPr>
        <w:pStyle w:val="Cuerpo"/>
        <w:jc w:val="both"/>
        <w:rPr>
          <w:sz w:val="22"/>
          <w:szCs w:val="22"/>
        </w:rPr>
      </w:pPr>
    </w:p>
    <w:p w:rsidR="00D22CAE" w:rsidRPr="00DF798F" w:rsidRDefault="00D22CAE" w:rsidP="00D22CAE">
      <w:pPr>
        <w:pStyle w:val="Cuerpo"/>
        <w:jc w:val="both"/>
        <w:rPr>
          <w:sz w:val="22"/>
          <w:szCs w:val="22"/>
        </w:rPr>
      </w:pPr>
    </w:p>
    <w:p w:rsidR="00D22CAE" w:rsidRPr="00DF798F" w:rsidRDefault="00D22CAE" w:rsidP="00D22CAE">
      <w:pPr>
        <w:numPr>
          <w:ilvl w:val="0"/>
          <w:numId w:val="3"/>
        </w:numPr>
        <w:spacing w:after="200" w:line="0" w:lineRule="atLeast"/>
        <w:jc w:val="both"/>
        <w:rPr>
          <w:rFonts w:ascii="Arial" w:hAnsi="Arial" w:cs="Arial"/>
          <w:snapToGrid w:val="0"/>
        </w:rPr>
      </w:pPr>
      <w:r w:rsidRPr="00DF798F">
        <w:rPr>
          <w:rFonts w:ascii="Arial" w:hAnsi="Arial" w:cs="Arial"/>
          <w:snapToGrid w:val="0"/>
        </w:rPr>
        <w:t xml:space="preserve"> Para créditos con esquemas asociativos </w:t>
      </w:r>
    </w:p>
    <w:tbl>
      <w:tblPr>
        <w:tblW w:w="7939" w:type="dxa"/>
        <w:tblInd w:w="496" w:type="dxa"/>
        <w:tblCellMar>
          <w:left w:w="70" w:type="dxa"/>
          <w:right w:w="70" w:type="dxa"/>
        </w:tblCellMar>
        <w:tblLook w:val="04A0" w:firstRow="1" w:lastRow="0" w:firstColumn="1" w:lastColumn="0" w:noHBand="0" w:noVBand="1"/>
      </w:tblPr>
      <w:tblGrid>
        <w:gridCol w:w="6739"/>
        <w:gridCol w:w="1200"/>
      </w:tblGrid>
      <w:tr w:rsidR="00D22CAE" w:rsidRPr="00DF798F" w:rsidTr="008738A4">
        <w:trPr>
          <w:trHeight w:val="315"/>
        </w:trPr>
        <w:tc>
          <w:tcPr>
            <w:tcW w:w="6739" w:type="dxa"/>
            <w:tcBorders>
              <w:top w:val="single" w:sz="8" w:space="0" w:color="auto"/>
              <w:left w:val="single" w:sz="8" w:space="0" w:color="auto"/>
              <w:bottom w:val="single" w:sz="8" w:space="0" w:color="auto"/>
              <w:right w:val="nil"/>
            </w:tcBorders>
            <w:shd w:val="clear" w:color="000000" w:fill="DDD9C4"/>
            <w:noWrap/>
            <w:vAlign w:val="center"/>
            <w:hideMark/>
          </w:tcPr>
          <w:p w:rsidR="00D22CAE" w:rsidRPr="00DF798F" w:rsidRDefault="00D22CAE" w:rsidP="008738A4">
            <w:pPr>
              <w:spacing w:after="0" w:line="240" w:lineRule="auto"/>
              <w:rPr>
                <w:rFonts w:ascii="Arial" w:eastAsia="Times New Roman" w:hAnsi="Arial" w:cs="Arial"/>
                <w:color w:val="000000"/>
                <w:lang w:eastAsia="es-CO"/>
              </w:rPr>
            </w:pPr>
            <w:r w:rsidRPr="00DF798F">
              <w:rPr>
                <w:rFonts w:ascii="Arial" w:eastAsia="Times New Roman" w:hAnsi="Arial" w:cs="Arial"/>
                <w:color w:val="000000"/>
                <w:lang w:eastAsia="es-CO"/>
              </w:rPr>
              <w:t>Tipo de esquema</w:t>
            </w:r>
          </w:p>
        </w:tc>
        <w:tc>
          <w:tcPr>
            <w:tcW w:w="1200" w:type="dxa"/>
            <w:tcBorders>
              <w:top w:val="single" w:sz="8" w:space="0" w:color="auto"/>
              <w:left w:val="nil"/>
              <w:bottom w:val="single" w:sz="8" w:space="0" w:color="auto"/>
              <w:right w:val="single" w:sz="8" w:space="0" w:color="auto"/>
            </w:tcBorders>
            <w:shd w:val="clear" w:color="000000" w:fill="DDD9C4"/>
            <w:noWrap/>
            <w:vAlign w:val="center"/>
            <w:hideMark/>
          </w:tcPr>
          <w:p w:rsidR="00D22CAE" w:rsidRPr="00DF798F" w:rsidRDefault="00D22CAE" w:rsidP="008738A4">
            <w:pPr>
              <w:spacing w:after="0" w:line="240" w:lineRule="auto"/>
              <w:jc w:val="center"/>
              <w:rPr>
                <w:rFonts w:ascii="Arial" w:eastAsia="Times New Roman" w:hAnsi="Arial" w:cs="Arial"/>
                <w:color w:val="000000"/>
                <w:lang w:eastAsia="es-CO"/>
              </w:rPr>
            </w:pPr>
            <w:r w:rsidRPr="00DF798F">
              <w:rPr>
                <w:rFonts w:ascii="Arial" w:eastAsia="Times New Roman" w:hAnsi="Arial" w:cs="Arial"/>
                <w:color w:val="000000"/>
                <w:lang w:eastAsia="es-CO"/>
              </w:rPr>
              <w:t>Cobertura</w:t>
            </w:r>
          </w:p>
        </w:tc>
      </w:tr>
      <w:tr w:rsidR="00D22CAE" w:rsidRPr="00DF798F" w:rsidTr="008738A4">
        <w:trPr>
          <w:trHeight w:val="300"/>
        </w:trPr>
        <w:tc>
          <w:tcPr>
            <w:tcW w:w="6739" w:type="dxa"/>
            <w:tcBorders>
              <w:top w:val="nil"/>
              <w:left w:val="single" w:sz="8" w:space="0" w:color="auto"/>
              <w:bottom w:val="nil"/>
              <w:right w:val="nil"/>
            </w:tcBorders>
            <w:shd w:val="clear" w:color="auto" w:fill="auto"/>
            <w:noWrap/>
            <w:vAlign w:val="center"/>
            <w:hideMark/>
          </w:tcPr>
          <w:p w:rsidR="00D22CAE" w:rsidRPr="00DF798F" w:rsidRDefault="00D22CAE" w:rsidP="008738A4">
            <w:pPr>
              <w:spacing w:after="0" w:line="240" w:lineRule="auto"/>
              <w:rPr>
                <w:rFonts w:ascii="Arial" w:eastAsia="Times New Roman" w:hAnsi="Arial" w:cs="Arial"/>
                <w:color w:val="000000"/>
                <w:lang w:eastAsia="es-CO"/>
              </w:rPr>
            </w:pPr>
            <w:r w:rsidRPr="00DF798F">
              <w:rPr>
                <w:rFonts w:ascii="Arial" w:eastAsia="Times New Roman" w:hAnsi="Arial" w:cs="Arial"/>
                <w:color w:val="000000"/>
                <w:lang w:eastAsia="es-CO"/>
              </w:rPr>
              <w:t xml:space="preserve">Esquemas asociativos                                                 </w:t>
            </w:r>
          </w:p>
        </w:tc>
        <w:tc>
          <w:tcPr>
            <w:tcW w:w="1200" w:type="dxa"/>
            <w:tcBorders>
              <w:top w:val="nil"/>
              <w:left w:val="nil"/>
              <w:bottom w:val="nil"/>
              <w:right w:val="single" w:sz="4" w:space="0" w:color="auto"/>
            </w:tcBorders>
            <w:shd w:val="clear" w:color="auto" w:fill="auto"/>
            <w:noWrap/>
            <w:vAlign w:val="center"/>
            <w:hideMark/>
          </w:tcPr>
          <w:p w:rsidR="00D22CAE" w:rsidRPr="00DF798F" w:rsidRDefault="00D22CAE" w:rsidP="008738A4">
            <w:pPr>
              <w:spacing w:after="0" w:line="240" w:lineRule="auto"/>
              <w:jc w:val="right"/>
              <w:rPr>
                <w:rFonts w:ascii="Arial" w:eastAsia="Times New Roman" w:hAnsi="Arial" w:cs="Arial"/>
                <w:color w:val="000000"/>
                <w:lang w:eastAsia="es-CO"/>
              </w:rPr>
            </w:pPr>
            <w:r w:rsidRPr="00DF798F">
              <w:rPr>
                <w:rFonts w:ascii="Arial" w:eastAsia="Times New Roman" w:hAnsi="Arial" w:cs="Arial"/>
                <w:color w:val="000000"/>
                <w:lang w:eastAsia="es-CO"/>
              </w:rPr>
              <w:t>80%</w:t>
            </w:r>
          </w:p>
        </w:tc>
      </w:tr>
      <w:tr w:rsidR="000D772D" w:rsidRPr="00DF798F" w:rsidTr="008738A4">
        <w:trPr>
          <w:trHeight w:val="315"/>
        </w:trPr>
        <w:tc>
          <w:tcPr>
            <w:tcW w:w="6739" w:type="dxa"/>
            <w:tcBorders>
              <w:top w:val="nil"/>
              <w:left w:val="single" w:sz="8" w:space="0" w:color="auto"/>
              <w:bottom w:val="single" w:sz="8" w:space="0" w:color="auto"/>
              <w:right w:val="nil"/>
            </w:tcBorders>
            <w:shd w:val="clear" w:color="auto" w:fill="auto"/>
            <w:noWrap/>
            <w:vAlign w:val="center"/>
          </w:tcPr>
          <w:p w:rsidR="000D772D" w:rsidRPr="00DF798F" w:rsidRDefault="000D772D" w:rsidP="000D772D">
            <w:pPr>
              <w:spacing w:after="0" w:line="240" w:lineRule="auto"/>
              <w:rPr>
                <w:rFonts w:ascii="Arial" w:eastAsia="Times New Roman" w:hAnsi="Arial" w:cs="Arial"/>
                <w:color w:val="000000"/>
                <w:lang w:eastAsia="es-CO"/>
              </w:rPr>
            </w:pPr>
            <w:r w:rsidRPr="00DF798F">
              <w:rPr>
                <w:rFonts w:ascii="Arial" w:eastAsia="Times New Roman" w:hAnsi="Arial" w:cs="Arial"/>
                <w:color w:val="000000"/>
                <w:lang w:eastAsia="es-CO"/>
              </w:rPr>
              <w:t xml:space="preserve">Esquemas de Integración </w:t>
            </w:r>
          </w:p>
        </w:tc>
        <w:tc>
          <w:tcPr>
            <w:tcW w:w="1200" w:type="dxa"/>
            <w:tcBorders>
              <w:top w:val="nil"/>
              <w:left w:val="nil"/>
              <w:bottom w:val="single" w:sz="8" w:space="0" w:color="auto"/>
              <w:right w:val="single" w:sz="4" w:space="0" w:color="auto"/>
            </w:tcBorders>
            <w:shd w:val="clear" w:color="auto" w:fill="auto"/>
            <w:noWrap/>
            <w:vAlign w:val="center"/>
          </w:tcPr>
          <w:p w:rsidR="000D772D" w:rsidRPr="00DF798F" w:rsidRDefault="000D772D" w:rsidP="000D772D">
            <w:pPr>
              <w:spacing w:after="0" w:line="240" w:lineRule="auto"/>
              <w:jc w:val="right"/>
              <w:rPr>
                <w:rFonts w:ascii="Arial" w:eastAsia="Times New Roman" w:hAnsi="Arial" w:cs="Arial"/>
                <w:color w:val="000000"/>
                <w:lang w:eastAsia="es-CO"/>
              </w:rPr>
            </w:pPr>
            <w:r w:rsidRPr="00DF798F">
              <w:rPr>
                <w:rFonts w:ascii="Arial" w:eastAsia="Times New Roman" w:hAnsi="Arial" w:cs="Arial"/>
                <w:color w:val="000000"/>
                <w:lang w:eastAsia="es-CO"/>
              </w:rPr>
              <w:t>70%</w:t>
            </w:r>
          </w:p>
        </w:tc>
      </w:tr>
    </w:tbl>
    <w:p w:rsidR="00D22CAE" w:rsidRPr="00DF798F" w:rsidRDefault="00D22CAE" w:rsidP="00D22CAE">
      <w:pPr>
        <w:spacing w:line="0" w:lineRule="atLeast"/>
        <w:jc w:val="both"/>
        <w:rPr>
          <w:rFonts w:ascii="Arial" w:eastAsia="Arial" w:hAnsi="Arial" w:cs="Arial"/>
          <w:color w:val="000000"/>
          <w:u w:color="000000"/>
          <w:bdr w:val="nil"/>
        </w:rPr>
      </w:pPr>
    </w:p>
    <w:p w:rsidR="00D22CAE" w:rsidRPr="00DF798F" w:rsidRDefault="00D22CAE" w:rsidP="00D22CAE">
      <w:pPr>
        <w:spacing w:line="0" w:lineRule="atLeast"/>
        <w:jc w:val="both"/>
        <w:rPr>
          <w:rFonts w:ascii="Arial" w:eastAsia="Arial" w:hAnsi="Arial" w:cs="Arial"/>
          <w:color w:val="000000"/>
          <w:u w:color="000000"/>
          <w:bdr w:val="nil"/>
        </w:rPr>
      </w:pPr>
    </w:p>
    <w:p w:rsidR="00D22CAE" w:rsidRPr="00DF798F" w:rsidRDefault="00D22CAE" w:rsidP="00D22CAE">
      <w:pPr>
        <w:numPr>
          <w:ilvl w:val="0"/>
          <w:numId w:val="3"/>
        </w:numPr>
        <w:spacing w:after="200" w:line="0" w:lineRule="atLeast"/>
        <w:jc w:val="both"/>
        <w:rPr>
          <w:rFonts w:ascii="Arial" w:hAnsi="Arial" w:cs="Arial"/>
          <w:snapToGrid w:val="0"/>
        </w:rPr>
      </w:pPr>
      <w:r w:rsidRPr="00DF798F">
        <w:rPr>
          <w:rFonts w:ascii="Arial" w:hAnsi="Arial" w:cs="Arial"/>
          <w:snapToGrid w:val="0"/>
        </w:rPr>
        <w:t>Para microcrédito agropecuario y rural</w:t>
      </w:r>
    </w:p>
    <w:tbl>
      <w:tblPr>
        <w:tblW w:w="7939" w:type="dxa"/>
        <w:tblInd w:w="496" w:type="dxa"/>
        <w:tblCellMar>
          <w:left w:w="70" w:type="dxa"/>
          <w:right w:w="70" w:type="dxa"/>
        </w:tblCellMar>
        <w:tblLook w:val="04A0" w:firstRow="1" w:lastRow="0" w:firstColumn="1" w:lastColumn="0" w:noHBand="0" w:noVBand="1"/>
      </w:tblPr>
      <w:tblGrid>
        <w:gridCol w:w="6739"/>
        <w:gridCol w:w="1200"/>
      </w:tblGrid>
      <w:tr w:rsidR="00D22CAE" w:rsidRPr="00DF798F" w:rsidTr="008738A4">
        <w:trPr>
          <w:trHeight w:val="315"/>
        </w:trPr>
        <w:tc>
          <w:tcPr>
            <w:tcW w:w="6739" w:type="dxa"/>
            <w:tcBorders>
              <w:top w:val="single" w:sz="8" w:space="0" w:color="auto"/>
              <w:left w:val="single" w:sz="8" w:space="0" w:color="auto"/>
              <w:bottom w:val="single" w:sz="8" w:space="0" w:color="auto"/>
              <w:right w:val="nil"/>
            </w:tcBorders>
            <w:shd w:val="clear" w:color="000000" w:fill="DDD9C4"/>
            <w:noWrap/>
            <w:vAlign w:val="center"/>
            <w:hideMark/>
          </w:tcPr>
          <w:p w:rsidR="00D22CAE" w:rsidRPr="00DF798F" w:rsidRDefault="00D22CAE" w:rsidP="008738A4">
            <w:pPr>
              <w:spacing w:after="0" w:line="240" w:lineRule="auto"/>
              <w:rPr>
                <w:rFonts w:ascii="Arial" w:eastAsia="Times New Roman" w:hAnsi="Arial" w:cs="Arial"/>
                <w:color w:val="000000"/>
                <w:lang w:eastAsia="es-CO"/>
              </w:rPr>
            </w:pPr>
            <w:r w:rsidRPr="00DF798F">
              <w:rPr>
                <w:rFonts w:ascii="Arial" w:eastAsia="Times New Roman" w:hAnsi="Arial" w:cs="Arial"/>
                <w:color w:val="000000"/>
                <w:lang w:eastAsia="es-CO"/>
              </w:rPr>
              <w:t>Tipo de esquema</w:t>
            </w:r>
          </w:p>
        </w:tc>
        <w:tc>
          <w:tcPr>
            <w:tcW w:w="1200" w:type="dxa"/>
            <w:tcBorders>
              <w:top w:val="single" w:sz="8" w:space="0" w:color="auto"/>
              <w:left w:val="nil"/>
              <w:bottom w:val="single" w:sz="8" w:space="0" w:color="auto"/>
              <w:right w:val="single" w:sz="8" w:space="0" w:color="auto"/>
            </w:tcBorders>
            <w:shd w:val="clear" w:color="000000" w:fill="DDD9C4"/>
            <w:noWrap/>
            <w:vAlign w:val="center"/>
            <w:hideMark/>
          </w:tcPr>
          <w:p w:rsidR="00D22CAE" w:rsidRPr="00DF798F" w:rsidRDefault="00D22CAE" w:rsidP="008738A4">
            <w:pPr>
              <w:spacing w:after="0" w:line="240" w:lineRule="auto"/>
              <w:jc w:val="center"/>
              <w:rPr>
                <w:rFonts w:ascii="Arial" w:eastAsia="Times New Roman" w:hAnsi="Arial" w:cs="Arial"/>
                <w:color w:val="000000"/>
                <w:lang w:eastAsia="es-CO"/>
              </w:rPr>
            </w:pPr>
            <w:r w:rsidRPr="00DF798F">
              <w:rPr>
                <w:rFonts w:ascii="Arial" w:eastAsia="Times New Roman" w:hAnsi="Arial" w:cs="Arial"/>
                <w:color w:val="000000"/>
                <w:lang w:eastAsia="es-CO"/>
              </w:rPr>
              <w:t>Cobertura</w:t>
            </w:r>
          </w:p>
        </w:tc>
      </w:tr>
      <w:tr w:rsidR="00D22CAE" w:rsidRPr="00DF798F" w:rsidTr="008738A4">
        <w:trPr>
          <w:trHeight w:val="315"/>
        </w:trPr>
        <w:tc>
          <w:tcPr>
            <w:tcW w:w="6739" w:type="dxa"/>
            <w:tcBorders>
              <w:top w:val="nil"/>
              <w:left w:val="single" w:sz="8" w:space="0" w:color="auto"/>
              <w:bottom w:val="single" w:sz="8" w:space="0" w:color="auto"/>
              <w:right w:val="nil"/>
            </w:tcBorders>
            <w:shd w:val="clear" w:color="auto" w:fill="auto"/>
            <w:noWrap/>
            <w:vAlign w:val="center"/>
            <w:hideMark/>
          </w:tcPr>
          <w:p w:rsidR="00D22CAE" w:rsidRPr="00DF798F" w:rsidRDefault="00D22CAE" w:rsidP="008738A4">
            <w:pPr>
              <w:spacing w:after="0" w:line="240" w:lineRule="auto"/>
              <w:rPr>
                <w:rFonts w:ascii="Arial" w:eastAsia="Times New Roman" w:hAnsi="Arial" w:cs="Arial"/>
                <w:color w:val="000000"/>
                <w:lang w:eastAsia="es-CO"/>
              </w:rPr>
            </w:pPr>
            <w:r w:rsidRPr="00DF798F">
              <w:rPr>
                <w:rFonts w:ascii="Arial" w:eastAsia="Arial" w:hAnsi="Arial" w:cs="Arial"/>
                <w:color w:val="000000"/>
                <w:lang w:eastAsia="es-CO"/>
              </w:rPr>
              <w:t>Microcrédito agropecuario y rural con tecnología microfinanciera</w:t>
            </w:r>
          </w:p>
        </w:tc>
        <w:tc>
          <w:tcPr>
            <w:tcW w:w="1200" w:type="dxa"/>
            <w:tcBorders>
              <w:top w:val="nil"/>
              <w:left w:val="nil"/>
              <w:bottom w:val="single" w:sz="8" w:space="0" w:color="auto"/>
              <w:right w:val="single" w:sz="8" w:space="0" w:color="auto"/>
            </w:tcBorders>
            <w:shd w:val="clear" w:color="auto" w:fill="auto"/>
            <w:noWrap/>
            <w:vAlign w:val="center"/>
            <w:hideMark/>
          </w:tcPr>
          <w:p w:rsidR="00D22CAE" w:rsidRPr="00DF798F" w:rsidRDefault="00D22CAE" w:rsidP="008738A4">
            <w:pPr>
              <w:spacing w:after="0" w:line="240" w:lineRule="auto"/>
              <w:jc w:val="center"/>
              <w:rPr>
                <w:rFonts w:ascii="Arial" w:eastAsia="Times New Roman" w:hAnsi="Arial" w:cs="Arial"/>
                <w:color w:val="000000"/>
                <w:lang w:eastAsia="es-CO"/>
              </w:rPr>
            </w:pPr>
            <w:r w:rsidRPr="00DF798F">
              <w:rPr>
                <w:rFonts w:ascii="Arial" w:eastAsia="Times New Roman" w:hAnsi="Arial" w:cs="Arial"/>
                <w:color w:val="000000"/>
                <w:lang w:eastAsia="es-CO"/>
              </w:rPr>
              <w:t xml:space="preserve">         50%</w:t>
            </w:r>
          </w:p>
        </w:tc>
      </w:tr>
    </w:tbl>
    <w:p w:rsidR="00D22CAE" w:rsidRPr="00DF798F" w:rsidRDefault="00D22CAE" w:rsidP="00D22CAE">
      <w:pPr>
        <w:spacing w:after="0" w:line="0" w:lineRule="atLeast"/>
        <w:rPr>
          <w:rFonts w:ascii="Arial" w:hAnsi="Arial" w:cs="Arial"/>
          <w:b/>
          <w:bCs/>
          <w:snapToGrid w:val="0"/>
        </w:rPr>
      </w:pPr>
    </w:p>
    <w:p w:rsidR="000D772D" w:rsidRDefault="000D772D" w:rsidP="00D22CAE">
      <w:pPr>
        <w:spacing w:after="0" w:line="0" w:lineRule="atLeast"/>
        <w:jc w:val="both"/>
        <w:rPr>
          <w:rFonts w:ascii="Arial" w:hAnsi="Arial" w:cs="Arial"/>
          <w:b/>
          <w:bCs/>
          <w:snapToGrid w:val="0"/>
        </w:rPr>
      </w:pPr>
    </w:p>
    <w:p w:rsidR="000D772D" w:rsidRDefault="000D772D" w:rsidP="00D22CAE">
      <w:pPr>
        <w:spacing w:after="0" w:line="0" w:lineRule="atLeast"/>
        <w:jc w:val="both"/>
        <w:rPr>
          <w:rFonts w:ascii="Arial" w:hAnsi="Arial" w:cs="Arial"/>
          <w:b/>
          <w:bCs/>
          <w:snapToGrid w:val="0"/>
        </w:rPr>
      </w:pPr>
    </w:p>
    <w:p w:rsidR="000D772D" w:rsidRPr="000D772D" w:rsidRDefault="000D772D" w:rsidP="000D772D">
      <w:pPr>
        <w:spacing w:after="0" w:line="0" w:lineRule="atLeast"/>
        <w:jc w:val="both"/>
        <w:rPr>
          <w:rFonts w:ascii="Arial" w:eastAsia="Calibri" w:hAnsi="Arial" w:cs="Arial"/>
          <w:strike/>
          <w:color w:val="FF0000"/>
        </w:rPr>
      </w:pPr>
      <w:r>
        <w:rPr>
          <w:rFonts w:ascii="Arial" w:eastAsia="Calibri" w:hAnsi="Arial" w:cs="Arial"/>
          <w:b/>
        </w:rPr>
        <w:lastRenderedPageBreak/>
        <w:t xml:space="preserve">Parágrafo Primero: </w:t>
      </w:r>
      <w:r w:rsidR="00AB3B7B">
        <w:rPr>
          <w:rFonts w:ascii="Arial" w:eastAsia="Calibri" w:hAnsi="Arial" w:cs="Arial"/>
        </w:rPr>
        <w:t>En el caso de Entidades</w:t>
      </w:r>
      <w:r>
        <w:rPr>
          <w:rFonts w:ascii="Arial" w:eastAsia="Calibri" w:hAnsi="Arial" w:cs="Arial"/>
        </w:rPr>
        <w:t xml:space="preserve"> Territoriales, la cobertura será la correspondiente al tipo de productor de acuerdo a la clasificación por nivel de activos.</w:t>
      </w:r>
    </w:p>
    <w:p w:rsidR="000D772D" w:rsidRDefault="000D772D" w:rsidP="00D22CAE">
      <w:pPr>
        <w:spacing w:after="0" w:line="0" w:lineRule="atLeast"/>
        <w:jc w:val="both"/>
        <w:rPr>
          <w:rFonts w:ascii="Arial" w:hAnsi="Arial" w:cs="Arial"/>
          <w:b/>
          <w:bCs/>
          <w:snapToGrid w:val="0"/>
        </w:rPr>
      </w:pPr>
    </w:p>
    <w:p w:rsidR="00D22CAE" w:rsidRPr="00DF798F" w:rsidRDefault="00D22CAE" w:rsidP="00D22CAE">
      <w:pPr>
        <w:spacing w:after="0" w:line="0" w:lineRule="atLeast"/>
        <w:jc w:val="both"/>
        <w:rPr>
          <w:rFonts w:ascii="Arial" w:hAnsi="Arial" w:cs="Arial"/>
          <w:snapToGrid w:val="0"/>
        </w:rPr>
      </w:pPr>
      <w:r w:rsidRPr="00DF798F">
        <w:rPr>
          <w:rFonts w:ascii="Arial" w:hAnsi="Arial" w:cs="Arial"/>
          <w:b/>
          <w:bCs/>
          <w:snapToGrid w:val="0"/>
        </w:rPr>
        <w:t xml:space="preserve">Parágrafo </w:t>
      </w:r>
      <w:r w:rsidR="000D772D">
        <w:rPr>
          <w:rFonts w:ascii="Arial" w:hAnsi="Arial" w:cs="Arial"/>
          <w:b/>
          <w:bCs/>
          <w:snapToGrid w:val="0"/>
        </w:rPr>
        <w:t>Segundo</w:t>
      </w:r>
      <w:r w:rsidRPr="00DF798F">
        <w:rPr>
          <w:rFonts w:ascii="Arial" w:hAnsi="Arial" w:cs="Arial"/>
          <w:b/>
          <w:bCs/>
          <w:snapToGrid w:val="0"/>
        </w:rPr>
        <w:t>:</w:t>
      </w:r>
      <w:r w:rsidRPr="00DF798F">
        <w:rPr>
          <w:rFonts w:ascii="Arial" w:hAnsi="Arial" w:cs="Arial"/>
          <w:snapToGrid w:val="0"/>
        </w:rPr>
        <w:t xml:space="preserve"> Para la expedición de nuevas garantías estas coberturas podrán ser revisadas por intermediarios financieros de acuerdo con</w:t>
      </w:r>
      <w:r w:rsidRPr="00DF798F">
        <w:rPr>
          <w:rFonts w:ascii="Arial" w:hAnsi="Arial" w:cs="Arial"/>
          <w:snapToGrid w:val="0"/>
          <w:color w:val="000000" w:themeColor="text1"/>
        </w:rPr>
        <w:t xml:space="preserve"> los resultados de la calificación interna realizada por FINAGRO</w:t>
      </w:r>
      <w:r w:rsidRPr="00DF798F">
        <w:rPr>
          <w:rFonts w:ascii="Arial" w:hAnsi="Arial" w:cs="Arial"/>
          <w:snapToGrid w:val="0"/>
        </w:rPr>
        <w:t>, que serán presentadas a consideración de la CNCA.</w:t>
      </w:r>
    </w:p>
    <w:p w:rsidR="00D22CAE" w:rsidRPr="00DF798F" w:rsidRDefault="00D22CAE" w:rsidP="00D22CAE">
      <w:pPr>
        <w:spacing w:after="0" w:line="0" w:lineRule="atLeast"/>
        <w:rPr>
          <w:rFonts w:ascii="Arial" w:hAnsi="Arial" w:cs="Arial"/>
          <w:snapToGrid w:val="0"/>
          <w:color w:val="000000" w:themeColor="text1"/>
        </w:rPr>
      </w:pPr>
    </w:p>
    <w:p w:rsidR="00D22CAE" w:rsidRPr="00DF798F" w:rsidRDefault="00D22CAE" w:rsidP="00D22CAE">
      <w:pPr>
        <w:spacing w:after="0" w:line="0" w:lineRule="atLeast"/>
        <w:jc w:val="both"/>
        <w:rPr>
          <w:rFonts w:ascii="Arial" w:hAnsi="Arial" w:cs="Arial"/>
          <w:snapToGrid w:val="0"/>
        </w:rPr>
      </w:pPr>
      <w:r w:rsidRPr="00DF798F">
        <w:rPr>
          <w:rFonts w:ascii="Arial" w:hAnsi="Arial" w:cs="Arial"/>
          <w:b/>
          <w:bCs/>
          <w:snapToGrid w:val="0"/>
        </w:rPr>
        <w:t xml:space="preserve">Parágrafo </w:t>
      </w:r>
      <w:r w:rsidR="000D772D">
        <w:rPr>
          <w:rFonts w:ascii="Arial" w:hAnsi="Arial" w:cs="Arial"/>
          <w:b/>
          <w:bCs/>
          <w:snapToGrid w:val="0"/>
        </w:rPr>
        <w:t>Tercero</w:t>
      </w:r>
      <w:r w:rsidRPr="00DF798F">
        <w:rPr>
          <w:rFonts w:ascii="Arial" w:hAnsi="Arial" w:cs="Arial"/>
          <w:b/>
          <w:bCs/>
          <w:snapToGrid w:val="0"/>
        </w:rPr>
        <w:t>:</w:t>
      </w:r>
      <w:r w:rsidRPr="00DF798F">
        <w:rPr>
          <w:rFonts w:ascii="Arial" w:hAnsi="Arial" w:cs="Arial"/>
          <w:snapToGrid w:val="0"/>
        </w:rPr>
        <w:t xml:space="preserve"> Cuando para operaciones de microcrédito agropecuario y rural con tecnología microfinanciera se otorguen garantías institucionales complementarias, la suma de la cobertura de dichas garantías y la cobertura de la garantía del FAG no podrá exceder del cincuenta por ciento (50%) del valor total de la operación. </w:t>
      </w:r>
    </w:p>
    <w:p w:rsidR="00D22CAE" w:rsidRPr="00DF798F" w:rsidRDefault="00D22CAE" w:rsidP="00D22CAE">
      <w:pPr>
        <w:spacing w:after="0" w:line="0" w:lineRule="atLeast"/>
        <w:rPr>
          <w:rFonts w:ascii="Arial" w:hAnsi="Arial" w:cs="Arial"/>
          <w:snapToGrid w:val="0"/>
        </w:rPr>
      </w:pPr>
    </w:p>
    <w:p w:rsidR="00D22CAE" w:rsidRPr="00DF798F" w:rsidRDefault="00D22CAE" w:rsidP="00D22CAE">
      <w:pPr>
        <w:spacing w:after="0" w:line="0" w:lineRule="atLeast"/>
        <w:jc w:val="both"/>
        <w:rPr>
          <w:rFonts w:ascii="Arial" w:hAnsi="Arial" w:cs="Arial"/>
        </w:rPr>
      </w:pPr>
      <w:r w:rsidRPr="00DF798F">
        <w:rPr>
          <w:rFonts w:ascii="Arial" w:hAnsi="Arial" w:cs="Arial"/>
          <w:snapToGrid w:val="0"/>
        </w:rPr>
        <w:t>Durante la vigencia 2017 las coberturas por tipo de productor y esquema de crédito se mantendrán iguales para todos los intermediarios financieros.</w:t>
      </w:r>
      <w:r w:rsidRPr="00DF798F">
        <w:rPr>
          <w:rFonts w:ascii="Arial" w:hAnsi="Arial" w:cs="Arial"/>
        </w:rPr>
        <w:t>”</w:t>
      </w:r>
    </w:p>
    <w:p w:rsidR="00D22CAE" w:rsidRPr="00DF798F" w:rsidRDefault="00D22CAE" w:rsidP="00D22CAE">
      <w:pPr>
        <w:spacing w:after="0" w:line="0" w:lineRule="atLeast"/>
        <w:jc w:val="both"/>
        <w:rPr>
          <w:rFonts w:ascii="Arial" w:hAnsi="Arial" w:cs="Arial"/>
        </w:rPr>
      </w:pPr>
    </w:p>
    <w:p w:rsidR="00461C8C" w:rsidRPr="00DF798F" w:rsidRDefault="006806C4" w:rsidP="00461C8C">
      <w:pPr>
        <w:tabs>
          <w:tab w:val="left" w:pos="0"/>
        </w:tabs>
        <w:autoSpaceDE w:val="0"/>
        <w:autoSpaceDN w:val="0"/>
        <w:adjustRightInd w:val="0"/>
        <w:spacing w:line="0" w:lineRule="atLeast"/>
        <w:jc w:val="both"/>
        <w:rPr>
          <w:rFonts w:ascii="Arial" w:hAnsi="Arial" w:cs="Arial"/>
        </w:rPr>
      </w:pPr>
      <w:r>
        <w:rPr>
          <w:rFonts w:ascii="Arial" w:hAnsi="Arial" w:cs="Arial"/>
          <w:b/>
        </w:rPr>
        <w:t>Artículo 5</w:t>
      </w:r>
      <w:r w:rsidR="00461C8C" w:rsidRPr="00DF798F">
        <w:rPr>
          <w:rFonts w:ascii="Arial" w:hAnsi="Arial" w:cs="Arial"/>
          <w:b/>
        </w:rPr>
        <w:t xml:space="preserve">. </w:t>
      </w:r>
      <w:r w:rsidR="00461C8C" w:rsidRPr="00DF798F">
        <w:rPr>
          <w:rFonts w:ascii="Arial" w:hAnsi="Arial" w:cs="Arial"/>
        </w:rPr>
        <w:t>FINAGRO deberá adoptar las medidas necesarias que procuren la debida operatividad de lo dispuesto en la presente Resolución y expedir la Circular Reglamentaria respectiva.</w:t>
      </w:r>
    </w:p>
    <w:p w:rsidR="00461C8C" w:rsidRPr="00DF798F" w:rsidRDefault="006806C4" w:rsidP="00461C8C">
      <w:pPr>
        <w:spacing w:after="0" w:line="0" w:lineRule="atLeast"/>
        <w:jc w:val="both"/>
        <w:rPr>
          <w:rFonts w:ascii="Arial" w:hAnsi="Arial" w:cs="Arial"/>
          <w:lang w:val="es-ES"/>
        </w:rPr>
      </w:pPr>
      <w:r>
        <w:rPr>
          <w:rFonts w:ascii="Arial" w:hAnsi="Arial" w:cs="Arial"/>
          <w:b/>
        </w:rPr>
        <w:t>Artículo 6</w:t>
      </w:r>
      <w:r w:rsidR="00461C8C" w:rsidRPr="00DF798F">
        <w:rPr>
          <w:rFonts w:ascii="Arial" w:hAnsi="Arial" w:cs="Arial"/>
          <w:b/>
        </w:rPr>
        <w:t>.-</w:t>
      </w:r>
      <w:r w:rsidR="00461C8C" w:rsidRPr="00DF798F">
        <w:rPr>
          <w:rFonts w:ascii="Arial" w:hAnsi="Arial" w:cs="Arial"/>
        </w:rPr>
        <w:t xml:space="preserve"> La presente resolución rige a partir de la fecha de su publicación, deroga las todas las que le sean contrarias a esta reglamentación, pero sus efectos aplicarán a partir de la fecha </w:t>
      </w:r>
      <w:r w:rsidR="00461C8C" w:rsidRPr="00DF798F">
        <w:rPr>
          <w:rFonts w:ascii="Arial" w:hAnsi="Arial" w:cs="Arial"/>
          <w:lang w:val="es-ES"/>
        </w:rPr>
        <w:t>en la que FINAGRO expida la Circular Reglamentaria que procure la debida operatividad de lo aquí resuelto.</w:t>
      </w:r>
    </w:p>
    <w:p w:rsidR="00461C8C" w:rsidRPr="00DF798F" w:rsidRDefault="00461C8C" w:rsidP="00461C8C">
      <w:pPr>
        <w:spacing w:after="0" w:line="0" w:lineRule="atLeast"/>
        <w:jc w:val="both"/>
        <w:rPr>
          <w:rFonts w:ascii="Arial" w:hAnsi="Arial" w:cs="Arial"/>
          <w:lang w:val="es-ES"/>
        </w:rPr>
      </w:pPr>
    </w:p>
    <w:p w:rsidR="008738A4" w:rsidRDefault="008738A4" w:rsidP="008738A4">
      <w:pPr>
        <w:jc w:val="both"/>
        <w:rPr>
          <w:rFonts w:ascii="Arial" w:hAnsi="Arial" w:cs="Arial"/>
        </w:rPr>
      </w:pPr>
    </w:p>
    <w:p w:rsidR="008738A4" w:rsidRDefault="008738A4" w:rsidP="008738A4">
      <w:pPr>
        <w:jc w:val="both"/>
        <w:rPr>
          <w:rFonts w:ascii="Arial" w:hAnsi="Arial" w:cs="Arial"/>
        </w:rPr>
      </w:pPr>
    </w:p>
    <w:p w:rsidR="008738A4" w:rsidRDefault="008738A4" w:rsidP="008738A4">
      <w:pPr>
        <w:jc w:val="both"/>
        <w:rPr>
          <w:rFonts w:ascii="Arial" w:hAnsi="Arial" w:cs="Arial"/>
        </w:rPr>
      </w:pPr>
    </w:p>
    <w:p w:rsidR="008738A4" w:rsidRPr="00D15E5E" w:rsidRDefault="008738A4" w:rsidP="008738A4">
      <w:pPr>
        <w:jc w:val="both"/>
        <w:rPr>
          <w:rFonts w:ascii="Arial" w:hAnsi="Arial" w:cs="Arial"/>
        </w:rPr>
      </w:pPr>
    </w:p>
    <w:p w:rsidR="008738A4" w:rsidRPr="00D15E5E" w:rsidRDefault="008738A4" w:rsidP="008738A4">
      <w:pPr>
        <w:spacing w:line="0" w:lineRule="atLeast"/>
        <w:jc w:val="both"/>
        <w:rPr>
          <w:rFonts w:ascii="Arial" w:hAnsi="Arial" w:cs="Arial"/>
          <w:bCs/>
        </w:rPr>
      </w:pPr>
      <w:r w:rsidRPr="00D15E5E">
        <w:rPr>
          <w:rFonts w:ascii="Arial" w:hAnsi="Arial" w:cs="Arial"/>
          <w:b/>
          <w:bCs/>
        </w:rPr>
        <w:t>AURELIO IRAGORRI VALENCIA</w:t>
      </w:r>
      <w:r w:rsidRPr="00D15E5E">
        <w:rPr>
          <w:rFonts w:ascii="Arial" w:hAnsi="Arial" w:cs="Arial"/>
          <w:b/>
          <w:bCs/>
        </w:rPr>
        <w:tab/>
      </w:r>
      <w:r w:rsidRPr="00D15E5E">
        <w:rPr>
          <w:rFonts w:ascii="Arial" w:hAnsi="Arial" w:cs="Arial"/>
          <w:bCs/>
        </w:rPr>
        <w:tab/>
      </w:r>
      <w:r w:rsidRPr="00D15E5E">
        <w:rPr>
          <w:rFonts w:ascii="Arial" w:hAnsi="Arial" w:cs="Arial"/>
          <w:b/>
          <w:bCs/>
        </w:rPr>
        <w:t>JESÚS ANTONIO VARGAS OROZCO</w:t>
      </w:r>
    </w:p>
    <w:p w:rsidR="008738A4" w:rsidRDefault="008738A4" w:rsidP="008738A4">
      <w:pPr>
        <w:spacing w:line="0" w:lineRule="atLeast"/>
        <w:jc w:val="both"/>
        <w:rPr>
          <w:rFonts w:ascii="Arial" w:hAnsi="Arial" w:cs="Arial"/>
          <w:bCs/>
        </w:rPr>
      </w:pPr>
      <w:r w:rsidRPr="00D15E5E">
        <w:rPr>
          <w:rFonts w:ascii="Arial" w:hAnsi="Arial" w:cs="Arial"/>
          <w:bCs/>
        </w:rPr>
        <w:t>Presidente</w:t>
      </w:r>
      <w:r w:rsidRPr="00D15E5E">
        <w:rPr>
          <w:rFonts w:ascii="Arial" w:hAnsi="Arial" w:cs="Arial"/>
          <w:bCs/>
        </w:rPr>
        <w:tab/>
      </w:r>
      <w:r w:rsidRPr="00D15E5E">
        <w:rPr>
          <w:rFonts w:ascii="Arial" w:hAnsi="Arial" w:cs="Arial"/>
          <w:bCs/>
        </w:rPr>
        <w:tab/>
      </w:r>
      <w:r w:rsidRPr="00D15E5E">
        <w:rPr>
          <w:rFonts w:ascii="Arial" w:hAnsi="Arial" w:cs="Arial"/>
          <w:bCs/>
        </w:rPr>
        <w:tab/>
      </w:r>
      <w:r w:rsidRPr="00D15E5E">
        <w:rPr>
          <w:rFonts w:ascii="Arial" w:hAnsi="Arial" w:cs="Arial"/>
          <w:bCs/>
        </w:rPr>
        <w:tab/>
      </w:r>
      <w:r w:rsidRPr="00D15E5E">
        <w:rPr>
          <w:rFonts w:ascii="Arial" w:hAnsi="Arial" w:cs="Arial"/>
          <w:bCs/>
        </w:rPr>
        <w:tab/>
        <w:t>Secretario</w:t>
      </w:r>
    </w:p>
    <w:p w:rsidR="008738A4" w:rsidRDefault="008738A4" w:rsidP="008738A4">
      <w:pPr>
        <w:spacing w:line="0" w:lineRule="atLeast"/>
        <w:jc w:val="both"/>
        <w:rPr>
          <w:rFonts w:ascii="Arial" w:hAnsi="Arial" w:cs="Arial"/>
          <w:bCs/>
        </w:rPr>
      </w:pPr>
    </w:p>
    <w:p w:rsidR="008738A4" w:rsidRDefault="008738A4" w:rsidP="008738A4">
      <w:pPr>
        <w:spacing w:line="0" w:lineRule="atLeast"/>
        <w:jc w:val="both"/>
        <w:rPr>
          <w:rFonts w:ascii="Arial" w:hAnsi="Arial" w:cs="Arial"/>
          <w:bCs/>
        </w:rPr>
      </w:pPr>
    </w:p>
    <w:p w:rsidR="008738A4" w:rsidRDefault="008738A4" w:rsidP="008738A4">
      <w:pPr>
        <w:spacing w:line="0" w:lineRule="atLeast"/>
        <w:jc w:val="both"/>
        <w:rPr>
          <w:rFonts w:ascii="Arial" w:hAnsi="Arial" w:cs="Arial"/>
          <w:bCs/>
        </w:rPr>
      </w:pPr>
    </w:p>
    <w:p w:rsidR="008738A4" w:rsidRDefault="008738A4" w:rsidP="008738A4">
      <w:pPr>
        <w:spacing w:line="0" w:lineRule="atLeast"/>
        <w:jc w:val="both"/>
        <w:rPr>
          <w:rFonts w:ascii="Arial" w:hAnsi="Arial" w:cs="Arial"/>
          <w:bCs/>
        </w:rPr>
      </w:pPr>
    </w:p>
    <w:p w:rsidR="008738A4" w:rsidRDefault="008738A4" w:rsidP="008738A4">
      <w:pPr>
        <w:spacing w:line="0" w:lineRule="atLeast"/>
        <w:jc w:val="both"/>
        <w:rPr>
          <w:rFonts w:ascii="Arial" w:hAnsi="Arial" w:cs="Arial"/>
          <w:bCs/>
        </w:rPr>
      </w:pPr>
    </w:p>
    <w:p w:rsidR="008738A4" w:rsidRDefault="008738A4" w:rsidP="008738A4">
      <w:pPr>
        <w:spacing w:line="0" w:lineRule="atLeast"/>
        <w:jc w:val="both"/>
        <w:rPr>
          <w:rFonts w:ascii="Arial" w:hAnsi="Arial" w:cs="Arial"/>
          <w:bCs/>
        </w:rPr>
      </w:pPr>
    </w:p>
    <w:p w:rsidR="008738A4" w:rsidRDefault="008738A4" w:rsidP="008738A4">
      <w:pPr>
        <w:spacing w:line="0" w:lineRule="atLeast"/>
        <w:jc w:val="both"/>
        <w:rPr>
          <w:rFonts w:ascii="Arial" w:hAnsi="Arial" w:cs="Arial"/>
          <w:bCs/>
        </w:rPr>
      </w:pPr>
    </w:p>
    <w:p w:rsidR="008738A4" w:rsidRDefault="008738A4" w:rsidP="008738A4">
      <w:pPr>
        <w:spacing w:line="0" w:lineRule="atLeast"/>
        <w:jc w:val="both"/>
        <w:rPr>
          <w:rFonts w:ascii="Arial" w:hAnsi="Arial" w:cs="Arial"/>
          <w:bCs/>
        </w:rPr>
      </w:pPr>
    </w:p>
    <w:p w:rsidR="008738A4" w:rsidRDefault="008738A4" w:rsidP="008738A4">
      <w:pPr>
        <w:spacing w:line="0" w:lineRule="atLeast"/>
        <w:jc w:val="both"/>
        <w:rPr>
          <w:rFonts w:ascii="Arial" w:hAnsi="Arial" w:cs="Arial"/>
          <w:bCs/>
        </w:rPr>
      </w:pPr>
    </w:p>
    <w:p w:rsidR="008738A4" w:rsidRDefault="008738A4" w:rsidP="008738A4">
      <w:pPr>
        <w:spacing w:line="0" w:lineRule="atLeast"/>
        <w:jc w:val="both"/>
        <w:rPr>
          <w:rFonts w:ascii="Arial" w:hAnsi="Arial" w:cs="Arial"/>
          <w:bCs/>
        </w:rPr>
      </w:pPr>
    </w:p>
    <w:p w:rsidR="008738A4" w:rsidRDefault="008738A4" w:rsidP="008738A4">
      <w:pPr>
        <w:spacing w:line="0" w:lineRule="atLeast"/>
        <w:jc w:val="both"/>
        <w:rPr>
          <w:rFonts w:ascii="Arial" w:hAnsi="Arial" w:cs="Arial"/>
          <w:bCs/>
        </w:rPr>
      </w:pPr>
    </w:p>
    <w:p w:rsidR="008738A4" w:rsidRDefault="008738A4" w:rsidP="008738A4">
      <w:pPr>
        <w:rPr>
          <w:b/>
        </w:rPr>
      </w:pPr>
    </w:p>
    <w:p w:rsidR="000D772D" w:rsidRDefault="000D772D" w:rsidP="000D772D">
      <w:pPr>
        <w:jc w:val="both"/>
        <w:rPr>
          <w:b/>
        </w:rPr>
      </w:pPr>
      <w:r>
        <w:rPr>
          <w:b/>
        </w:rPr>
        <w:t xml:space="preserve">Justificación técnica del proyecto de resolución por medio del cual se establecen a </w:t>
      </w:r>
      <w:r w:rsidR="00AB3B7B">
        <w:rPr>
          <w:b/>
        </w:rPr>
        <w:t>la</w:t>
      </w:r>
      <w:r>
        <w:rPr>
          <w:b/>
        </w:rPr>
        <w:t xml:space="preserve">s </w:t>
      </w:r>
      <w:r w:rsidR="00AB3B7B">
        <w:rPr>
          <w:b/>
        </w:rPr>
        <w:t>entidades</w:t>
      </w:r>
      <w:r>
        <w:rPr>
          <w:b/>
        </w:rPr>
        <w:t xml:space="preserve"> territoriales como un tipo de productor para el crédito agropecuario</w:t>
      </w:r>
    </w:p>
    <w:p w:rsidR="000D772D" w:rsidRDefault="000D772D" w:rsidP="000D772D">
      <w:pPr>
        <w:pStyle w:val="Prrafodelista"/>
        <w:numPr>
          <w:ilvl w:val="0"/>
          <w:numId w:val="10"/>
        </w:numPr>
        <w:jc w:val="both"/>
        <w:rPr>
          <w:b/>
        </w:rPr>
      </w:pPr>
      <w:r>
        <w:rPr>
          <w:b/>
        </w:rPr>
        <w:t>Objetivo</w:t>
      </w:r>
    </w:p>
    <w:p w:rsidR="000D772D" w:rsidRPr="000672DC" w:rsidRDefault="00AB3B7B" w:rsidP="000D772D">
      <w:pPr>
        <w:jc w:val="both"/>
      </w:pPr>
      <w:r>
        <w:t>Definir a la</w:t>
      </w:r>
      <w:r w:rsidR="000D772D">
        <w:t xml:space="preserve">s </w:t>
      </w:r>
      <w:r>
        <w:t>entidades</w:t>
      </w:r>
      <w:r w:rsidR="000D772D">
        <w:t xml:space="preserve"> territoriales como un beneficiario del crédito en condiciones FINAGRO y establecer sus condiciones financieras.</w:t>
      </w:r>
    </w:p>
    <w:p w:rsidR="000D772D" w:rsidRDefault="000D772D" w:rsidP="000D772D">
      <w:pPr>
        <w:pStyle w:val="Prrafodelista"/>
        <w:numPr>
          <w:ilvl w:val="0"/>
          <w:numId w:val="10"/>
        </w:numPr>
        <w:jc w:val="both"/>
        <w:rPr>
          <w:b/>
        </w:rPr>
      </w:pPr>
      <w:r>
        <w:rPr>
          <w:b/>
        </w:rPr>
        <w:t>Antecedentes</w:t>
      </w:r>
    </w:p>
    <w:p w:rsidR="000D772D" w:rsidRDefault="000D772D" w:rsidP="000D772D">
      <w:pPr>
        <w:jc w:val="both"/>
      </w:pPr>
      <w:r>
        <w:t xml:space="preserve">Uno de los temas centrales que propició la Constitución Nacional de 1991 fue la descentralización fiscal. Si bien en materia fiscal Colombia comenzó un proceso de descentralización desde 1968, cuando por medio de la Ley 33 el Gobierno Nacional comenzó a transferir un porcentaje de sus ingresos fiscales a las regiones, fue la Constitución de 1991 la que promovió la descentralización del país en varios frentes. </w:t>
      </w:r>
    </w:p>
    <w:p w:rsidR="000D772D" w:rsidRDefault="000D772D" w:rsidP="000D772D">
      <w:pPr>
        <w:jc w:val="both"/>
      </w:pPr>
      <w:r>
        <w:t>En primer lugar, el artículo 286 de la Constitución definió que son entidades territoriales los departamentos, los distritos, los municipios y los territorios indígenas. Adicionalmente, estableció que la ley podrá darles el carácter de entidades territoriales a las regiones y provincias que se constituyan en los términos de la Constitución y de la ley. Por su parte, en el artículo 287 estableció que los entes gozan de autonomía para la gestión de sus intereses, teniendo los siguientes derechos:</w:t>
      </w:r>
    </w:p>
    <w:p w:rsidR="000D772D" w:rsidRDefault="000D772D" w:rsidP="000D772D">
      <w:pPr>
        <w:pStyle w:val="Prrafodelista"/>
        <w:numPr>
          <w:ilvl w:val="0"/>
          <w:numId w:val="9"/>
        </w:numPr>
        <w:jc w:val="both"/>
      </w:pPr>
      <w:r>
        <w:t>Gobernarse por autoridades propias.</w:t>
      </w:r>
    </w:p>
    <w:p w:rsidR="000D772D" w:rsidRDefault="000D772D" w:rsidP="000D772D">
      <w:pPr>
        <w:pStyle w:val="Prrafodelista"/>
        <w:numPr>
          <w:ilvl w:val="0"/>
          <w:numId w:val="9"/>
        </w:numPr>
        <w:jc w:val="both"/>
      </w:pPr>
      <w:r>
        <w:t>Ejercer las competencias que les correspondan.</w:t>
      </w:r>
    </w:p>
    <w:p w:rsidR="000D772D" w:rsidRDefault="000D772D" w:rsidP="000D772D">
      <w:pPr>
        <w:pStyle w:val="Prrafodelista"/>
        <w:numPr>
          <w:ilvl w:val="0"/>
          <w:numId w:val="9"/>
        </w:numPr>
        <w:jc w:val="both"/>
      </w:pPr>
      <w:r>
        <w:t>Administrar los recursos y establecer los tributos necesarios para el cumplimiento de sus funciones.</w:t>
      </w:r>
    </w:p>
    <w:p w:rsidR="000D772D" w:rsidRDefault="000D772D" w:rsidP="000D772D">
      <w:pPr>
        <w:pStyle w:val="Prrafodelista"/>
        <w:numPr>
          <w:ilvl w:val="0"/>
          <w:numId w:val="9"/>
        </w:numPr>
        <w:jc w:val="both"/>
      </w:pPr>
      <w:r>
        <w:t>Participar en las rentas nacionales.</w:t>
      </w:r>
    </w:p>
    <w:p w:rsidR="000D772D" w:rsidRDefault="000D772D" w:rsidP="000D772D">
      <w:pPr>
        <w:jc w:val="both"/>
      </w:pPr>
      <w:r>
        <w:t>Dentro de los principales atributos que la Constitución dio en materia fiscal, se destacan los artículos 356 y 357, los cuales generaron y reglamentaron el Situado Fiscal, el cual fue regulado por medio de la Ley 60 de 1993, teniendo un énfasis prioritario en temas de educación, salud y servicios públicos</w:t>
      </w:r>
      <w:r>
        <w:rPr>
          <w:rStyle w:val="Refdenotaalpie"/>
        </w:rPr>
        <w:footnoteReference w:id="1"/>
      </w:r>
      <w:r>
        <w:t xml:space="preserve">. Sin embargo, como destaca Gutierrez (2010), debido la crisis que afrontó el país a finales de la década de los noventa, se expidió el Acto Legislativo 1 de 2001, por medio del cual se modificaron los artículos 356 (servicios a cargo de la nación y de las entidades territoriales) y 357 (participación en los ingresos corrientes de la nación), con el objetivo de sanear las finanzas públicas del nivel central y contribuir a la estabilidad macroeconómica del país, especialmente por la problemática de inequidad, asimetría, inestabilidad y fluctuaciones entre los ingresos y los gastos de nivel central y </w:t>
      </w:r>
      <w:r>
        <w:lastRenderedPageBreak/>
        <w:t>las entidades territoriales</w:t>
      </w:r>
      <w:r>
        <w:rPr>
          <w:rStyle w:val="Refdenotaalpie"/>
        </w:rPr>
        <w:footnoteReference w:id="2"/>
      </w:r>
      <w:r>
        <w:t>. Con estas modificaciones se constituyó el Sistema General de Participación de los Departamentos, Distritos y Municipios</w:t>
      </w:r>
      <w:r>
        <w:rPr>
          <w:rStyle w:val="Refdenotaalpie"/>
        </w:rPr>
        <w:footnoteReference w:id="3"/>
      </w:r>
      <w:r>
        <w:t>, al cual se le creó un sistema de monitoreo, seguimiento y control de gastos de las entidades territoriales por medio del Acto Legislativo 4 de 2007.</w:t>
      </w:r>
    </w:p>
    <w:p w:rsidR="000D772D" w:rsidRDefault="000D772D" w:rsidP="000D772D">
      <w:pPr>
        <w:jc w:val="both"/>
      </w:pPr>
      <w:r>
        <w:t xml:space="preserve">Si bien el Sistema General de Participación se transformó en una de las principales fuentes de recursos de </w:t>
      </w:r>
      <w:r w:rsidR="00AB3B7B">
        <w:t>las entidades</w:t>
      </w:r>
      <w:r>
        <w:t xml:space="preserve"> territoriales en el marco de la descentralización fiscal, esta no es su única fuente de ingresos. La Ley 715 de 2001 estableció el destino de los recursos provenientes del Sistema General de Participación como se expone en el </w:t>
      </w:r>
      <w:r>
        <w:fldChar w:fldCharType="begin"/>
      </w:r>
      <w:r>
        <w:instrText xml:space="preserve"> REF _Ref473095121 \h  \* MERGEFORMAT </w:instrText>
      </w:r>
      <w:r>
        <w:fldChar w:fldCharType="separate"/>
      </w:r>
      <w:r w:rsidRPr="00804629">
        <w:rPr>
          <w:b/>
        </w:rPr>
        <w:t xml:space="preserve">Gráfico </w:t>
      </w:r>
      <w:r>
        <w:rPr>
          <w:b/>
          <w:i/>
          <w:noProof/>
        </w:rPr>
        <w:t>1</w:t>
      </w:r>
      <w:r>
        <w:fldChar w:fldCharType="end"/>
      </w:r>
      <w:r>
        <w:t xml:space="preserve">, concentrándose estos recursos principalmente en temas de educación, salud y agua potable y saneamiento básico, permitiendo que solo se destine el 11.6% de los ingresos provenientes de esta fuente en propósitos generales, dentro de los cuales se incluyen temas como vivienda, sector agropecuario, transporte, materia ambiental y equipamiento municipal. Adicional a las transferencias del Sistema General de Participación se deben sumar los recursos propios de los entes, los cuales genera por su gestión tributaria o por la prestación de servicios públicos, la explotación de bienes o la participación en los ingresos no tributarios que ingresen periódicamente al territorio. </w:t>
      </w:r>
    </w:p>
    <w:p w:rsidR="000D772D" w:rsidRPr="00804629" w:rsidRDefault="000D772D" w:rsidP="000D772D">
      <w:pPr>
        <w:pStyle w:val="Descripcin"/>
        <w:keepNext/>
        <w:jc w:val="both"/>
        <w:rPr>
          <w:b/>
          <w:i w:val="0"/>
          <w:sz w:val="22"/>
        </w:rPr>
      </w:pPr>
      <w:bookmarkStart w:id="0" w:name="_Ref473095121"/>
      <w:r w:rsidRPr="00804629">
        <w:rPr>
          <w:b/>
          <w:i w:val="0"/>
          <w:sz w:val="22"/>
        </w:rPr>
        <w:lastRenderedPageBreak/>
        <w:t xml:space="preserve">Gráfico </w:t>
      </w:r>
      <w:r>
        <w:rPr>
          <w:b/>
          <w:i w:val="0"/>
          <w:sz w:val="22"/>
        </w:rPr>
        <w:fldChar w:fldCharType="begin"/>
      </w:r>
      <w:r>
        <w:rPr>
          <w:b/>
          <w:i w:val="0"/>
          <w:sz w:val="22"/>
        </w:rPr>
        <w:instrText xml:space="preserve"> SEQ Ilustración \* ARABIC </w:instrText>
      </w:r>
      <w:r>
        <w:rPr>
          <w:b/>
          <w:i w:val="0"/>
          <w:sz w:val="22"/>
        </w:rPr>
        <w:fldChar w:fldCharType="separate"/>
      </w:r>
      <w:r>
        <w:rPr>
          <w:b/>
          <w:i w:val="0"/>
          <w:noProof/>
          <w:sz w:val="22"/>
        </w:rPr>
        <w:t>1</w:t>
      </w:r>
      <w:r>
        <w:rPr>
          <w:b/>
          <w:i w:val="0"/>
          <w:sz w:val="22"/>
        </w:rPr>
        <w:fldChar w:fldCharType="end"/>
      </w:r>
      <w:bookmarkEnd w:id="0"/>
      <w:r w:rsidRPr="00804629">
        <w:rPr>
          <w:b/>
          <w:i w:val="0"/>
          <w:sz w:val="22"/>
        </w:rPr>
        <w:t xml:space="preserve"> Sistema General de Participaciones</w:t>
      </w:r>
    </w:p>
    <w:p w:rsidR="000D772D" w:rsidRDefault="000D772D" w:rsidP="000D772D">
      <w:pPr>
        <w:jc w:val="both"/>
      </w:pPr>
      <w:r>
        <w:rPr>
          <w:noProof/>
          <w:lang w:val="es-ES" w:eastAsia="es-ES"/>
        </w:rPr>
        <w:drawing>
          <wp:inline distT="0" distB="0" distL="0" distR="0" wp14:anchorId="03C2B152" wp14:editId="5F193EF3">
            <wp:extent cx="3520440" cy="3863340"/>
            <wp:effectExtent l="38100" t="38100" r="0" b="4191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0D772D" w:rsidRDefault="000D772D" w:rsidP="000D772D">
      <w:pPr>
        <w:jc w:val="right"/>
      </w:pPr>
      <w:r>
        <w:t>Fuente: Autor con base en Ley 715 de 2001</w:t>
      </w:r>
    </w:p>
    <w:p w:rsidR="000D772D" w:rsidRDefault="00AB3B7B" w:rsidP="000D772D">
      <w:pPr>
        <w:jc w:val="both"/>
      </w:pPr>
      <w:r>
        <w:t>Las entidades</w:t>
      </w:r>
      <w:r w:rsidR="000D772D">
        <w:t xml:space="preserve"> territoriales también pueden obtener ingresos por materia de regalías. De acuerdo al artículo 361 de la Constitución Política de 1991, modificado por el Acto Legislativo 5 de 2011, se constituyó el Sistema General de Regalías, cuyos recursos que se distribuyen de la siguiente forma: 1</w:t>
      </w:r>
      <w:r w:rsidR="000D772D" w:rsidRPr="00460574">
        <w:t>0% para el Fondo de Ciencia, Tecnología e Innovación; un 10% para ahorro pensional territorial, y hasta un 30% para el Fondo de Ahorro y Estabilización. Los re</w:t>
      </w:r>
      <w:r w:rsidR="000D772D">
        <w:t>cursos restantes se distribuyen</w:t>
      </w:r>
      <w:r w:rsidR="000D772D" w:rsidRPr="00460574">
        <w:t xml:space="preserve"> en un porcentaje equivalente al 20% para las asignaciones directas</w:t>
      </w:r>
      <w:r w:rsidR="000D772D">
        <w:rPr>
          <w:rStyle w:val="Refdenotaalpie"/>
        </w:rPr>
        <w:footnoteReference w:id="4"/>
      </w:r>
      <w:r w:rsidR="000D772D">
        <w:t xml:space="preserve"> </w:t>
      </w:r>
      <w:r w:rsidR="000D772D" w:rsidRPr="00460574">
        <w:t xml:space="preserve">y un 80% para los Fondos de Compensación Regional, y de Desarrollo Regional. Del total de los recursos destinados a estos </w:t>
      </w:r>
      <w:r w:rsidR="000D772D">
        <w:t>dos últimos Fondos, se destina</w:t>
      </w:r>
      <w:r w:rsidR="000D772D" w:rsidRPr="00460574">
        <w:t xml:space="preserve"> un porcentaje equivalente al 60% para el Fondo de Compensación Regional y un 40% para el Fondo de Desarrollo Regional.</w:t>
      </w:r>
      <w:r w:rsidR="000D772D">
        <w:t xml:space="preserve"> En el caso de las asignaciones directas el recurso se puede destinar</w:t>
      </w:r>
      <w:r w:rsidR="000D772D" w:rsidRPr="00F07C7D">
        <w:t xml:space="preserve"> a la financiación o cofinanciación de proyectos de inversión para el desarrollo social, económico y ambiental de las entidades territoriales</w:t>
      </w:r>
      <w:r w:rsidR="000D772D">
        <w:rPr>
          <w:rStyle w:val="Refdenotaalpie"/>
        </w:rPr>
        <w:footnoteReference w:id="5"/>
      </w:r>
      <w:r w:rsidR="000D772D">
        <w:t xml:space="preserve">. En lo que respecta al Fondo </w:t>
      </w:r>
      <w:r w:rsidR="000D772D">
        <w:lastRenderedPageBreak/>
        <w:t>de Compensación Regional, un 40% de sus recursos se destina a la financiación de proyectos de impacto local, siendo un 30% de los recursos para los municipios más pobres del país y el 10% restante para proyectos presentados por los municipios de cuarta, quinta y sexta categoría con Necesidades Básicas Insatisfechas igual o inferior al 35%.</w:t>
      </w:r>
    </w:p>
    <w:p w:rsidR="000D772D" w:rsidRDefault="000D772D" w:rsidP="000D772D">
      <w:pPr>
        <w:jc w:val="both"/>
      </w:pPr>
      <w:r>
        <w:t xml:space="preserve">Adicionalmente a estos recursos, </w:t>
      </w:r>
      <w:r w:rsidR="00AB3B7B">
        <w:t>las entidades</w:t>
      </w:r>
      <w:r>
        <w:t xml:space="preserve"> territoriales se pueden cofinanciar con programas especiales y financiar con recursos de crédito. En el caso de programas de cofinanciación, estos normalmente son provenientes de fondos o entidades especiales constituidos con fines particulares. En el caso del sector agropecuario se destaca a la Agencia de Desarrollo Rural, la cual tiene como una de sus funciones formular, estructurar, cofinanciar y ejecutar proyectos estratégicos nacionales, así como aquellos de iniciativa territorial o asociativa, alineados a los planes de desarrollo agropecuario y rural integral con enfoque territorial y a la política formulada por el Ministerio de Agricultura y Desarrollo Rural. </w:t>
      </w:r>
    </w:p>
    <w:p w:rsidR="000D772D" w:rsidRDefault="000D772D" w:rsidP="000D772D">
      <w:pPr>
        <w:jc w:val="both"/>
      </w:pPr>
      <w:r>
        <w:t xml:space="preserve">En lo que respecta al crédito, </w:t>
      </w:r>
      <w:r w:rsidR="00AB3B7B">
        <w:t>las entidades</w:t>
      </w:r>
      <w:r>
        <w:t xml:space="preserve"> territoriales pueden acceder a recursos tanto de la banca nacional como de la internacional, siguiendo el marco establecido por el artículo 364 de la Constitución Política Nacional de 1991, el cual establece que su endeudamiento no podrá superar su capacidad de pago</w:t>
      </w:r>
      <w:r>
        <w:rPr>
          <w:rStyle w:val="Refdenotaalpie"/>
        </w:rPr>
        <w:footnoteReference w:id="6"/>
      </w:r>
      <w:r>
        <w:t>. De acuerdo a la Ley 358 de 1997, se presume que existe capacidad de pago cuando los intereses de la deuda al momento de celebrar una nueva operación de crédito no superen el 40% del ahorro operacional</w:t>
      </w:r>
      <w:r>
        <w:rPr>
          <w:rStyle w:val="Refdenotaalpie"/>
        </w:rPr>
        <w:footnoteReference w:id="7"/>
      </w:r>
      <w:r>
        <w:t>.</w:t>
      </w:r>
    </w:p>
    <w:p w:rsidR="000D772D" w:rsidRDefault="000D772D" w:rsidP="000D772D">
      <w:pPr>
        <w:jc w:val="both"/>
      </w:pPr>
      <w:r>
        <w:t>De acuerdo a la Ley 358 de 1997, por la cual se reglamenta el artículo 364 de la Constitución y se dictan otras disposiciones en materia de endeudamiento, las operaciones de crédito público deberán destinarse únicamente a financiar gastos de inversión, con excepción de créditos de corto plazo cuyo fin sea la refinanciación de deuda vigente o para la indemnización de personal en procesos de reducción de planta. De acuerdo al Decreto 1068 de 2015, los entes que presenten alguno de las siguientes situaciones requerirán una autorización del Ministerio de Hacienda y Crédito Público para acceder a financiamiento:</w:t>
      </w:r>
    </w:p>
    <w:p w:rsidR="000D772D" w:rsidRDefault="000D772D" w:rsidP="000D772D">
      <w:pPr>
        <w:pStyle w:val="Prrafodelista"/>
        <w:numPr>
          <w:ilvl w:val="0"/>
          <w:numId w:val="5"/>
        </w:numPr>
        <w:jc w:val="both"/>
      </w:pPr>
      <w:r>
        <w:t xml:space="preserve"> Cuando la relación intereses/ahorro operacional sea superior al 40% sin exceder el 60%, siempre que el saldo de la deuda de la vigencia anterior se incremente, con la nueva operación, a una tasa superior a la variación del índice de precios al consumidor (IPC), o meta de inflación, proyectada por el Banco de la República para la vigencia; </w:t>
      </w:r>
    </w:p>
    <w:p w:rsidR="000D772D" w:rsidRDefault="000D772D" w:rsidP="000D772D">
      <w:pPr>
        <w:pStyle w:val="Prrafodelista"/>
        <w:numPr>
          <w:ilvl w:val="0"/>
          <w:numId w:val="5"/>
        </w:numPr>
        <w:jc w:val="both"/>
      </w:pPr>
      <w:r>
        <w:t xml:space="preserve">Cuando la relación intereses/ahorro operacional supere el 60%; </w:t>
      </w:r>
    </w:p>
    <w:p w:rsidR="000D772D" w:rsidRDefault="000D772D" w:rsidP="000D772D">
      <w:pPr>
        <w:pStyle w:val="Prrafodelista"/>
        <w:numPr>
          <w:ilvl w:val="0"/>
          <w:numId w:val="5"/>
        </w:numPr>
        <w:jc w:val="both"/>
      </w:pPr>
      <w:r>
        <w:t xml:space="preserve"> Cuando la relación saldo de la deuda/ingresos corrientes supere el 80%.</w:t>
      </w:r>
    </w:p>
    <w:p w:rsidR="000D772D" w:rsidRDefault="000D772D" w:rsidP="000D772D">
      <w:pPr>
        <w:jc w:val="both"/>
      </w:pPr>
      <w:r>
        <w:lastRenderedPageBreak/>
        <w:t>Con esto presente, de conformidad con el Decreto 1068 de 2015, l</w:t>
      </w:r>
      <w:r w:rsidRPr="00300CEA">
        <w:t>as enti</w:t>
      </w:r>
      <w:r>
        <w:t xml:space="preserve">dades que otorguen créditos a </w:t>
      </w:r>
      <w:r w:rsidR="00AB3B7B">
        <w:t>las entidades</w:t>
      </w:r>
      <w:r w:rsidRPr="00300CEA">
        <w:t xml:space="preserve"> territoriales deberán verificar la capacidad de pago de</w:t>
      </w:r>
      <w:r>
        <w:t xml:space="preserve"> los mismo</w:t>
      </w:r>
      <w:r w:rsidRPr="00300CEA">
        <w:t>s</w:t>
      </w:r>
      <w:r>
        <w:t xml:space="preserve">, y en caso de ser necesario, deberán acordar el diseño de un </w:t>
      </w:r>
      <w:r w:rsidRPr="00300CEA">
        <w:t>plan de desempeño</w:t>
      </w:r>
      <w:r>
        <w:rPr>
          <w:rStyle w:val="Refdenotaalpie"/>
        </w:rPr>
        <w:footnoteReference w:id="8"/>
      </w:r>
      <w:r w:rsidRPr="00300CEA">
        <w:t xml:space="preserve"> y exigir la autorización de endeudamiento. </w:t>
      </w:r>
    </w:p>
    <w:p w:rsidR="000D772D" w:rsidRDefault="00AB3B7B" w:rsidP="000D772D">
      <w:pPr>
        <w:jc w:val="both"/>
      </w:pPr>
      <w:r>
        <w:t>Las entidades</w:t>
      </w:r>
      <w:r w:rsidR="000D772D">
        <w:t xml:space="preserve"> territoriales no solo deben seguir los lineamientos establecidos para acceder a un crédito, sino que deben llevar a cabo un proceso para solicitar el mismo. Como expone IDEA (2013), el proceso para la solicitud de un crédito va más allá de la presentación de evidencias que permitan a la alcaldía sustentar su capacidad de pago frente a un intermediario financiero. Para lograr llegar a esta etapa, previamente se debió lograr que el consejo municipal autorice al alcalde para contratar el crédito y se debe contar con un certificado de la oficina de planeación municipal, donde conste que el proyecto a financiar con estos recursos está contemplado en el Plan de Desarrollo del Municipio, además de un concepto favorable sobre la conveniencia técnica, social y económica del proyecto. </w:t>
      </w:r>
    </w:p>
    <w:p w:rsidR="000D772D" w:rsidRDefault="000D772D" w:rsidP="000D772D">
      <w:pPr>
        <w:jc w:val="both"/>
      </w:pPr>
      <w:r>
        <w:t xml:space="preserve">Adicionalmente, se le han impuesto una serie de medidas de control a </w:t>
      </w:r>
      <w:r w:rsidR="00AB3B7B">
        <w:t>las entidades</w:t>
      </w:r>
      <w:r>
        <w:t xml:space="preserve"> territoriales para que estos puedan operar de una forma autónoma en materia fiscal. La Ley 617 de 2000 generó una serie de medidas de saneamiento fiscal de </w:t>
      </w:r>
      <w:r w:rsidR="00AB3B7B">
        <w:t>las entidades</w:t>
      </w:r>
      <w:r>
        <w:t xml:space="preserve"> territoriales con el objetivo de que sus gastos se alinearan con sus ingresos, de tal modo que se pudiera asegurar la sostenibilidad de las mismas, ajustando sus gastos de funcionamiento; prohibiendo transferencias y liquidación de empresas ineficientes; estableciendo la viabilidad financiera de un municipio, con lo cual se generó la obligatoriedad del establecimiento de programas de saneamiento en caso de incumplimiento de la misma; y generando un mecanismo de alivio de deuda que promoviera el saneamiento fiscal de las entidades.</w:t>
      </w:r>
    </w:p>
    <w:p w:rsidR="000D772D" w:rsidRDefault="000D772D" w:rsidP="000D772D">
      <w:pPr>
        <w:jc w:val="both"/>
      </w:pPr>
      <w:r>
        <w:t xml:space="preserve">Bajo este marco, la Dirección General de Apoyo Fiscal (2016) publicó la dinámica de la deuda pública territorial durante el cuatrienio 2012-2015.  Si bien la deuda de las alcaldías y gobernaciones aumentó entre los cuatro años, pasando de 7.9 billones en 2012 a 11 billones en 2015, su participación dentro del PIB presentó un leve incremento (1.2% a 1.4%) y su participación dentro de la deuda territorial disminuyó, pasando de ser un 29.5% de 2012 al 28.3% en 2015. Cabe destacar que la totalidad de la deuda de las alcaldías no capitales es con banca nacional (2.7 billones), mientras las capitales y departamentos si han accedido a recursos internacionales. Al ver como se concentra la deuda de las alcaldías, se expone que el 69% de la deuda está concentrada en 20 alcaldías, como se muestra en el </w:t>
      </w:r>
      <w:r>
        <w:fldChar w:fldCharType="begin"/>
      </w:r>
      <w:r>
        <w:instrText xml:space="preserve"> REF _Ref473546048 \h  \* MERGEFORMAT </w:instrText>
      </w:r>
      <w:r>
        <w:fldChar w:fldCharType="separate"/>
      </w:r>
      <w:r>
        <w:rPr>
          <w:b/>
        </w:rPr>
        <w:t>Cuadro</w:t>
      </w:r>
      <w:r w:rsidRPr="0050551E">
        <w:rPr>
          <w:b/>
        </w:rPr>
        <w:t xml:space="preserve"> </w:t>
      </w:r>
      <w:r>
        <w:rPr>
          <w:b/>
          <w:i/>
          <w:noProof/>
        </w:rPr>
        <w:t>1</w:t>
      </w:r>
      <w:r>
        <w:fldChar w:fldCharType="end"/>
      </w:r>
      <w:r>
        <w:t>. Pese a estos incrementos, la calidad de la cartera de los municipios y de los departamentos también ha mejorado, pasando de estar un 82.6% calificada en A en 2012 a un 95.9% en 2015 en el caso de los municipios y pasando de 93.1% a 97.8% en el caso de los departamentos.</w:t>
      </w:r>
    </w:p>
    <w:p w:rsidR="000D772D" w:rsidRPr="0050551E" w:rsidRDefault="000D772D" w:rsidP="000D772D">
      <w:pPr>
        <w:pStyle w:val="Descripcin"/>
        <w:keepNext/>
        <w:jc w:val="both"/>
        <w:rPr>
          <w:b/>
          <w:i w:val="0"/>
          <w:sz w:val="22"/>
        </w:rPr>
      </w:pPr>
      <w:bookmarkStart w:id="1" w:name="_Ref473546048"/>
      <w:r>
        <w:rPr>
          <w:b/>
          <w:i w:val="0"/>
          <w:sz w:val="22"/>
        </w:rPr>
        <w:lastRenderedPageBreak/>
        <w:t>Cuadro</w:t>
      </w:r>
      <w:r w:rsidRPr="0050551E">
        <w:rPr>
          <w:b/>
          <w:i w:val="0"/>
          <w:sz w:val="22"/>
        </w:rPr>
        <w:t xml:space="preserve"> </w:t>
      </w:r>
      <w:r w:rsidRPr="0050551E">
        <w:rPr>
          <w:b/>
          <w:i w:val="0"/>
          <w:sz w:val="22"/>
        </w:rPr>
        <w:fldChar w:fldCharType="begin"/>
      </w:r>
      <w:r w:rsidRPr="0050551E">
        <w:rPr>
          <w:b/>
          <w:i w:val="0"/>
          <w:sz w:val="22"/>
        </w:rPr>
        <w:instrText xml:space="preserve"> SEQ Tabla \* ARABIC </w:instrText>
      </w:r>
      <w:r w:rsidRPr="0050551E">
        <w:rPr>
          <w:b/>
          <w:i w:val="0"/>
          <w:sz w:val="22"/>
        </w:rPr>
        <w:fldChar w:fldCharType="separate"/>
      </w:r>
      <w:r>
        <w:rPr>
          <w:b/>
          <w:i w:val="0"/>
          <w:noProof/>
          <w:sz w:val="22"/>
        </w:rPr>
        <w:t>1</w:t>
      </w:r>
      <w:r w:rsidRPr="0050551E">
        <w:rPr>
          <w:b/>
          <w:i w:val="0"/>
          <w:sz w:val="22"/>
        </w:rPr>
        <w:fldChar w:fldCharType="end"/>
      </w:r>
      <w:bookmarkEnd w:id="1"/>
      <w:r w:rsidRPr="0050551E">
        <w:rPr>
          <w:b/>
          <w:i w:val="0"/>
          <w:sz w:val="22"/>
        </w:rPr>
        <w:t>. Deuda Total Alcaldías/ Miles de Millones de Pesos 2015</w:t>
      </w:r>
    </w:p>
    <w:tbl>
      <w:tblPr>
        <w:tblW w:w="5620" w:type="dxa"/>
        <w:jc w:val="center"/>
        <w:tblCellMar>
          <w:left w:w="70" w:type="dxa"/>
          <w:right w:w="70" w:type="dxa"/>
        </w:tblCellMar>
        <w:tblLook w:val="04A0" w:firstRow="1" w:lastRow="0" w:firstColumn="1" w:lastColumn="0" w:noHBand="0" w:noVBand="1"/>
      </w:tblPr>
      <w:tblGrid>
        <w:gridCol w:w="1900"/>
        <w:gridCol w:w="1240"/>
        <w:gridCol w:w="1240"/>
        <w:gridCol w:w="1240"/>
      </w:tblGrid>
      <w:tr w:rsidR="000D772D" w:rsidRPr="005D07B0" w:rsidTr="000D772D">
        <w:trPr>
          <w:trHeight w:val="588"/>
          <w:jc w:val="center"/>
        </w:trPr>
        <w:tc>
          <w:tcPr>
            <w:tcW w:w="1900" w:type="dxa"/>
            <w:tcBorders>
              <w:top w:val="nil"/>
              <w:left w:val="nil"/>
              <w:bottom w:val="single" w:sz="8" w:space="0" w:color="548235"/>
              <w:right w:val="nil"/>
            </w:tcBorders>
            <w:shd w:val="clear" w:color="000000" w:fill="FFFFFF"/>
            <w:noWrap/>
            <w:vAlign w:val="bottom"/>
            <w:hideMark/>
          </w:tcPr>
          <w:p w:rsidR="000D772D" w:rsidRPr="005D07B0" w:rsidRDefault="000D772D" w:rsidP="000D772D">
            <w:pPr>
              <w:spacing w:after="0" w:line="240" w:lineRule="auto"/>
              <w:jc w:val="both"/>
              <w:rPr>
                <w:rFonts w:ascii="Calibri" w:eastAsia="Times New Roman" w:hAnsi="Calibri" w:cs="Times New Roman"/>
                <w:color w:val="000000"/>
                <w:lang w:eastAsia="es-CO"/>
              </w:rPr>
            </w:pPr>
            <w:r w:rsidRPr="005D07B0">
              <w:rPr>
                <w:rFonts w:ascii="Calibri" w:eastAsia="Times New Roman" w:hAnsi="Calibri" w:cs="Times New Roman"/>
                <w:color w:val="000000"/>
                <w:lang w:eastAsia="es-CO"/>
              </w:rPr>
              <w:t> </w:t>
            </w:r>
          </w:p>
        </w:tc>
        <w:tc>
          <w:tcPr>
            <w:tcW w:w="1240" w:type="dxa"/>
            <w:tcBorders>
              <w:top w:val="nil"/>
              <w:left w:val="nil"/>
              <w:bottom w:val="single" w:sz="8" w:space="0" w:color="548235"/>
              <w:right w:val="nil"/>
            </w:tcBorders>
            <w:shd w:val="clear" w:color="000000" w:fill="FFFFFF"/>
            <w:vAlign w:val="center"/>
            <w:hideMark/>
          </w:tcPr>
          <w:p w:rsidR="000D772D" w:rsidRPr="005D07B0" w:rsidRDefault="000D772D" w:rsidP="000D772D">
            <w:pPr>
              <w:spacing w:after="0" w:line="240" w:lineRule="auto"/>
              <w:jc w:val="both"/>
              <w:rPr>
                <w:rFonts w:ascii="Calibri" w:eastAsia="Times New Roman" w:hAnsi="Calibri" w:cs="Times New Roman"/>
                <w:b/>
                <w:bCs/>
                <w:color w:val="000000"/>
                <w:lang w:eastAsia="es-CO"/>
              </w:rPr>
            </w:pPr>
            <w:r w:rsidRPr="005D07B0">
              <w:rPr>
                <w:rFonts w:ascii="Calibri" w:eastAsia="Times New Roman" w:hAnsi="Calibri" w:cs="Times New Roman"/>
                <w:b/>
                <w:bCs/>
                <w:color w:val="000000"/>
                <w:lang w:eastAsia="es-CO"/>
              </w:rPr>
              <w:t>2015</w:t>
            </w:r>
          </w:p>
        </w:tc>
        <w:tc>
          <w:tcPr>
            <w:tcW w:w="1240" w:type="dxa"/>
            <w:tcBorders>
              <w:top w:val="nil"/>
              <w:left w:val="nil"/>
              <w:bottom w:val="single" w:sz="8" w:space="0" w:color="548235"/>
              <w:right w:val="nil"/>
            </w:tcBorders>
            <w:shd w:val="clear" w:color="000000" w:fill="FFFFFF"/>
            <w:vAlign w:val="center"/>
            <w:hideMark/>
          </w:tcPr>
          <w:p w:rsidR="000D772D" w:rsidRPr="005D07B0" w:rsidRDefault="000D772D" w:rsidP="000D772D">
            <w:pPr>
              <w:spacing w:after="0" w:line="240" w:lineRule="auto"/>
              <w:jc w:val="both"/>
              <w:rPr>
                <w:rFonts w:ascii="Calibri" w:eastAsia="Times New Roman" w:hAnsi="Calibri" w:cs="Times New Roman"/>
                <w:b/>
                <w:bCs/>
                <w:color w:val="000000"/>
                <w:lang w:eastAsia="es-CO"/>
              </w:rPr>
            </w:pPr>
            <w:r w:rsidRPr="005D07B0">
              <w:rPr>
                <w:rFonts w:ascii="Calibri" w:eastAsia="Times New Roman" w:hAnsi="Calibri" w:cs="Times New Roman"/>
                <w:b/>
                <w:bCs/>
                <w:color w:val="000000"/>
                <w:lang w:eastAsia="es-CO"/>
              </w:rPr>
              <w:t>% Total</w:t>
            </w:r>
          </w:p>
        </w:tc>
        <w:tc>
          <w:tcPr>
            <w:tcW w:w="1240" w:type="dxa"/>
            <w:tcBorders>
              <w:top w:val="nil"/>
              <w:left w:val="nil"/>
              <w:bottom w:val="single" w:sz="8" w:space="0" w:color="548235"/>
              <w:right w:val="nil"/>
            </w:tcBorders>
            <w:shd w:val="clear" w:color="000000" w:fill="FFFFFF"/>
            <w:vAlign w:val="center"/>
            <w:hideMark/>
          </w:tcPr>
          <w:p w:rsidR="000D772D" w:rsidRPr="005D07B0" w:rsidRDefault="000D772D" w:rsidP="000D772D">
            <w:pPr>
              <w:spacing w:after="0" w:line="240" w:lineRule="auto"/>
              <w:jc w:val="both"/>
              <w:rPr>
                <w:rFonts w:ascii="Calibri" w:eastAsia="Times New Roman" w:hAnsi="Calibri" w:cs="Times New Roman"/>
                <w:b/>
                <w:bCs/>
                <w:color w:val="000000"/>
                <w:lang w:eastAsia="es-CO"/>
              </w:rPr>
            </w:pPr>
            <w:r w:rsidRPr="005D07B0">
              <w:rPr>
                <w:rFonts w:ascii="Calibri" w:eastAsia="Times New Roman" w:hAnsi="Calibri" w:cs="Times New Roman"/>
                <w:b/>
                <w:bCs/>
                <w:color w:val="000000"/>
                <w:lang w:eastAsia="es-CO"/>
              </w:rPr>
              <w:t>%Total Acumulada</w:t>
            </w:r>
          </w:p>
        </w:tc>
      </w:tr>
      <w:tr w:rsidR="000D772D" w:rsidRPr="005D07B0" w:rsidTr="000D772D">
        <w:trPr>
          <w:trHeight w:val="288"/>
          <w:jc w:val="center"/>
        </w:trPr>
        <w:tc>
          <w:tcPr>
            <w:tcW w:w="1900" w:type="dxa"/>
            <w:tcBorders>
              <w:top w:val="nil"/>
              <w:left w:val="nil"/>
              <w:bottom w:val="nil"/>
              <w:right w:val="nil"/>
            </w:tcBorders>
            <w:shd w:val="clear" w:color="000000" w:fill="E2EFDA"/>
            <w:noWrap/>
            <w:vAlign w:val="bottom"/>
            <w:hideMark/>
          </w:tcPr>
          <w:p w:rsidR="000D772D" w:rsidRPr="005D07B0" w:rsidRDefault="000D772D" w:rsidP="000D772D">
            <w:pPr>
              <w:spacing w:after="0" w:line="240" w:lineRule="auto"/>
              <w:jc w:val="both"/>
              <w:rPr>
                <w:rFonts w:ascii="Calibri" w:eastAsia="Times New Roman" w:hAnsi="Calibri" w:cs="Times New Roman"/>
                <w:color w:val="000000"/>
                <w:lang w:eastAsia="es-CO"/>
              </w:rPr>
            </w:pPr>
            <w:r w:rsidRPr="005D07B0">
              <w:rPr>
                <w:rFonts w:ascii="Calibri" w:eastAsia="Times New Roman" w:hAnsi="Calibri" w:cs="Times New Roman"/>
                <w:color w:val="000000"/>
                <w:lang w:eastAsia="es-CO"/>
              </w:rPr>
              <w:t xml:space="preserve"> Bogotá </w:t>
            </w:r>
          </w:p>
        </w:tc>
        <w:tc>
          <w:tcPr>
            <w:tcW w:w="1240" w:type="dxa"/>
            <w:tcBorders>
              <w:top w:val="nil"/>
              <w:left w:val="nil"/>
              <w:bottom w:val="nil"/>
              <w:right w:val="nil"/>
            </w:tcBorders>
            <w:shd w:val="clear" w:color="000000" w:fill="FFFFFF"/>
            <w:noWrap/>
            <w:vAlign w:val="bottom"/>
            <w:hideMark/>
          </w:tcPr>
          <w:p w:rsidR="000D772D" w:rsidRPr="005D07B0" w:rsidRDefault="000D772D" w:rsidP="000D772D">
            <w:pPr>
              <w:spacing w:after="0" w:line="240" w:lineRule="auto"/>
              <w:jc w:val="both"/>
              <w:rPr>
                <w:rFonts w:ascii="Calibri" w:eastAsia="Times New Roman" w:hAnsi="Calibri" w:cs="Times New Roman"/>
                <w:color w:val="000000"/>
                <w:lang w:eastAsia="es-CO"/>
              </w:rPr>
            </w:pPr>
            <w:r w:rsidRPr="005D07B0">
              <w:rPr>
                <w:rFonts w:ascii="Calibri" w:eastAsia="Times New Roman" w:hAnsi="Calibri" w:cs="Times New Roman"/>
                <w:color w:val="000000"/>
                <w:lang w:eastAsia="es-CO"/>
              </w:rPr>
              <w:t>1</w:t>
            </w:r>
            <w:r>
              <w:rPr>
                <w:rFonts w:ascii="Calibri" w:eastAsia="Times New Roman" w:hAnsi="Calibri" w:cs="Times New Roman"/>
                <w:color w:val="000000"/>
                <w:lang w:eastAsia="es-CO"/>
              </w:rPr>
              <w:t>,</w:t>
            </w:r>
            <w:r w:rsidRPr="005D07B0">
              <w:rPr>
                <w:rFonts w:ascii="Calibri" w:eastAsia="Times New Roman" w:hAnsi="Calibri" w:cs="Times New Roman"/>
                <w:color w:val="000000"/>
                <w:lang w:eastAsia="es-CO"/>
              </w:rPr>
              <w:t>364</w:t>
            </w:r>
          </w:p>
        </w:tc>
        <w:tc>
          <w:tcPr>
            <w:tcW w:w="1240" w:type="dxa"/>
            <w:tcBorders>
              <w:top w:val="nil"/>
              <w:left w:val="nil"/>
              <w:bottom w:val="nil"/>
              <w:right w:val="nil"/>
            </w:tcBorders>
            <w:shd w:val="clear" w:color="000000" w:fill="FFFFFF"/>
            <w:noWrap/>
            <w:vAlign w:val="bottom"/>
            <w:hideMark/>
          </w:tcPr>
          <w:p w:rsidR="000D772D" w:rsidRPr="005D07B0" w:rsidRDefault="000D772D" w:rsidP="000D772D">
            <w:pPr>
              <w:spacing w:after="0" w:line="240" w:lineRule="auto"/>
              <w:jc w:val="both"/>
              <w:rPr>
                <w:rFonts w:ascii="Calibri" w:eastAsia="Times New Roman" w:hAnsi="Calibri" w:cs="Times New Roman"/>
                <w:color w:val="000000"/>
                <w:lang w:eastAsia="es-CO"/>
              </w:rPr>
            </w:pPr>
            <w:r w:rsidRPr="005D07B0">
              <w:rPr>
                <w:rFonts w:ascii="Calibri" w:eastAsia="Times New Roman" w:hAnsi="Calibri" w:cs="Times New Roman"/>
                <w:color w:val="000000"/>
                <w:lang w:eastAsia="es-CO"/>
              </w:rPr>
              <w:t>19%</w:t>
            </w:r>
          </w:p>
        </w:tc>
        <w:tc>
          <w:tcPr>
            <w:tcW w:w="1240" w:type="dxa"/>
            <w:tcBorders>
              <w:top w:val="nil"/>
              <w:left w:val="nil"/>
              <w:bottom w:val="nil"/>
              <w:right w:val="nil"/>
            </w:tcBorders>
            <w:shd w:val="clear" w:color="000000" w:fill="FFFFFF"/>
            <w:noWrap/>
            <w:vAlign w:val="bottom"/>
            <w:hideMark/>
          </w:tcPr>
          <w:p w:rsidR="000D772D" w:rsidRPr="005D07B0" w:rsidRDefault="000D772D" w:rsidP="000D772D">
            <w:pPr>
              <w:spacing w:after="0" w:line="240" w:lineRule="auto"/>
              <w:jc w:val="both"/>
              <w:rPr>
                <w:rFonts w:ascii="Calibri" w:eastAsia="Times New Roman" w:hAnsi="Calibri" w:cs="Times New Roman"/>
                <w:color w:val="000000"/>
                <w:lang w:eastAsia="es-CO"/>
              </w:rPr>
            </w:pPr>
            <w:r w:rsidRPr="005D07B0">
              <w:rPr>
                <w:rFonts w:ascii="Calibri" w:eastAsia="Times New Roman" w:hAnsi="Calibri" w:cs="Times New Roman"/>
                <w:color w:val="000000"/>
                <w:lang w:eastAsia="es-CO"/>
              </w:rPr>
              <w:t>19%</w:t>
            </w:r>
          </w:p>
        </w:tc>
      </w:tr>
      <w:tr w:rsidR="000D772D" w:rsidRPr="005D07B0" w:rsidTr="000D772D">
        <w:trPr>
          <w:trHeight w:val="288"/>
          <w:jc w:val="center"/>
        </w:trPr>
        <w:tc>
          <w:tcPr>
            <w:tcW w:w="1900" w:type="dxa"/>
            <w:tcBorders>
              <w:top w:val="nil"/>
              <w:left w:val="nil"/>
              <w:bottom w:val="nil"/>
              <w:right w:val="nil"/>
            </w:tcBorders>
            <w:shd w:val="clear" w:color="000000" w:fill="E2EFDA"/>
            <w:noWrap/>
            <w:vAlign w:val="bottom"/>
            <w:hideMark/>
          </w:tcPr>
          <w:p w:rsidR="000D772D" w:rsidRPr="005D07B0" w:rsidRDefault="000D772D" w:rsidP="000D772D">
            <w:pPr>
              <w:spacing w:after="0" w:line="240" w:lineRule="auto"/>
              <w:jc w:val="both"/>
              <w:rPr>
                <w:rFonts w:ascii="Calibri" w:eastAsia="Times New Roman" w:hAnsi="Calibri" w:cs="Times New Roman"/>
                <w:color w:val="000000"/>
                <w:lang w:eastAsia="es-CO"/>
              </w:rPr>
            </w:pPr>
            <w:r w:rsidRPr="005D07B0">
              <w:rPr>
                <w:rFonts w:ascii="Calibri" w:eastAsia="Times New Roman" w:hAnsi="Calibri" w:cs="Times New Roman"/>
                <w:color w:val="000000"/>
                <w:lang w:eastAsia="es-CO"/>
              </w:rPr>
              <w:t xml:space="preserve"> Medellín </w:t>
            </w:r>
          </w:p>
        </w:tc>
        <w:tc>
          <w:tcPr>
            <w:tcW w:w="1240" w:type="dxa"/>
            <w:tcBorders>
              <w:top w:val="nil"/>
              <w:left w:val="nil"/>
              <w:bottom w:val="nil"/>
              <w:right w:val="nil"/>
            </w:tcBorders>
            <w:shd w:val="clear" w:color="000000" w:fill="FFFFFF"/>
            <w:noWrap/>
            <w:vAlign w:val="bottom"/>
            <w:hideMark/>
          </w:tcPr>
          <w:p w:rsidR="000D772D" w:rsidRPr="005D07B0" w:rsidRDefault="000D772D" w:rsidP="000D772D">
            <w:pPr>
              <w:spacing w:after="0" w:line="240" w:lineRule="auto"/>
              <w:jc w:val="both"/>
              <w:rPr>
                <w:rFonts w:ascii="Calibri" w:eastAsia="Times New Roman" w:hAnsi="Calibri" w:cs="Times New Roman"/>
                <w:color w:val="000000"/>
                <w:lang w:eastAsia="es-CO"/>
              </w:rPr>
            </w:pPr>
            <w:r w:rsidRPr="005D07B0">
              <w:rPr>
                <w:rFonts w:ascii="Calibri" w:eastAsia="Times New Roman" w:hAnsi="Calibri" w:cs="Times New Roman"/>
                <w:color w:val="000000"/>
                <w:lang w:eastAsia="es-CO"/>
              </w:rPr>
              <w:t>1</w:t>
            </w:r>
            <w:r>
              <w:rPr>
                <w:rFonts w:ascii="Calibri" w:eastAsia="Times New Roman" w:hAnsi="Calibri" w:cs="Times New Roman"/>
                <w:color w:val="000000"/>
                <w:lang w:eastAsia="es-CO"/>
              </w:rPr>
              <w:t>,</w:t>
            </w:r>
            <w:r w:rsidRPr="005D07B0">
              <w:rPr>
                <w:rFonts w:ascii="Calibri" w:eastAsia="Times New Roman" w:hAnsi="Calibri" w:cs="Times New Roman"/>
                <w:color w:val="000000"/>
                <w:lang w:eastAsia="es-CO"/>
              </w:rPr>
              <w:t>185</w:t>
            </w:r>
          </w:p>
        </w:tc>
        <w:tc>
          <w:tcPr>
            <w:tcW w:w="1240" w:type="dxa"/>
            <w:tcBorders>
              <w:top w:val="nil"/>
              <w:left w:val="nil"/>
              <w:bottom w:val="nil"/>
              <w:right w:val="nil"/>
            </w:tcBorders>
            <w:shd w:val="clear" w:color="000000" w:fill="FFFFFF"/>
            <w:noWrap/>
            <w:vAlign w:val="bottom"/>
            <w:hideMark/>
          </w:tcPr>
          <w:p w:rsidR="000D772D" w:rsidRPr="005D07B0" w:rsidRDefault="000D772D" w:rsidP="000D772D">
            <w:pPr>
              <w:spacing w:after="0" w:line="240" w:lineRule="auto"/>
              <w:jc w:val="both"/>
              <w:rPr>
                <w:rFonts w:ascii="Calibri" w:eastAsia="Times New Roman" w:hAnsi="Calibri" w:cs="Times New Roman"/>
                <w:color w:val="000000"/>
                <w:lang w:eastAsia="es-CO"/>
              </w:rPr>
            </w:pPr>
            <w:r w:rsidRPr="005D07B0">
              <w:rPr>
                <w:rFonts w:ascii="Calibri" w:eastAsia="Times New Roman" w:hAnsi="Calibri" w:cs="Times New Roman"/>
                <w:color w:val="000000"/>
                <w:lang w:eastAsia="es-CO"/>
              </w:rPr>
              <w:t>16%</w:t>
            </w:r>
          </w:p>
        </w:tc>
        <w:tc>
          <w:tcPr>
            <w:tcW w:w="1240" w:type="dxa"/>
            <w:tcBorders>
              <w:top w:val="nil"/>
              <w:left w:val="nil"/>
              <w:bottom w:val="nil"/>
              <w:right w:val="nil"/>
            </w:tcBorders>
            <w:shd w:val="clear" w:color="000000" w:fill="FFFFFF"/>
            <w:noWrap/>
            <w:vAlign w:val="bottom"/>
            <w:hideMark/>
          </w:tcPr>
          <w:p w:rsidR="000D772D" w:rsidRPr="005D07B0" w:rsidRDefault="000D772D" w:rsidP="000D772D">
            <w:pPr>
              <w:spacing w:after="0" w:line="240" w:lineRule="auto"/>
              <w:jc w:val="both"/>
              <w:rPr>
                <w:rFonts w:ascii="Calibri" w:eastAsia="Times New Roman" w:hAnsi="Calibri" w:cs="Times New Roman"/>
                <w:color w:val="000000"/>
                <w:lang w:eastAsia="es-CO"/>
              </w:rPr>
            </w:pPr>
            <w:r w:rsidRPr="005D07B0">
              <w:rPr>
                <w:rFonts w:ascii="Calibri" w:eastAsia="Times New Roman" w:hAnsi="Calibri" w:cs="Times New Roman"/>
                <w:color w:val="000000"/>
                <w:lang w:eastAsia="es-CO"/>
              </w:rPr>
              <w:t>35%</w:t>
            </w:r>
          </w:p>
        </w:tc>
      </w:tr>
      <w:tr w:rsidR="000D772D" w:rsidRPr="005D07B0" w:rsidTr="000D772D">
        <w:trPr>
          <w:trHeight w:val="288"/>
          <w:jc w:val="center"/>
        </w:trPr>
        <w:tc>
          <w:tcPr>
            <w:tcW w:w="1900" w:type="dxa"/>
            <w:tcBorders>
              <w:top w:val="nil"/>
              <w:left w:val="nil"/>
              <w:bottom w:val="nil"/>
              <w:right w:val="nil"/>
            </w:tcBorders>
            <w:shd w:val="clear" w:color="000000" w:fill="E2EFDA"/>
            <w:noWrap/>
            <w:vAlign w:val="bottom"/>
            <w:hideMark/>
          </w:tcPr>
          <w:p w:rsidR="000D772D" w:rsidRPr="005D07B0" w:rsidRDefault="000D772D" w:rsidP="000D772D">
            <w:pPr>
              <w:spacing w:after="0" w:line="240" w:lineRule="auto"/>
              <w:jc w:val="both"/>
              <w:rPr>
                <w:rFonts w:ascii="Calibri" w:eastAsia="Times New Roman" w:hAnsi="Calibri" w:cs="Times New Roman"/>
                <w:color w:val="000000"/>
                <w:lang w:eastAsia="es-CO"/>
              </w:rPr>
            </w:pPr>
            <w:r w:rsidRPr="005D07B0">
              <w:rPr>
                <w:rFonts w:ascii="Calibri" w:eastAsia="Times New Roman" w:hAnsi="Calibri" w:cs="Times New Roman"/>
                <w:color w:val="000000"/>
                <w:lang w:eastAsia="es-CO"/>
              </w:rPr>
              <w:t xml:space="preserve"> Barranquilla </w:t>
            </w:r>
          </w:p>
        </w:tc>
        <w:tc>
          <w:tcPr>
            <w:tcW w:w="1240" w:type="dxa"/>
            <w:tcBorders>
              <w:top w:val="nil"/>
              <w:left w:val="nil"/>
              <w:bottom w:val="nil"/>
              <w:right w:val="nil"/>
            </w:tcBorders>
            <w:shd w:val="clear" w:color="000000" w:fill="FFFFFF"/>
            <w:noWrap/>
            <w:vAlign w:val="bottom"/>
            <w:hideMark/>
          </w:tcPr>
          <w:p w:rsidR="000D772D" w:rsidRPr="005D07B0" w:rsidRDefault="000D772D" w:rsidP="000D772D">
            <w:pPr>
              <w:spacing w:after="0" w:line="240" w:lineRule="auto"/>
              <w:jc w:val="both"/>
              <w:rPr>
                <w:rFonts w:ascii="Calibri" w:eastAsia="Times New Roman" w:hAnsi="Calibri" w:cs="Times New Roman"/>
                <w:color w:val="000000"/>
                <w:lang w:eastAsia="es-CO"/>
              </w:rPr>
            </w:pPr>
            <w:r w:rsidRPr="005D07B0">
              <w:rPr>
                <w:rFonts w:ascii="Calibri" w:eastAsia="Times New Roman" w:hAnsi="Calibri" w:cs="Times New Roman"/>
                <w:color w:val="000000"/>
                <w:lang w:eastAsia="es-CO"/>
              </w:rPr>
              <w:t>504</w:t>
            </w:r>
          </w:p>
        </w:tc>
        <w:tc>
          <w:tcPr>
            <w:tcW w:w="1240" w:type="dxa"/>
            <w:tcBorders>
              <w:top w:val="nil"/>
              <w:left w:val="nil"/>
              <w:bottom w:val="nil"/>
              <w:right w:val="nil"/>
            </w:tcBorders>
            <w:shd w:val="clear" w:color="000000" w:fill="FFFFFF"/>
            <w:noWrap/>
            <w:vAlign w:val="bottom"/>
            <w:hideMark/>
          </w:tcPr>
          <w:p w:rsidR="000D772D" w:rsidRPr="005D07B0" w:rsidRDefault="000D772D" w:rsidP="000D772D">
            <w:pPr>
              <w:spacing w:after="0" w:line="240" w:lineRule="auto"/>
              <w:jc w:val="both"/>
              <w:rPr>
                <w:rFonts w:ascii="Calibri" w:eastAsia="Times New Roman" w:hAnsi="Calibri" w:cs="Times New Roman"/>
                <w:color w:val="000000"/>
                <w:lang w:eastAsia="es-CO"/>
              </w:rPr>
            </w:pPr>
            <w:r w:rsidRPr="005D07B0">
              <w:rPr>
                <w:rFonts w:ascii="Calibri" w:eastAsia="Times New Roman" w:hAnsi="Calibri" w:cs="Times New Roman"/>
                <w:color w:val="000000"/>
                <w:lang w:eastAsia="es-CO"/>
              </w:rPr>
              <w:t>7%</w:t>
            </w:r>
          </w:p>
        </w:tc>
        <w:tc>
          <w:tcPr>
            <w:tcW w:w="1240" w:type="dxa"/>
            <w:tcBorders>
              <w:top w:val="nil"/>
              <w:left w:val="nil"/>
              <w:bottom w:val="nil"/>
              <w:right w:val="nil"/>
            </w:tcBorders>
            <w:shd w:val="clear" w:color="000000" w:fill="FFFFFF"/>
            <w:noWrap/>
            <w:vAlign w:val="bottom"/>
            <w:hideMark/>
          </w:tcPr>
          <w:p w:rsidR="000D772D" w:rsidRPr="005D07B0" w:rsidRDefault="000D772D" w:rsidP="000D772D">
            <w:pPr>
              <w:spacing w:after="0" w:line="240" w:lineRule="auto"/>
              <w:jc w:val="both"/>
              <w:rPr>
                <w:rFonts w:ascii="Calibri" w:eastAsia="Times New Roman" w:hAnsi="Calibri" w:cs="Times New Roman"/>
                <w:color w:val="000000"/>
                <w:lang w:eastAsia="es-CO"/>
              </w:rPr>
            </w:pPr>
            <w:r w:rsidRPr="005D07B0">
              <w:rPr>
                <w:rFonts w:ascii="Calibri" w:eastAsia="Times New Roman" w:hAnsi="Calibri" w:cs="Times New Roman"/>
                <w:color w:val="000000"/>
                <w:lang w:eastAsia="es-CO"/>
              </w:rPr>
              <w:t>42%</w:t>
            </w:r>
          </w:p>
        </w:tc>
      </w:tr>
      <w:tr w:rsidR="000D772D" w:rsidRPr="005D07B0" w:rsidTr="000D772D">
        <w:trPr>
          <w:trHeight w:val="288"/>
          <w:jc w:val="center"/>
        </w:trPr>
        <w:tc>
          <w:tcPr>
            <w:tcW w:w="1900" w:type="dxa"/>
            <w:tcBorders>
              <w:top w:val="nil"/>
              <w:left w:val="nil"/>
              <w:bottom w:val="nil"/>
              <w:right w:val="nil"/>
            </w:tcBorders>
            <w:shd w:val="clear" w:color="000000" w:fill="E2EFDA"/>
            <w:noWrap/>
            <w:vAlign w:val="bottom"/>
            <w:hideMark/>
          </w:tcPr>
          <w:p w:rsidR="000D772D" w:rsidRPr="005D07B0" w:rsidRDefault="000D772D" w:rsidP="000D772D">
            <w:pPr>
              <w:spacing w:after="0" w:line="240" w:lineRule="auto"/>
              <w:jc w:val="both"/>
              <w:rPr>
                <w:rFonts w:ascii="Calibri" w:eastAsia="Times New Roman" w:hAnsi="Calibri" w:cs="Times New Roman"/>
                <w:color w:val="000000"/>
                <w:lang w:eastAsia="es-CO"/>
              </w:rPr>
            </w:pPr>
            <w:r w:rsidRPr="005D07B0">
              <w:rPr>
                <w:rFonts w:ascii="Calibri" w:eastAsia="Times New Roman" w:hAnsi="Calibri" w:cs="Times New Roman"/>
                <w:color w:val="000000"/>
                <w:lang w:eastAsia="es-CO"/>
              </w:rPr>
              <w:t xml:space="preserve"> Cartagena </w:t>
            </w:r>
          </w:p>
        </w:tc>
        <w:tc>
          <w:tcPr>
            <w:tcW w:w="1240" w:type="dxa"/>
            <w:tcBorders>
              <w:top w:val="nil"/>
              <w:left w:val="nil"/>
              <w:bottom w:val="nil"/>
              <w:right w:val="nil"/>
            </w:tcBorders>
            <w:shd w:val="clear" w:color="000000" w:fill="FFFFFF"/>
            <w:noWrap/>
            <w:vAlign w:val="bottom"/>
            <w:hideMark/>
          </w:tcPr>
          <w:p w:rsidR="000D772D" w:rsidRPr="005D07B0" w:rsidRDefault="000D772D" w:rsidP="000D772D">
            <w:pPr>
              <w:spacing w:after="0" w:line="240" w:lineRule="auto"/>
              <w:jc w:val="both"/>
              <w:rPr>
                <w:rFonts w:ascii="Calibri" w:eastAsia="Times New Roman" w:hAnsi="Calibri" w:cs="Times New Roman"/>
                <w:color w:val="000000"/>
                <w:lang w:eastAsia="es-CO"/>
              </w:rPr>
            </w:pPr>
            <w:r w:rsidRPr="005D07B0">
              <w:rPr>
                <w:rFonts w:ascii="Calibri" w:eastAsia="Times New Roman" w:hAnsi="Calibri" w:cs="Times New Roman"/>
                <w:color w:val="000000"/>
                <w:lang w:eastAsia="es-CO"/>
              </w:rPr>
              <w:t>266</w:t>
            </w:r>
          </w:p>
        </w:tc>
        <w:tc>
          <w:tcPr>
            <w:tcW w:w="1240" w:type="dxa"/>
            <w:tcBorders>
              <w:top w:val="nil"/>
              <w:left w:val="nil"/>
              <w:bottom w:val="nil"/>
              <w:right w:val="nil"/>
            </w:tcBorders>
            <w:shd w:val="clear" w:color="000000" w:fill="FFFFFF"/>
            <w:noWrap/>
            <w:vAlign w:val="bottom"/>
            <w:hideMark/>
          </w:tcPr>
          <w:p w:rsidR="000D772D" w:rsidRPr="005D07B0" w:rsidRDefault="000D772D" w:rsidP="000D772D">
            <w:pPr>
              <w:spacing w:after="0" w:line="240" w:lineRule="auto"/>
              <w:jc w:val="both"/>
              <w:rPr>
                <w:rFonts w:ascii="Calibri" w:eastAsia="Times New Roman" w:hAnsi="Calibri" w:cs="Times New Roman"/>
                <w:color w:val="000000"/>
                <w:lang w:eastAsia="es-CO"/>
              </w:rPr>
            </w:pPr>
            <w:r w:rsidRPr="005D07B0">
              <w:rPr>
                <w:rFonts w:ascii="Calibri" w:eastAsia="Times New Roman" w:hAnsi="Calibri" w:cs="Times New Roman"/>
                <w:color w:val="000000"/>
                <w:lang w:eastAsia="es-CO"/>
              </w:rPr>
              <w:t>4%</w:t>
            </w:r>
          </w:p>
        </w:tc>
        <w:tc>
          <w:tcPr>
            <w:tcW w:w="1240" w:type="dxa"/>
            <w:tcBorders>
              <w:top w:val="nil"/>
              <w:left w:val="nil"/>
              <w:bottom w:val="nil"/>
              <w:right w:val="nil"/>
            </w:tcBorders>
            <w:shd w:val="clear" w:color="000000" w:fill="FFFFFF"/>
            <w:noWrap/>
            <w:vAlign w:val="bottom"/>
            <w:hideMark/>
          </w:tcPr>
          <w:p w:rsidR="000D772D" w:rsidRPr="005D07B0" w:rsidRDefault="000D772D" w:rsidP="000D772D">
            <w:pPr>
              <w:spacing w:after="0" w:line="240" w:lineRule="auto"/>
              <w:jc w:val="both"/>
              <w:rPr>
                <w:rFonts w:ascii="Calibri" w:eastAsia="Times New Roman" w:hAnsi="Calibri" w:cs="Times New Roman"/>
                <w:color w:val="000000"/>
                <w:lang w:eastAsia="es-CO"/>
              </w:rPr>
            </w:pPr>
            <w:r w:rsidRPr="005D07B0">
              <w:rPr>
                <w:rFonts w:ascii="Calibri" w:eastAsia="Times New Roman" w:hAnsi="Calibri" w:cs="Times New Roman"/>
                <w:color w:val="000000"/>
                <w:lang w:eastAsia="es-CO"/>
              </w:rPr>
              <w:t>46%</w:t>
            </w:r>
          </w:p>
        </w:tc>
      </w:tr>
      <w:tr w:rsidR="000D772D" w:rsidRPr="005D07B0" w:rsidTr="000D772D">
        <w:trPr>
          <w:trHeight w:val="288"/>
          <w:jc w:val="center"/>
        </w:trPr>
        <w:tc>
          <w:tcPr>
            <w:tcW w:w="1900" w:type="dxa"/>
            <w:tcBorders>
              <w:top w:val="nil"/>
              <w:left w:val="nil"/>
              <w:bottom w:val="nil"/>
              <w:right w:val="nil"/>
            </w:tcBorders>
            <w:shd w:val="clear" w:color="000000" w:fill="E2EFDA"/>
            <w:noWrap/>
            <w:vAlign w:val="bottom"/>
            <w:hideMark/>
          </w:tcPr>
          <w:p w:rsidR="000D772D" w:rsidRPr="005D07B0" w:rsidRDefault="000D772D" w:rsidP="000D772D">
            <w:pPr>
              <w:spacing w:after="0" w:line="240" w:lineRule="auto"/>
              <w:jc w:val="both"/>
              <w:rPr>
                <w:rFonts w:ascii="Calibri" w:eastAsia="Times New Roman" w:hAnsi="Calibri" w:cs="Times New Roman"/>
                <w:color w:val="000000"/>
                <w:lang w:eastAsia="es-CO"/>
              </w:rPr>
            </w:pPr>
            <w:r w:rsidRPr="005D07B0">
              <w:rPr>
                <w:rFonts w:ascii="Calibri" w:eastAsia="Times New Roman" w:hAnsi="Calibri" w:cs="Times New Roman"/>
                <w:color w:val="000000"/>
                <w:lang w:eastAsia="es-CO"/>
              </w:rPr>
              <w:t xml:space="preserve"> Bucaramanga </w:t>
            </w:r>
          </w:p>
        </w:tc>
        <w:tc>
          <w:tcPr>
            <w:tcW w:w="1240" w:type="dxa"/>
            <w:tcBorders>
              <w:top w:val="nil"/>
              <w:left w:val="nil"/>
              <w:bottom w:val="nil"/>
              <w:right w:val="nil"/>
            </w:tcBorders>
            <w:shd w:val="clear" w:color="000000" w:fill="FFFFFF"/>
            <w:noWrap/>
            <w:vAlign w:val="bottom"/>
            <w:hideMark/>
          </w:tcPr>
          <w:p w:rsidR="000D772D" w:rsidRPr="005D07B0" w:rsidRDefault="000D772D" w:rsidP="000D772D">
            <w:pPr>
              <w:spacing w:after="0" w:line="240" w:lineRule="auto"/>
              <w:jc w:val="both"/>
              <w:rPr>
                <w:rFonts w:ascii="Calibri" w:eastAsia="Times New Roman" w:hAnsi="Calibri" w:cs="Times New Roman"/>
                <w:color w:val="000000"/>
                <w:lang w:eastAsia="es-CO"/>
              </w:rPr>
            </w:pPr>
            <w:r w:rsidRPr="005D07B0">
              <w:rPr>
                <w:rFonts w:ascii="Calibri" w:eastAsia="Times New Roman" w:hAnsi="Calibri" w:cs="Times New Roman"/>
                <w:color w:val="000000"/>
                <w:lang w:eastAsia="es-CO"/>
              </w:rPr>
              <w:t>217</w:t>
            </w:r>
          </w:p>
        </w:tc>
        <w:tc>
          <w:tcPr>
            <w:tcW w:w="1240" w:type="dxa"/>
            <w:tcBorders>
              <w:top w:val="nil"/>
              <w:left w:val="nil"/>
              <w:bottom w:val="nil"/>
              <w:right w:val="nil"/>
            </w:tcBorders>
            <w:shd w:val="clear" w:color="000000" w:fill="FFFFFF"/>
            <w:noWrap/>
            <w:vAlign w:val="bottom"/>
            <w:hideMark/>
          </w:tcPr>
          <w:p w:rsidR="000D772D" w:rsidRPr="005D07B0" w:rsidRDefault="000D772D" w:rsidP="000D772D">
            <w:pPr>
              <w:spacing w:after="0" w:line="240" w:lineRule="auto"/>
              <w:jc w:val="both"/>
              <w:rPr>
                <w:rFonts w:ascii="Calibri" w:eastAsia="Times New Roman" w:hAnsi="Calibri" w:cs="Times New Roman"/>
                <w:color w:val="000000"/>
                <w:lang w:eastAsia="es-CO"/>
              </w:rPr>
            </w:pPr>
            <w:r w:rsidRPr="005D07B0">
              <w:rPr>
                <w:rFonts w:ascii="Calibri" w:eastAsia="Times New Roman" w:hAnsi="Calibri" w:cs="Times New Roman"/>
                <w:color w:val="000000"/>
                <w:lang w:eastAsia="es-CO"/>
              </w:rPr>
              <w:t>3%</w:t>
            </w:r>
          </w:p>
        </w:tc>
        <w:tc>
          <w:tcPr>
            <w:tcW w:w="1240" w:type="dxa"/>
            <w:tcBorders>
              <w:top w:val="nil"/>
              <w:left w:val="nil"/>
              <w:bottom w:val="nil"/>
              <w:right w:val="nil"/>
            </w:tcBorders>
            <w:shd w:val="clear" w:color="000000" w:fill="FFFFFF"/>
            <w:noWrap/>
            <w:vAlign w:val="bottom"/>
            <w:hideMark/>
          </w:tcPr>
          <w:p w:rsidR="000D772D" w:rsidRPr="005D07B0" w:rsidRDefault="000D772D" w:rsidP="000D772D">
            <w:pPr>
              <w:spacing w:after="0" w:line="240" w:lineRule="auto"/>
              <w:jc w:val="both"/>
              <w:rPr>
                <w:rFonts w:ascii="Calibri" w:eastAsia="Times New Roman" w:hAnsi="Calibri" w:cs="Times New Roman"/>
                <w:color w:val="000000"/>
                <w:lang w:eastAsia="es-CO"/>
              </w:rPr>
            </w:pPr>
            <w:r w:rsidRPr="005D07B0">
              <w:rPr>
                <w:rFonts w:ascii="Calibri" w:eastAsia="Times New Roman" w:hAnsi="Calibri" w:cs="Times New Roman"/>
                <w:color w:val="000000"/>
                <w:lang w:eastAsia="es-CO"/>
              </w:rPr>
              <w:t>49%</w:t>
            </w:r>
          </w:p>
        </w:tc>
      </w:tr>
      <w:tr w:rsidR="000D772D" w:rsidRPr="005D07B0" w:rsidTr="000D772D">
        <w:trPr>
          <w:trHeight w:val="288"/>
          <w:jc w:val="center"/>
        </w:trPr>
        <w:tc>
          <w:tcPr>
            <w:tcW w:w="1900" w:type="dxa"/>
            <w:tcBorders>
              <w:top w:val="nil"/>
              <w:left w:val="nil"/>
              <w:bottom w:val="nil"/>
              <w:right w:val="nil"/>
            </w:tcBorders>
            <w:shd w:val="clear" w:color="000000" w:fill="E2EFDA"/>
            <w:noWrap/>
            <w:vAlign w:val="bottom"/>
            <w:hideMark/>
          </w:tcPr>
          <w:p w:rsidR="000D772D" w:rsidRPr="005D07B0" w:rsidRDefault="000D772D" w:rsidP="000D772D">
            <w:pPr>
              <w:spacing w:after="0" w:line="240" w:lineRule="auto"/>
              <w:jc w:val="both"/>
              <w:rPr>
                <w:rFonts w:ascii="Calibri" w:eastAsia="Times New Roman" w:hAnsi="Calibri" w:cs="Times New Roman"/>
                <w:color w:val="000000"/>
                <w:lang w:eastAsia="es-CO"/>
              </w:rPr>
            </w:pPr>
            <w:r w:rsidRPr="005D07B0">
              <w:rPr>
                <w:rFonts w:ascii="Calibri" w:eastAsia="Times New Roman" w:hAnsi="Calibri" w:cs="Times New Roman"/>
                <w:color w:val="000000"/>
                <w:lang w:eastAsia="es-CO"/>
              </w:rPr>
              <w:t xml:space="preserve"> Cali </w:t>
            </w:r>
          </w:p>
        </w:tc>
        <w:tc>
          <w:tcPr>
            <w:tcW w:w="1240" w:type="dxa"/>
            <w:tcBorders>
              <w:top w:val="nil"/>
              <w:left w:val="nil"/>
              <w:bottom w:val="nil"/>
              <w:right w:val="nil"/>
            </w:tcBorders>
            <w:shd w:val="clear" w:color="000000" w:fill="FFFFFF"/>
            <w:noWrap/>
            <w:vAlign w:val="bottom"/>
            <w:hideMark/>
          </w:tcPr>
          <w:p w:rsidR="000D772D" w:rsidRPr="005D07B0" w:rsidRDefault="000D772D" w:rsidP="000D772D">
            <w:pPr>
              <w:spacing w:after="0" w:line="240" w:lineRule="auto"/>
              <w:jc w:val="both"/>
              <w:rPr>
                <w:rFonts w:ascii="Calibri" w:eastAsia="Times New Roman" w:hAnsi="Calibri" w:cs="Times New Roman"/>
                <w:color w:val="000000"/>
                <w:lang w:eastAsia="es-CO"/>
              </w:rPr>
            </w:pPr>
            <w:r w:rsidRPr="005D07B0">
              <w:rPr>
                <w:rFonts w:ascii="Calibri" w:eastAsia="Times New Roman" w:hAnsi="Calibri" w:cs="Times New Roman"/>
                <w:color w:val="000000"/>
                <w:lang w:eastAsia="es-CO"/>
              </w:rPr>
              <w:t>192</w:t>
            </w:r>
          </w:p>
        </w:tc>
        <w:tc>
          <w:tcPr>
            <w:tcW w:w="1240" w:type="dxa"/>
            <w:tcBorders>
              <w:top w:val="nil"/>
              <w:left w:val="nil"/>
              <w:bottom w:val="nil"/>
              <w:right w:val="nil"/>
            </w:tcBorders>
            <w:shd w:val="clear" w:color="000000" w:fill="FFFFFF"/>
            <w:noWrap/>
            <w:vAlign w:val="bottom"/>
            <w:hideMark/>
          </w:tcPr>
          <w:p w:rsidR="000D772D" w:rsidRPr="005D07B0" w:rsidRDefault="000D772D" w:rsidP="000D772D">
            <w:pPr>
              <w:spacing w:after="0" w:line="240" w:lineRule="auto"/>
              <w:jc w:val="both"/>
              <w:rPr>
                <w:rFonts w:ascii="Calibri" w:eastAsia="Times New Roman" w:hAnsi="Calibri" w:cs="Times New Roman"/>
                <w:color w:val="000000"/>
                <w:lang w:eastAsia="es-CO"/>
              </w:rPr>
            </w:pPr>
            <w:r w:rsidRPr="005D07B0">
              <w:rPr>
                <w:rFonts w:ascii="Calibri" w:eastAsia="Times New Roman" w:hAnsi="Calibri" w:cs="Times New Roman"/>
                <w:color w:val="000000"/>
                <w:lang w:eastAsia="es-CO"/>
              </w:rPr>
              <w:t>3%</w:t>
            </w:r>
          </w:p>
        </w:tc>
        <w:tc>
          <w:tcPr>
            <w:tcW w:w="1240" w:type="dxa"/>
            <w:tcBorders>
              <w:top w:val="nil"/>
              <w:left w:val="nil"/>
              <w:bottom w:val="nil"/>
              <w:right w:val="nil"/>
            </w:tcBorders>
            <w:shd w:val="clear" w:color="000000" w:fill="FFFFFF"/>
            <w:noWrap/>
            <w:vAlign w:val="bottom"/>
            <w:hideMark/>
          </w:tcPr>
          <w:p w:rsidR="000D772D" w:rsidRPr="005D07B0" w:rsidRDefault="000D772D" w:rsidP="000D772D">
            <w:pPr>
              <w:spacing w:after="0" w:line="240" w:lineRule="auto"/>
              <w:jc w:val="both"/>
              <w:rPr>
                <w:rFonts w:ascii="Calibri" w:eastAsia="Times New Roman" w:hAnsi="Calibri" w:cs="Times New Roman"/>
                <w:color w:val="000000"/>
                <w:lang w:eastAsia="es-CO"/>
              </w:rPr>
            </w:pPr>
            <w:r w:rsidRPr="005D07B0">
              <w:rPr>
                <w:rFonts w:ascii="Calibri" w:eastAsia="Times New Roman" w:hAnsi="Calibri" w:cs="Times New Roman"/>
                <w:color w:val="000000"/>
                <w:lang w:eastAsia="es-CO"/>
              </w:rPr>
              <w:t>51%</w:t>
            </w:r>
          </w:p>
        </w:tc>
      </w:tr>
      <w:tr w:rsidR="000D772D" w:rsidRPr="005D07B0" w:rsidTr="000D772D">
        <w:trPr>
          <w:trHeight w:val="288"/>
          <w:jc w:val="center"/>
        </w:trPr>
        <w:tc>
          <w:tcPr>
            <w:tcW w:w="1900" w:type="dxa"/>
            <w:tcBorders>
              <w:top w:val="nil"/>
              <w:left w:val="nil"/>
              <w:bottom w:val="nil"/>
              <w:right w:val="nil"/>
            </w:tcBorders>
            <w:shd w:val="clear" w:color="000000" w:fill="E2EFDA"/>
            <w:noWrap/>
            <w:vAlign w:val="bottom"/>
            <w:hideMark/>
          </w:tcPr>
          <w:p w:rsidR="000D772D" w:rsidRPr="005D07B0" w:rsidRDefault="000D772D" w:rsidP="000D772D">
            <w:pPr>
              <w:spacing w:after="0" w:line="240" w:lineRule="auto"/>
              <w:jc w:val="both"/>
              <w:rPr>
                <w:rFonts w:ascii="Calibri" w:eastAsia="Times New Roman" w:hAnsi="Calibri" w:cs="Times New Roman"/>
                <w:color w:val="000000"/>
                <w:lang w:eastAsia="es-CO"/>
              </w:rPr>
            </w:pPr>
            <w:r w:rsidRPr="005D07B0">
              <w:rPr>
                <w:rFonts w:ascii="Calibri" w:eastAsia="Times New Roman" w:hAnsi="Calibri" w:cs="Times New Roman"/>
                <w:color w:val="000000"/>
                <w:lang w:eastAsia="es-CO"/>
              </w:rPr>
              <w:t xml:space="preserve"> Itagüi </w:t>
            </w:r>
          </w:p>
        </w:tc>
        <w:tc>
          <w:tcPr>
            <w:tcW w:w="1240" w:type="dxa"/>
            <w:tcBorders>
              <w:top w:val="nil"/>
              <w:left w:val="nil"/>
              <w:bottom w:val="nil"/>
              <w:right w:val="nil"/>
            </w:tcBorders>
            <w:shd w:val="clear" w:color="000000" w:fill="FFFFFF"/>
            <w:noWrap/>
            <w:vAlign w:val="bottom"/>
            <w:hideMark/>
          </w:tcPr>
          <w:p w:rsidR="000D772D" w:rsidRPr="005D07B0" w:rsidRDefault="000D772D" w:rsidP="000D772D">
            <w:pPr>
              <w:spacing w:after="0" w:line="240" w:lineRule="auto"/>
              <w:jc w:val="both"/>
              <w:rPr>
                <w:rFonts w:ascii="Calibri" w:eastAsia="Times New Roman" w:hAnsi="Calibri" w:cs="Times New Roman"/>
                <w:color w:val="000000"/>
                <w:lang w:eastAsia="es-CO"/>
              </w:rPr>
            </w:pPr>
            <w:r w:rsidRPr="005D07B0">
              <w:rPr>
                <w:rFonts w:ascii="Calibri" w:eastAsia="Times New Roman" w:hAnsi="Calibri" w:cs="Times New Roman"/>
                <w:color w:val="000000"/>
                <w:lang w:eastAsia="es-CO"/>
              </w:rPr>
              <w:t>167</w:t>
            </w:r>
          </w:p>
        </w:tc>
        <w:tc>
          <w:tcPr>
            <w:tcW w:w="1240" w:type="dxa"/>
            <w:tcBorders>
              <w:top w:val="nil"/>
              <w:left w:val="nil"/>
              <w:bottom w:val="nil"/>
              <w:right w:val="nil"/>
            </w:tcBorders>
            <w:shd w:val="clear" w:color="000000" w:fill="FFFFFF"/>
            <w:noWrap/>
            <w:vAlign w:val="bottom"/>
            <w:hideMark/>
          </w:tcPr>
          <w:p w:rsidR="000D772D" w:rsidRPr="005D07B0" w:rsidRDefault="000D772D" w:rsidP="000D772D">
            <w:pPr>
              <w:spacing w:after="0" w:line="240" w:lineRule="auto"/>
              <w:jc w:val="both"/>
              <w:rPr>
                <w:rFonts w:ascii="Calibri" w:eastAsia="Times New Roman" w:hAnsi="Calibri" w:cs="Times New Roman"/>
                <w:color w:val="000000"/>
                <w:lang w:eastAsia="es-CO"/>
              </w:rPr>
            </w:pPr>
            <w:r w:rsidRPr="005D07B0">
              <w:rPr>
                <w:rFonts w:ascii="Calibri" w:eastAsia="Times New Roman" w:hAnsi="Calibri" w:cs="Times New Roman"/>
                <w:color w:val="000000"/>
                <w:lang w:eastAsia="es-CO"/>
              </w:rPr>
              <w:t>2%</w:t>
            </w:r>
          </w:p>
        </w:tc>
        <w:tc>
          <w:tcPr>
            <w:tcW w:w="1240" w:type="dxa"/>
            <w:tcBorders>
              <w:top w:val="nil"/>
              <w:left w:val="nil"/>
              <w:bottom w:val="nil"/>
              <w:right w:val="nil"/>
            </w:tcBorders>
            <w:shd w:val="clear" w:color="000000" w:fill="FFFFFF"/>
            <w:noWrap/>
            <w:vAlign w:val="bottom"/>
            <w:hideMark/>
          </w:tcPr>
          <w:p w:rsidR="000D772D" w:rsidRPr="005D07B0" w:rsidRDefault="000D772D" w:rsidP="000D772D">
            <w:pPr>
              <w:spacing w:after="0" w:line="240" w:lineRule="auto"/>
              <w:jc w:val="both"/>
              <w:rPr>
                <w:rFonts w:ascii="Calibri" w:eastAsia="Times New Roman" w:hAnsi="Calibri" w:cs="Times New Roman"/>
                <w:color w:val="000000"/>
                <w:lang w:eastAsia="es-CO"/>
              </w:rPr>
            </w:pPr>
            <w:r w:rsidRPr="005D07B0">
              <w:rPr>
                <w:rFonts w:ascii="Calibri" w:eastAsia="Times New Roman" w:hAnsi="Calibri" w:cs="Times New Roman"/>
                <w:color w:val="000000"/>
                <w:lang w:eastAsia="es-CO"/>
              </w:rPr>
              <w:t>54%</w:t>
            </w:r>
          </w:p>
        </w:tc>
      </w:tr>
      <w:tr w:rsidR="000D772D" w:rsidRPr="005D07B0" w:rsidTr="000D772D">
        <w:trPr>
          <w:trHeight w:val="288"/>
          <w:jc w:val="center"/>
        </w:trPr>
        <w:tc>
          <w:tcPr>
            <w:tcW w:w="1900" w:type="dxa"/>
            <w:tcBorders>
              <w:top w:val="nil"/>
              <w:left w:val="nil"/>
              <w:bottom w:val="nil"/>
              <w:right w:val="nil"/>
            </w:tcBorders>
            <w:shd w:val="clear" w:color="000000" w:fill="E2EFDA"/>
            <w:noWrap/>
            <w:vAlign w:val="bottom"/>
            <w:hideMark/>
          </w:tcPr>
          <w:p w:rsidR="000D772D" w:rsidRPr="005D07B0" w:rsidRDefault="000D772D" w:rsidP="000D772D">
            <w:pPr>
              <w:spacing w:after="0" w:line="240" w:lineRule="auto"/>
              <w:jc w:val="both"/>
              <w:rPr>
                <w:rFonts w:ascii="Calibri" w:eastAsia="Times New Roman" w:hAnsi="Calibri" w:cs="Times New Roman"/>
                <w:color w:val="000000"/>
                <w:lang w:eastAsia="es-CO"/>
              </w:rPr>
            </w:pPr>
            <w:r w:rsidRPr="005D07B0">
              <w:rPr>
                <w:rFonts w:ascii="Calibri" w:eastAsia="Times New Roman" w:hAnsi="Calibri" w:cs="Times New Roman"/>
                <w:color w:val="000000"/>
                <w:lang w:eastAsia="es-CO"/>
              </w:rPr>
              <w:t xml:space="preserve"> Bello </w:t>
            </w:r>
          </w:p>
        </w:tc>
        <w:tc>
          <w:tcPr>
            <w:tcW w:w="1240" w:type="dxa"/>
            <w:tcBorders>
              <w:top w:val="nil"/>
              <w:left w:val="nil"/>
              <w:bottom w:val="nil"/>
              <w:right w:val="nil"/>
            </w:tcBorders>
            <w:shd w:val="clear" w:color="000000" w:fill="FFFFFF"/>
            <w:noWrap/>
            <w:vAlign w:val="bottom"/>
            <w:hideMark/>
          </w:tcPr>
          <w:p w:rsidR="000D772D" w:rsidRPr="005D07B0" w:rsidRDefault="000D772D" w:rsidP="000D772D">
            <w:pPr>
              <w:spacing w:after="0" w:line="240" w:lineRule="auto"/>
              <w:jc w:val="both"/>
              <w:rPr>
                <w:rFonts w:ascii="Calibri" w:eastAsia="Times New Roman" w:hAnsi="Calibri" w:cs="Times New Roman"/>
                <w:color w:val="000000"/>
                <w:lang w:eastAsia="es-CO"/>
              </w:rPr>
            </w:pPr>
            <w:r w:rsidRPr="005D07B0">
              <w:rPr>
                <w:rFonts w:ascii="Calibri" w:eastAsia="Times New Roman" w:hAnsi="Calibri" w:cs="Times New Roman"/>
                <w:color w:val="000000"/>
                <w:lang w:eastAsia="es-CO"/>
              </w:rPr>
              <w:t>126</w:t>
            </w:r>
          </w:p>
        </w:tc>
        <w:tc>
          <w:tcPr>
            <w:tcW w:w="1240" w:type="dxa"/>
            <w:tcBorders>
              <w:top w:val="nil"/>
              <w:left w:val="nil"/>
              <w:bottom w:val="nil"/>
              <w:right w:val="nil"/>
            </w:tcBorders>
            <w:shd w:val="clear" w:color="000000" w:fill="FFFFFF"/>
            <w:noWrap/>
            <w:vAlign w:val="bottom"/>
            <w:hideMark/>
          </w:tcPr>
          <w:p w:rsidR="000D772D" w:rsidRPr="005D07B0" w:rsidRDefault="000D772D" w:rsidP="000D772D">
            <w:pPr>
              <w:spacing w:after="0" w:line="240" w:lineRule="auto"/>
              <w:jc w:val="both"/>
              <w:rPr>
                <w:rFonts w:ascii="Calibri" w:eastAsia="Times New Roman" w:hAnsi="Calibri" w:cs="Times New Roman"/>
                <w:color w:val="000000"/>
                <w:lang w:eastAsia="es-CO"/>
              </w:rPr>
            </w:pPr>
            <w:r w:rsidRPr="005D07B0">
              <w:rPr>
                <w:rFonts w:ascii="Calibri" w:eastAsia="Times New Roman" w:hAnsi="Calibri" w:cs="Times New Roman"/>
                <w:color w:val="000000"/>
                <w:lang w:eastAsia="es-CO"/>
              </w:rPr>
              <w:t>2%</w:t>
            </w:r>
          </w:p>
        </w:tc>
        <w:tc>
          <w:tcPr>
            <w:tcW w:w="1240" w:type="dxa"/>
            <w:tcBorders>
              <w:top w:val="nil"/>
              <w:left w:val="nil"/>
              <w:bottom w:val="nil"/>
              <w:right w:val="nil"/>
            </w:tcBorders>
            <w:shd w:val="clear" w:color="000000" w:fill="FFFFFF"/>
            <w:noWrap/>
            <w:vAlign w:val="bottom"/>
            <w:hideMark/>
          </w:tcPr>
          <w:p w:rsidR="000D772D" w:rsidRPr="005D07B0" w:rsidRDefault="000D772D" w:rsidP="000D772D">
            <w:pPr>
              <w:spacing w:after="0" w:line="240" w:lineRule="auto"/>
              <w:jc w:val="both"/>
              <w:rPr>
                <w:rFonts w:ascii="Calibri" w:eastAsia="Times New Roman" w:hAnsi="Calibri" w:cs="Times New Roman"/>
                <w:color w:val="000000"/>
                <w:lang w:eastAsia="es-CO"/>
              </w:rPr>
            </w:pPr>
            <w:r w:rsidRPr="005D07B0">
              <w:rPr>
                <w:rFonts w:ascii="Calibri" w:eastAsia="Times New Roman" w:hAnsi="Calibri" w:cs="Times New Roman"/>
                <w:color w:val="000000"/>
                <w:lang w:eastAsia="es-CO"/>
              </w:rPr>
              <w:t>55%</w:t>
            </w:r>
          </w:p>
        </w:tc>
      </w:tr>
      <w:tr w:rsidR="000D772D" w:rsidRPr="005D07B0" w:rsidTr="000D772D">
        <w:trPr>
          <w:trHeight w:val="288"/>
          <w:jc w:val="center"/>
        </w:trPr>
        <w:tc>
          <w:tcPr>
            <w:tcW w:w="1900" w:type="dxa"/>
            <w:tcBorders>
              <w:top w:val="nil"/>
              <w:left w:val="nil"/>
              <w:bottom w:val="nil"/>
              <w:right w:val="nil"/>
            </w:tcBorders>
            <w:shd w:val="clear" w:color="000000" w:fill="E2EFDA"/>
            <w:noWrap/>
            <w:vAlign w:val="bottom"/>
            <w:hideMark/>
          </w:tcPr>
          <w:p w:rsidR="000D772D" w:rsidRPr="005D07B0" w:rsidRDefault="000D772D" w:rsidP="000D772D">
            <w:pPr>
              <w:spacing w:after="0" w:line="240" w:lineRule="auto"/>
              <w:jc w:val="both"/>
              <w:rPr>
                <w:rFonts w:ascii="Calibri" w:eastAsia="Times New Roman" w:hAnsi="Calibri" w:cs="Times New Roman"/>
                <w:color w:val="000000"/>
                <w:lang w:eastAsia="es-CO"/>
              </w:rPr>
            </w:pPr>
            <w:r w:rsidRPr="005D07B0">
              <w:rPr>
                <w:rFonts w:ascii="Calibri" w:eastAsia="Times New Roman" w:hAnsi="Calibri" w:cs="Times New Roman"/>
                <w:color w:val="000000"/>
                <w:lang w:eastAsia="es-CO"/>
              </w:rPr>
              <w:t xml:space="preserve"> Envigado </w:t>
            </w:r>
          </w:p>
        </w:tc>
        <w:tc>
          <w:tcPr>
            <w:tcW w:w="1240" w:type="dxa"/>
            <w:tcBorders>
              <w:top w:val="nil"/>
              <w:left w:val="nil"/>
              <w:bottom w:val="nil"/>
              <w:right w:val="nil"/>
            </w:tcBorders>
            <w:shd w:val="clear" w:color="000000" w:fill="FFFFFF"/>
            <w:noWrap/>
            <w:vAlign w:val="bottom"/>
            <w:hideMark/>
          </w:tcPr>
          <w:p w:rsidR="000D772D" w:rsidRPr="005D07B0" w:rsidRDefault="000D772D" w:rsidP="000D772D">
            <w:pPr>
              <w:spacing w:after="0" w:line="240" w:lineRule="auto"/>
              <w:jc w:val="both"/>
              <w:rPr>
                <w:rFonts w:ascii="Calibri" w:eastAsia="Times New Roman" w:hAnsi="Calibri" w:cs="Times New Roman"/>
                <w:color w:val="000000"/>
                <w:lang w:eastAsia="es-CO"/>
              </w:rPr>
            </w:pPr>
            <w:r w:rsidRPr="005D07B0">
              <w:rPr>
                <w:rFonts w:ascii="Calibri" w:eastAsia="Times New Roman" w:hAnsi="Calibri" w:cs="Times New Roman"/>
                <w:color w:val="000000"/>
                <w:lang w:eastAsia="es-CO"/>
              </w:rPr>
              <w:t>112</w:t>
            </w:r>
          </w:p>
        </w:tc>
        <w:tc>
          <w:tcPr>
            <w:tcW w:w="1240" w:type="dxa"/>
            <w:tcBorders>
              <w:top w:val="nil"/>
              <w:left w:val="nil"/>
              <w:bottom w:val="nil"/>
              <w:right w:val="nil"/>
            </w:tcBorders>
            <w:shd w:val="clear" w:color="000000" w:fill="FFFFFF"/>
            <w:noWrap/>
            <w:vAlign w:val="bottom"/>
            <w:hideMark/>
          </w:tcPr>
          <w:p w:rsidR="000D772D" w:rsidRPr="005D07B0" w:rsidRDefault="000D772D" w:rsidP="000D772D">
            <w:pPr>
              <w:spacing w:after="0" w:line="240" w:lineRule="auto"/>
              <w:jc w:val="both"/>
              <w:rPr>
                <w:rFonts w:ascii="Calibri" w:eastAsia="Times New Roman" w:hAnsi="Calibri" w:cs="Times New Roman"/>
                <w:color w:val="000000"/>
                <w:lang w:eastAsia="es-CO"/>
              </w:rPr>
            </w:pPr>
            <w:r w:rsidRPr="005D07B0">
              <w:rPr>
                <w:rFonts w:ascii="Calibri" w:eastAsia="Times New Roman" w:hAnsi="Calibri" w:cs="Times New Roman"/>
                <w:color w:val="000000"/>
                <w:lang w:eastAsia="es-CO"/>
              </w:rPr>
              <w:t>2%</w:t>
            </w:r>
          </w:p>
        </w:tc>
        <w:tc>
          <w:tcPr>
            <w:tcW w:w="1240" w:type="dxa"/>
            <w:tcBorders>
              <w:top w:val="nil"/>
              <w:left w:val="nil"/>
              <w:bottom w:val="nil"/>
              <w:right w:val="nil"/>
            </w:tcBorders>
            <w:shd w:val="clear" w:color="000000" w:fill="FFFFFF"/>
            <w:noWrap/>
            <w:vAlign w:val="bottom"/>
            <w:hideMark/>
          </w:tcPr>
          <w:p w:rsidR="000D772D" w:rsidRPr="005D07B0" w:rsidRDefault="000D772D" w:rsidP="000D772D">
            <w:pPr>
              <w:spacing w:after="0" w:line="240" w:lineRule="auto"/>
              <w:jc w:val="both"/>
              <w:rPr>
                <w:rFonts w:ascii="Calibri" w:eastAsia="Times New Roman" w:hAnsi="Calibri" w:cs="Times New Roman"/>
                <w:color w:val="000000"/>
                <w:lang w:eastAsia="es-CO"/>
              </w:rPr>
            </w:pPr>
            <w:r w:rsidRPr="005D07B0">
              <w:rPr>
                <w:rFonts w:ascii="Calibri" w:eastAsia="Times New Roman" w:hAnsi="Calibri" w:cs="Times New Roman"/>
                <w:color w:val="000000"/>
                <w:lang w:eastAsia="es-CO"/>
              </w:rPr>
              <w:t>57%</w:t>
            </w:r>
          </w:p>
        </w:tc>
      </w:tr>
      <w:tr w:rsidR="000D772D" w:rsidRPr="005D07B0" w:rsidTr="000D772D">
        <w:trPr>
          <w:trHeight w:val="288"/>
          <w:jc w:val="center"/>
        </w:trPr>
        <w:tc>
          <w:tcPr>
            <w:tcW w:w="1900" w:type="dxa"/>
            <w:tcBorders>
              <w:top w:val="nil"/>
              <w:left w:val="nil"/>
              <w:bottom w:val="nil"/>
              <w:right w:val="nil"/>
            </w:tcBorders>
            <w:shd w:val="clear" w:color="000000" w:fill="E2EFDA"/>
            <w:noWrap/>
            <w:vAlign w:val="bottom"/>
            <w:hideMark/>
          </w:tcPr>
          <w:p w:rsidR="000D772D" w:rsidRPr="005D07B0" w:rsidRDefault="000D772D" w:rsidP="000D772D">
            <w:pPr>
              <w:spacing w:after="0" w:line="240" w:lineRule="auto"/>
              <w:jc w:val="both"/>
              <w:rPr>
                <w:rFonts w:ascii="Calibri" w:eastAsia="Times New Roman" w:hAnsi="Calibri" w:cs="Times New Roman"/>
                <w:color w:val="000000"/>
                <w:lang w:eastAsia="es-CO"/>
              </w:rPr>
            </w:pPr>
            <w:r w:rsidRPr="005D07B0">
              <w:rPr>
                <w:rFonts w:ascii="Calibri" w:eastAsia="Times New Roman" w:hAnsi="Calibri" w:cs="Times New Roman"/>
                <w:color w:val="000000"/>
                <w:lang w:eastAsia="es-CO"/>
              </w:rPr>
              <w:t xml:space="preserve"> Yumbo </w:t>
            </w:r>
          </w:p>
        </w:tc>
        <w:tc>
          <w:tcPr>
            <w:tcW w:w="1240" w:type="dxa"/>
            <w:tcBorders>
              <w:top w:val="nil"/>
              <w:left w:val="nil"/>
              <w:bottom w:val="nil"/>
              <w:right w:val="nil"/>
            </w:tcBorders>
            <w:shd w:val="clear" w:color="000000" w:fill="FFFFFF"/>
            <w:noWrap/>
            <w:vAlign w:val="bottom"/>
            <w:hideMark/>
          </w:tcPr>
          <w:p w:rsidR="000D772D" w:rsidRPr="005D07B0" w:rsidRDefault="000D772D" w:rsidP="000D772D">
            <w:pPr>
              <w:spacing w:after="0" w:line="240" w:lineRule="auto"/>
              <w:jc w:val="both"/>
              <w:rPr>
                <w:rFonts w:ascii="Calibri" w:eastAsia="Times New Roman" w:hAnsi="Calibri" w:cs="Times New Roman"/>
                <w:color w:val="000000"/>
                <w:lang w:eastAsia="es-CO"/>
              </w:rPr>
            </w:pPr>
            <w:r w:rsidRPr="005D07B0">
              <w:rPr>
                <w:rFonts w:ascii="Calibri" w:eastAsia="Times New Roman" w:hAnsi="Calibri" w:cs="Times New Roman"/>
                <w:color w:val="000000"/>
                <w:lang w:eastAsia="es-CO"/>
              </w:rPr>
              <w:t>97</w:t>
            </w:r>
          </w:p>
        </w:tc>
        <w:tc>
          <w:tcPr>
            <w:tcW w:w="1240" w:type="dxa"/>
            <w:tcBorders>
              <w:top w:val="nil"/>
              <w:left w:val="nil"/>
              <w:bottom w:val="nil"/>
              <w:right w:val="nil"/>
            </w:tcBorders>
            <w:shd w:val="clear" w:color="000000" w:fill="FFFFFF"/>
            <w:noWrap/>
            <w:vAlign w:val="bottom"/>
            <w:hideMark/>
          </w:tcPr>
          <w:p w:rsidR="000D772D" w:rsidRPr="005D07B0" w:rsidRDefault="000D772D" w:rsidP="000D772D">
            <w:pPr>
              <w:spacing w:after="0" w:line="240" w:lineRule="auto"/>
              <w:jc w:val="both"/>
              <w:rPr>
                <w:rFonts w:ascii="Calibri" w:eastAsia="Times New Roman" w:hAnsi="Calibri" w:cs="Times New Roman"/>
                <w:color w:val="000000"/>
                <w:lang w:eastAsia="es-CO"/>
              </w:rPr>
            </w:pPr>
            <w:r w:rsidRPr="005D07B0">
              <w:rPr>
                <w:rFonts w:ascii="Calibri" w:eastAsia="Times New Roman" w:hAnsi="Calibri" w:cs="Times New Roman"/>
                <w:color w:val="000000"/>
                <w:lang w:eastAsia="es-CO"/>
              </w:rPr>
              <w:t>1%</w:t>
            </w:r>
          </w:p>
        </w:tc>
        <w:tc>
          <w:tcPr>
            <w:tcW w:w="1240" w:type="dxa"/>
            <w:tcBorders>
              <w:top w:val="nil"/>
              <w:left w:val="nil"/>
              <w:bottom w:val="nil"/>
              <w:right w:val="nil"/>
            </w:tcBorders>
            <w:shd w:val="clear" w:color="000000" w:fill="FFFFFF"/>
            <w:noWrap/>
            <w:vAlign w:val="bottom"/>
            <w:hideMark/>
          </w:tcPr>
          <w:p w:rsidR="000D772D" w:rsidRPr="005D07B0" w:rsidRDefault="000D772D" w:rsidP="000D772D">
            <w:pPr>
              <w:spacing w:after="0" w:line="240" w:lineRule="auto"/>
              <w:jc w:val="both"/>
              <w:rPr>
                <w:rFonts w:ascii="Calibri" w:eastAsia="Times New Roman" w:hAnsi="Calibri" w:cs="Times New Roman"/>
                <w:color w:val="000000"/>
                <w:lang w:eastAsia="es-CO"/>
              </w:rPr>
            </w:pPr>
            <w:r w:rsidRPr="005D07B0">
              <w:rPr>
                <w:rFonts w:ascii="Calibri" w:eastAsia="Times New Roman" w:hAnsi="Calibri" w:cs="Times New Roman"/>
                <w:color w:val="000000"/>
                <w:lang w:eastAsia="es-CO"/>
              </w:rPr>
              <w:t>58%</w:t>
            </w:r>
          </w:p>
        </w:tc>
      </w:tr>
      <w:tr w:rsidR="000D772D" w:rsidRPr="005D07B0" w:rsidTr="000D772D">
        <w:trPr>
          <w:trHeight w:val="288"/>
          <w:jc w:val="center"/>
        </w:trPr>
        <w:tc>
          <w:tcPr>
            <w:tcW w:w="1900" w:type="dxa"/>
            <w:tcBorders>
              <w:top w:val="nil"/>
              <w:left w:val="nil"/>
              <w:bottom w:val="nil"/>
              <w:right w:val="nil"/>
            </w:tcBorders>
            <w:shd w:val="clear" w:color="000000" w:fill="E2EFDA"/>
            <w:noWrap/>
            <w:vAlign w:val="bottom"/>
            <w:hideMark/>
          </w:tcPr>
          <w:p w:rsidR="000D772D" w:rsidRPr="005D07B0" w:rsidRDefault="000D772D" w:rsidP="000D772D">
            <w:pPr>
              <w:spacing w:after="0" w:line="240" w:lineRule="auto"/>
              <w:jc w:val="both"/>
              <w:rPr>
                <w:rFonts w:ascii="Calibri" w:eastAsia="Times New Roman" w:hAnsi="Calibri" w:cs="Times New Roman"/>
                <w:color w:val="000000"/>
                <w:lang w:eastAsia="es-CO"/>
              </w:rPr>
            </w:pPr>
            <w:r w:rsidRPr="005D07B0">
              <w:rPr>
                <w:rFonts w:ascii="Calibri" w:eastAsia="Times New Roman" w:hAnsi="Calibri" w:cs="Times New Roman"/>
                <w:color w:val="000000"/>
                <w:lang w:eastAsia="es-CO"/>
              </w:rPr>
              <w:t xml:space="preserve"> Palmira </w:t>
            </w:r>
          </w:p>
        </w:tc>
        <w:tc>
          <w:tcPr>
            <w:tcW w:w="1240" w:type="dxa"/>
            <w:tcBorders>
              <w:top w:val="nil"/>
              <w:left w:val="nil"/>
              <w:bottom w:val="nil"/>
              <w:right w:val="nil"/>
            </w:tcBorders>
            <w:shd w:val="clear" w:color="000000" w:fill="FFFFFF"/>
            <w:noWrap/>
            <w:vAlign w:val="bottom"/>
            <w:hideMark/>
          </w:tcPr>
          <w:p w:rsidR="000D772D" w:rsidRPr="005D07B0" w:rsidRDefault="000D772D" w:rsidP="000D772D">
            <w:pPr>
              <w:spacing w:after="0" w:line="240" w:lineRule="auto"/>
              <w:jc w:val="both"/>
              <w:rPr>
                <w:rFonts w:ascii="Calibri" w:eastAsia="Times New Roman" w:hAnsi="Calibri" w:cs="Times New Roman"/>
                <w:color w:val="000000"/>
                <w:lang w:eastAsia="es-CO"/>
              </w:rPr>
            </w:pPr>
            <w:r w:rsidRPr="005D07B0">
              <w:rPr>
                <w:rFonts w:ascii="Calibri" w:eastAsia="Times New Roman" w:hAnsi="Calibri" w:cs="Times New Roman"/>
                <w:color w:val="000000"/>
                <w:lang w:eastAsia="es-CO"/>
              </w:rPr>
              <w:t>94</w:t>
            </w:r>
          </w:p>
        </w:tc>
        <w:tc>
          <w:tcPr>
            <w:tcW w:w="1240" w:type="dxa"/>
            <w:tcBorders>
              <w:top w:val="nil"/>
              <w:left w:val="nil"/>
              <w:bottom w:val="nil"/>
              <w:right w:val="nil"/>
            </w:tcBorders>
            <w:shd w:val="clear" w:color="000000" w:fill="FFFFFF"/>
            <w:noWrap/>
            <w:vAlign w:val="bottom"/>
            <w:hideMark/>
          </w:tcPr>
          <w:p w:rsidR="000D772D" w:rsidRPr="005D07B0" w:rsidRDefault="000D772D" w:rsidP="000D772D">
            <w:pPr>
              <w:spacing w:after="0" w:line="240" w:lineRule="auto"/>
              <w:jc w:val="both"/>
              <w:rPr>
                <w:rFonts w:ascii="Calibri" w:eastAsia="Times New Roman" w:hAnsi="Calibri" w:cs="Times New Roman"/>
                <w:color w:val="000000"/>
                <w:lang w:eastAsia="es-CO"/>
              </w:rPr>
            </w:pPr>
            <w:r w:rsidRPr="005D07B0">
              <w:rPr>
                <w:rFonts w:ascii="Calibri" w:eastAsia="Times New Roman" w:hAnsi="Calibri" w:cs="Times New Roman"/>
                <w:color w:val="000000"/>
                <w:lang w:eastAsia="es-CO"/>
              </w:rPr>
              <w:t>1%</w:t>
            </w:r>
          </w:p>
        </w:tc>
        <w:tc>
          <w:tcPr>
            <w:tcW w:w="1240" w:type="dxa"/>
            <w:tcBorders>
              <w:top w:val="nil"/>
              <w:left w:val="nil"/>
              <w:bottom w:val="nil"/>
              <w:right w:val="nil"/>
            </w:tcBorders>
            <w:shd w:val="clear" w:color="000000" w:fill="FFFFFF"/>
            <w:noWrap/>
            <w:vAlign w:val="bottom"/>
            <w:hideMark/>
          </w:tcPr>
          <w:p w:rsidR="000D772D" w:rsidRPr="005D07B0" w:rsidRDefault="000D772D" w:rsidP="000D772D">
            <w:pPr>
              <w:spacing w:after="0" w:line="240" w:lineRule="auto"/>
              <w:jc w:val="both"/>
              <w:rPr>
                <w:rFonts w:ascii="Calibri" w:eastAsia="Times New Roman" w:hAnsi="Calibri" w:cs="Times New Roman"/>
                <w:color w:val="000000"/>
                <w:lang w:eastAsia="es-CO"/>
              </w:rPr>
            </w:pPr>
            <w:r w:rsidRPr="005D07B0">
              <w:rPr>
                <w:rFonts w:ascii="Calibri" w:eastAsia="Times New Roman" w:hAnsi="Calibri" w:cs="Times New Roman"/>
                <w:color w:val="000000"/>
                <w:lang w:eastAsia="es-CO"/>
              </w:rPr>
              <w:t>60%</w:t>
            </w:r>
          </w:p>
        </w:tc>
      </w:tr>
      <w:tr w:rsidR="000D772D" w:rsidRPr="005D07B0" w:rsidTr="000D772D">
        <w:trPr>
          <w:trHeight w:val="288"/>
          <w:jc w:val="center"/>
        </w:trPr>
        <w:tc>
          <w:tcPr>
            <w:tcW w:w="1900" w:type="dxa"/>
            <w:tcBorders>
              <w:top w:val="nil"/>
              <w:left w:val="nil"/>
              <w:bottom w:val="nil"/>
              <w:right w:val="nil"/>
            </w:tcBorders>
            <w:shd w:val="clear" w:color="000000" w:fill="E2EFDA"/>
            <w:noWrap/>
            <w:vAlign w:val="bottom"/>
            <w:hideMark/>
          </w:tcPr>
          <w:p w:rsidR="000D772D" w:rsidRPr="005D07B0" w:rsidRDefault="000D772D" w:rsidP="000D772D">
            <w:pPr>
              <w:spacing w:after="0" w:line="240" w:lineRule="auto"/>
              <w:jc w:val="both"/>
              <w:rPr>
                <w:rFonts w:ascii="Calibri" w:eastAsia="Times New Roman" w:hAnsi="Calibri" w:cs="Times New Roman"/>
                <w:color w:val="000000"/>
                <w:lang w:eastAsia="es-CO"/>
              </w:rPr>
            </w:pPr>
            <w:r w:rsidRPr="005D07B0">
              <w:rPr>
                <w:rFonts w:ascii="Calibri" w:eastAsia="Times New Roman" w:hAnsi="Calibri" w:cs="Times New Roman"/>
                <w:color w:val="000000"/>
                <w:lang w:eastAsia="es-CO"/>
              </w:rPr>
              <w:t xml:space="preserve"> Villavicencio </w:t>
            </w:r>
          </w:p>
        </w:tc>
        <w:tc>
          <w:tcPr>
            <w:tcW w:w="1240" w:type="dxa"/>
            <w:tcBorders>
              <w:top w:val="nil"/>
              <w:left w:val="nil"/>
              <w:bottom w:val="nil"/>
              <w:right w:val="nil"/>
            </w:tcBorders>
            <w:shd w:val="clear" w:color="000000" w:fill="FFFFFF"/>
            <w:noWrap/>
            <w:vAlign w:val="bottom"/>
            <w:hideMark/>
          </w:tcPr>
          <w:p w:rsidR="000D772D" w:rsidRPr="005D07B0" w:rsidRDefault="000D772D" w:rsidP="000D772D">
            <w:pPr>
              <w:spacing w:after="0" w:line="240" w:lineRule="auto"/>
              <w:jc w:val="both"/>
              <w:rPr>
                <w:rFonts w:ascii="Calibri" w:eastAsia="Times New Roman" w:hAnsi="Calibri" w:cs="Times New Roman"/>
                <w:color w:val="000000"/>
                <w:lang w:eastAsia="es-CO"/>
              </w:rPr>
            </w:pPr>
            <w:r w:rsidRPr="005D07B0">
              <w:rPr>
                <w:rFonts w:ascii="Calibri" w:eastAsia="Times New Roman" w:hAnsi="Calibri" w:cs="Times New Roman"/>
                <w:color w:val="000000"/>
                <w:lang w:eastAsia="es-CO"/>
              </w:rPr>
              <w:t>94</w:t>
            </w:r>
          </w:p>
        </w:tc>
        <w:tc>
          <w:tcPr>
            <w:tcW w:w="1240" w:type="dxa"/>
            <w:tcBorders>
              <w:top w:val="nil"/>
              <w:left w:val="nil"/>
              <w:bottom w:val="nil"/>
              <w:right w:val="nil"/>
            </w:tcBorders>
            <w:shd w:val="clear" w:color="000000" w:fill="FFFFFF"/>
            <w:noWrap/>
            <w:vAlign w:val="bottom"/>
            <w:hideMark/>
          </w:tcPr>
          <w:p w:rsidR="000D772D" w:rsidRPr="005D07B0" w:rsidRDefault="000D772D" w:rsidP="000D772D">
            <w:pPr>
              <w:spacing w:after="0" w:line="240" w:lineRule="auto"/>
              <w:jc w:val="both"/>
              <w:rPr>
                <w:rFonts w:ascii="Calibri" w:eastAsia="Times New Roman" w:hAnsi="Calibri" w:cs="Times New Roman"/>
                <w:color w:val="000000"/>
                <w:lang w:eastAsia="es-CO"/>
              </w:rPr>
            </w:pPr>
            <w:r w:rsidRPr="005D07B0">
              <w:rPr>
                <w:rFonts w:ascii="Calibri" w:eastAsia="Times New Roman" w:hAnsi="Calibri" w:cs="Times New Roman"/>
                <w:color w:val="000000"/>
                <w:lang w:eastAsia="es-CO"/>
              </w:rPr>
              <w:t>1%</w:t>
            </w:r>
          </w:p>
        </w:tc>
        <w:tc>
          <w:tcPr>
            <w:tcW w:w="1240" w:type="dxa"/>
            <w:tcBorders>
              <w:top w:val="nil"/>
              <w:left w:val="nil"/>
              <w:bottom w:val="nil"/>
              <w:right w:val="nil"/>
            </w:tcBorders>
            <w:shd w:val="clear" w:color="000000" w:fill="FFFFFF"/>
            <w:noWrap/>
            <w:vAlign w:val="bottom"/>
            <w:hideMark/>
          </w:tcPr>
          <w:p w:rsidR="000D772D" w:rsidRPr="005D07B0" w:rsidRDefault="000D772D" w:rsidP="000D772D">
            <w:pPr>
              <w:spacing w:after="0" w:line="240" w:lineRule="auto"/>
              <w:jc w:val="both"/>
              <w:rPr>
                <w:rFonts w:ascii="Calibri" w:eastAsia="Times New Roman" w:hAnsi="Calibri" w:cs="Times New Roman"/>
                <w:color w:val="000000"/>
                <w:lang w:eastAsia="es-CO"/>
              </w:rPr>
            </w:pPr>
            <w:r w:rsidRPr="005D07B0">
              <w:rPr>
                <w:rFonts w:ascii="Calibri" w:eastAsia="Times New Roman" w:hAnsi="Calibri" w:cs="Times New Roman"/>
                <w:color w:val="000000"/>
                <w:lang w:eastAsia="es-CO"/>
              </w:rPr>
              <w:t>61%</w:t>
            </w:r>
          </w:p>
        </w:tc>
      </w:tr>
      <w:tr w:rsidR="000D772D" w:rsidRPr="005D07B0" w:rsidTr="000D772D">
        <w:trPr>
          <w:trHeight w:val="288"/>
          <w:jc w:val="center"/>
        </w:trPr>
        <w:tc>
          <w:tcPr>
            <w:tcW w:w="1900" w:type="dxa"/>
            <w:tcBorders>
              <w:top w:val="nil"/>
              <w:left w:val="nil"/>
              <w:bottom w:val="nil"/>
              <w:right w:val="nil"/>
            </w:tcBorders>
            <w:shd w:val="clear" w:color="000000" w:fill="E2EFDA"/>
            <w:noWrap/>
            <w:vAlign w:val="bottom"/>
            <w:hideMark/>
          </w:tcPr>
          <w:p w:rsidR="000D772D" w:rsidRPr="005D07B0" w:rsidRDefault="000D772D" w:rsidP="000D772D">
            <w:pPr>
              <w:spacing w:after="0" w:line="240" w:lineRule="auto"/>
              <w:jc w:val="both"/>
              <w:rPr>
                <w:rFonts w:ascii="Calibri" w:eastAsia="Times New Roman" w:hAnsi="Calibri" w:cs="Times New Roman"/>
                <w:color w:val="000000"/>
                <w:lang w:eastAsia="es-CO"/>
              </w:rPr>
            </w:pPr>
            <w:r w:rsidRPr="005D07B0">
              <w:rPr>
                <w:rFonts w:ascii="Calibri" w:eastAsia="Times New Roman" w:hAnsi="Calibri" w:cs="Times New Roman"/>
                <w:color w:val="000000"/>
                <w:lang w:eastAsia="es-CO"/>
              </w:rPr>
              <w:t xml:space="preserve"> Pereira </w:t>
            </w:r>
          </w:p>
        </w:tc>
        <w:tc>
          <w:tcPr>
            <w:tcW w:w="1240" w:type="dxa"/>
            <w:tcBorders>
              <w:top w:val="nil"/>
              <w:left w:val="nil"/>
              <w:bottom w:val="nil"/>
              <w:right w:val="nil"/>
            </w:tcBorders>
            <w:shd w:val="clear" w:color="000000" w:fill="FFFFFF"/>
            <w:noWrap/>
            <w:vAlign w:val="bottom"/>
            <w:hideMark/>
          </w:tcPr>
          <w:p w:rsidR="000D772D" w:rsidRPr="005D07B0" w:rsidRDefault="000D772D" w:rsidP="000D772D">
            <w:pPr>
              <w:spacing w:after="0" w:line="240" w:lineRule="auto"/>
              <w:jc w:val="both"/>
              <w:rPr>
                <w:rFonts w:ascii="Calibri" w:eastAsia="Times New Roman" w:hAnsi="Calibri" w:cs="Times New Roman"/>
                <w:color w:val="000000"/>
                <w:lang w:eastAsia="es-CO"/>
              </w:rPr>
            </w:pPr>
            <w:r w:rsidRPr="005D07B0">
              <w:rPr>
                <w:rFonts w:ascii="Calibri" w:eastAsia="Times New Roman" w:hAnsi="Calibri" w:cs="Times New Roman"/>
                <w:color w:val="000000"/>
                <w:lang w:eastAsia="es-CO"/>
              </w:rPr>
              <w:t>86</w:t>
            </w:r>
          </w:p>
        </w:tc>
        <w:tc>
          <w:tcPr>
            <w:tcW w:w="1240" w:type="dxa"/>
            <w:tcBorders>
              <w:top w:val="nil"/>
              <w:left w:val="nil"/>
              <w:bottom w:val="nil"/>
              <w:right w:val="nil"/>
            </w:tcBorders>
            <w:shd w:val="clear" w:color="000000" w:fill="FFFFFF"/>
            <w:noWrap/>
            <w:vAlign w:val="bottom"/>
            <w:hideMark/>
          </w:tcPr>
          <w:p w:rsidR="000D772D" w:rsidRPr="005D07B0" w:rsidRDefault="000D772D" w:rsidP="000D772D">
            <w:pPr>
              <w:spacing w:after="0" w:line="240" w:lineRule="auto"/>
              <w:jc w:val="both"/>
              <w:rPr>
                <w:rFonts w:ascii="Calibri" w:eastAsia="Times New Roman" w:hAnsi="Calibri" w:cs="Times New Roman"/>
                <w:color w:val="000000"/>
                <w:lang w:eastAsia="es-CO"/>
              </w:rPr>
            </w:pPr>
            <w:r w:rsidRPr="005D07B0">
              <w:rPr>
                <w:rFonts w:ascii="Calibri" w:eastAsia="Times New Roman" w:hAnsi="Calibri" w:cs="Times New Roman"/>
                <w:color w:val="000000"/>
                <w:lang w:eastAsia="es-CO"/>
              </w:rPr>
              <w:t>1%</w:t>
            </w:r>
          </w:p>
        </w:tc>
        <w:tc>
          <w:tcPr>
            <w:tcW w:w="1240" w:type="dxa"/>
            <w:tcBorders>
              <w:top w:val="nil"/>
              <w:left w:val="nil"/>
              <w:bottom w:val="nil"/>
              <w:right w:val="nil"/>
            </w:tcBorders>
            <w:shd w:val="clear" w:color="000000" w:fill="FFFFFF"/>
            <w:noWrap/>
            <w:vAlign w:val="bottom"/>
            <w:hideMark/>
          </w:tcPr>
          <w:p w:rsidR="000D772D" w:rsidRPr="005D07B0" w:rsidRDefault="000D772D" w:rsidP="000D772D">
            <w:pPr>
              <w:spacing w:after="0" w:line="240" w:lineRule="auto"/>
              <w:jc w:val="both"/>
              <w:rPr>
                <w:rFonts w:ascii="Calibri" w:eastAsia="Times New Roman" w:hAnsi="Calibri" w:cs="Times New Roman"/>
                <w:color w:val="000000"/>
                <w:lang w:eastAsia="es-CO"/>
              </w:rPr>
            </w:pPr>
            <w:r w:rsidRPr="005D07B0">
              <w:rPr>
                <w:rFonts w:ascii="Calibri" w:eastAsia="Times New Roman" w:hAnsi="Calibri" w:cs="Times New Roman"/>
                <w:color w:val="000000"/>
                <w:lang w:eastAsia="es-CO"/>
              </w:rPr>
              <w:t>62%</w:t>
            </w:r>
          </w:p>
        </w:tc>
      </w:tr>
      <w:tr w:rsidR="000D772D" w:rsidRPr="005D07B0" w:rsidTr="000D772D">
        <w:trPr>
          <w:trHeight w:val="288"/>
          <w:jc w:val="center"/>
        </w:trPr>
        <w:tc>
          <w:tcPr>
            <w:tcW w:w="1900" w:type="dxa"/>
            <w:tcBorders>
              <w:top w:val="nil"/>
              <w:left w:val="nil"/>
              <w:bottom w:val="nil"/>
              <w:right w:val="nil"/>
            </w:tcBorders>
            <w:shd w:val="clear" w:color="000000" w:fill="E2EFDA"/>
            <w:noWrap/>
            <w:vAlign w:val="bottom"/>
            <w:hideMark/>
          </w:tcPr>
          <w:p w:rsidR="000D772D" w:rsidRPr="005D07B0" w:rsidRDefault="000D772D" w:rsidP="000D772D">
            <w:pPr>
              <w:spacing w:after="0" w:line="240" w:lineRule="auto"/>
              <w:jc w:val="both"/>
              <w:rPr>
                <w:rFonts w:ascii="Calibri" w:eastAsia="Times New Roman" w:hAnsi="Calibri" w:cs="Times New Roman"/>
                <w:color w:val="000000"/>
                <w:lang w:eastAsia="es-CO"/>
              </w:rPr>
            </w:pPr>
            <w:r w:rsidRPr="005D07B0">
              <w:rPr>
                <w:rFonts w:ascii="Calibri" w:eastAsia="Times New Roman" w:hAnsi="Calibri" w:cs="Times New Roman"/>
                <w:color w:val="000000"/>
                <w:lang w:eastAsia="es-CO"/>
              </w:rPr>
              <w:t xml:space="preserve"> Ibagué </w:t>
            </w:r>
          </w:p>
        </w:tc>
        <w:tc>
          <w:tcPr>
            <w:tcW w:w="1240" w:type="dxa"/>
            <w:tcBorders>
              <w:top w:val="nil"/>
              <w:left w:val="nil"/>
              <w:bottom w:val="nil"/>
              <w:right w:val="nil"/>
            </w:tcBorders>
            <w:shd w:val="clear" w:color="000000" w:fill="FFFFFF"/>
            <w:noWrap/>
            <w:vAlign w:val="bottom"/>
            <w:hideMark/>
          </w:tcPr>
          <w:p w:rsidR="000D772D" w:rsidRPr="005D07B0" w:rsidRDefault="000D772D" w:rsidP="000D772D">
            <w:pPr>
              <w:spacing w:after="0" w:line="240" w:lineRule="auto"/>
              <w:jc w:val="both"/>
              <w:rPr>
                <w:rFonts w:ascii="Calibri" w:eastAsia="Times New Roman" w:hAnsi="Calibri" w:cs="Times New Roman"/>
                <w:color w:val="000000"/>
                <w:lang w:eastAsia="es-CO"/>
              </w:rPr>
            </w:pPr>
            <w:r w:rsidRPr="005D07B0">
              <w:rPr>
                <w:rFonts w:ascii="Calibri" w:eastAsia="Times New Roman" w:hAnsi="Calibri" w:cs="Times New Roman"/>
                <w:color w:val="000000"/>
                <w:lang w:eastAsia="es-CO"/>
              </w:rPr>
              <w:t>81</w:t>
            </w:r>
          </w:p>
        </w:tc>
        <w:tc>
          <w:tcPr>
            <w:tcW w:w="1240" w:type="dxa"/>
            <w:tcBorders>
              <w:top w:val="nil"/>
              <w:left w:val="nil"/>
              <w:bottom w:val="nil"/>
              <w:right w:val="nil"/>
            </w:tcBorders>
            <w:shd w:val="clear" w:color="000000" w:fill="FFFFFF"/>
            <w:noWrap/>
            <w:vAlign w:val="bottom"/>
            <w:hideMark/>
          </w:tcPr>
          <w:p w:rsidR="000D772D" w:rsidRPr="005D07B0" w:rsidRDefault="000D772D" w:rsidP="000D772D">
            <w:pPr>
              <w:spacing w:after="0" w:line="240" w:lineRule="auto"/>
              <w:jc w:val="both"/>
              <w:rPr>
                <w:rFonts w:ascii="Calibri" w:eastAsia="Times New Roman" w:hAnsi="Calibri" w:cs="Times New Roman"/>
                <w:color w:val="000000"/>
                <w:lang w:eastAsia="es-CO"/>
              </w:rPr>
            </w:pPr>
            <w:r w:rsidRPr="005D07B0">
              <w:rPr>
                <w:rFonts w:ascii="Calibri" w:eastAsia="Times New Roman" w:hAnsi="Calibri" w:cs="Times New Roman"/>
                <w:color w:val="000000"/>
                <w:lang w:eastAsia="es-CO"/>
              </w:rPr>
              <w:t>1%</w:t>
            </w:r>
          </w:p>
        </w:tc>
        <w:tc>
          <w:tcPr>
            <w:tcW w:w="1240" w:type="dxa"/>
            <w:tcBorders>
              <w:top w:val="nil"/>
              <w:left w:val="nil"/>
              <w:bottom w:val="nil"/>
              <w:right w:val="nil"/>
            </w:tcBorders>
            <w:shd w:val="clear" w:color="000000" w:fill="FFFFFF"/>
            <w:noWrap/>
            <w:vAlign w:val="bottom"/>
            <w:hideMark/>
          </w:tcPr>
          <w:p w:rsidR="000D772D" w:rsidRPr="005D07B0" w:rsidRDefault="000D772D" w:rsidP="000D772D">
            <w:pPr>
              <w:spacing w:after="0" w:line="240" w:lineRule="auto"/>
              <w:jc w:val="both"/>
              <w:rPr>
                <w:rFonts w:ascii="Calibri" w:eastAsia="Times New Roman" w:hAnsi="Calibri" w:cs="Times New Roman"/>
                <w:color w:val="000000"/>
                <w:lang w:eastAsia="es-CO"/>
              </w:rPr>
            </w:pPr>
            <w:r w:rsidRPr="005D07B0">
              <w:rPr>
                <w:rFonts w:ascii="Calibri" w:eastAsia="Times New Roman" w:hAnsi="Calibri" w:cs="Times New Roman"/>
                <w:color w:val="000000"/>
                <w:lang w:eastAsia="es-CO"/>
              </w:rPr>
              <w:t>63%</w:t>
            </w:r>
          </w:p>
        </w:tc>
      </w:tr>
      <w:tr w:rsidR="000D772D" w:rsidRPr="005D07B0" w:rsidTr="000D772D">
        <w:trPr>
          <w:trHeight w:val="288"/>
          <w:jc w:val="center"/>
        </w:trPr>
        <w:tc>
          <w:tcPr>
            <w:tcW w:w="1900" w:type="dxa"/>
            <w:tcBorders>
              <w:top w:val="nil"/>
              <w:left w:val="nil"/>
              <w:bottom w:val="nil"/>
              <w:right w:val="nil"/>
            </w:tcBorders>
            <w:shd w:val="clear" w:color="000000" w:fill="E2EFDA"/>
            <w:noWrap/>
            <w:vAlign w:val="bottom"/>
            <w:hideMark/>
          </w:tcPr>
          <w:p w:rsidR="000D772D" w:rsidRPr="005D07B0" w:rsidRDefault="000D772D" w:rsidP="000D772D">
            <w:pPr>
              <w:spacing w:after="0" w:line="240" w:lineRule="auto"/>
              <w:jc w:val="both"/>
              <w:rPr>
                <w:rFonts w:ascii="Calibri" w:eastAsia="Times New Roman" w:hAnsi="Calibri" w:cs="Times New Roman"/>
                <w:color w:val="000000"/>
                <w:lang w:eastAsia="es-CO"/>
              </w:rPr>
            </w:pPr>
            <w:r w:rsidRPr="005D07B0">
              <w:rPr>
                <w:rFonts w:ascii="Calibri" w:eastAsia="Times New Roman" w:hAnsi="Calibri" w:cs="Times New Roman"/>
                <w:color w:val="000000"/>
                <w:lang w:eastAsia="es-CO"/>
              </w:rPr>
              <w:t xml:space="preserve"> Armenia </w:t>
            </w:r>
          </w:p>
        </w:tc>
        <w:tc>
          <w:tcPr>
            <w:tcW w:w="1240" w:type="dxa"/>
            <w:tcBorders>
              <w:top w:val="nil"/>
              <w:left w:val="nil"/>
              <w:bottom w:val="nil"/>
              <w:right w:val="nil"/>
            </w:tcBorders>
            <w:shd w:val="clear" w:color="000000" w:fill="FFFFFF"/>
            <w:noWrap/>
            <w:vAlign w:val="bottom"/>
            <w:hideMark/>
          </w:tcPr>
          <w:p w:rsidR="000D772D" w:rsidRPr="005D07B0" w:rsidRDefault="000D772D" w:rsidP="000D772D">
            <w:pPr>
              <w:spacing w:after="0" w:line="240" w:lineRule="auto"/>
              <w:jc w:val="both"/>
              <w:rPr>
                <w:rFonts w:ascii="Calibri" w:eastAsia="Times New Roman" w:hAnsi="Calibri" w:cs="Times New Roman"/>
                <w:color w:val="000000"/>
                <w:lang w:eastAsia="es-CO"/>
              </w:rPr>
            </w:pPr>
            <w:r w:rsidRPr="005D07B0">
              <w:rPr>
                <w:rFonts w:ascii="Calibri" w:eastAsia="Times New Roman" w:hAnsi="Calibri" w:cs="Times New Roman"/>
                <w:color w:val="000000"/>
                <w:lang w:eastAsia="es-CO"/>
              </w:rPr>
              <w:t>81</w:t>
            </w:r>
          </w:p>
        </w:tc>
        <w:tc>
          <w:tcPr>
            <w:tcW w:w="1240" w:type="dxa"/>
            <w:tcBorders>
              <w:top w:val="nil"/>
              <w:left w:val="nil"/>
              <w:bottom w:val="nil"/>
              <w:right w:val="nil"/>
            </w:tcBorders>
            <w:shd w:val="clear" w:color="000000" w:fill="FFFFFF"/>
            <w:noWrap/>
            <w:vAlign w:val="bottom"/>
            <w:hideMark/>
          </w:tcPr>
          <w:p w:rsidR="000D772D" w:rsidRPr="005D07B0" w:rsidRDefault="000D772D" w:rsidP="000D772D">
            <w:pPr>
              <w:spacing w:after="0" w:line="240" w:lineRule="auto"/>
              <w:jc w:val="both"/>
              <w:rPr>
                <w:rFonts w:ascii="Calibri" w:eastAsia="Times New Roman" w:hAnsi="Calibri" w:cs="Times New Roman"/>
                <w:color w:val="000000"/>
                <w:lang w:eastAsia="es-CO"/>
              </w:rPr>
            </w:pPr>
            <w:r w:rsidRPr="005D07B0">
              <w:rPr>
                <w:rFonts w:ascii="Calibri" w:eastAsia="Times New Roman" w:hAnsi="Calibri" w:cs="Times New Roman"/>
                <w:color w:val="000000"/>
                <w:lang w:eastAsia="es-CO"/>
              </w:rPr>
              <w:t>1%</w:t>
            </w:r>
          </w:p>
        </w:tc>
        <w:tc>
          <w:tcPr>
            <w:tcW w:w="1240" w:type="dxa"/>
            <w:tcBorders>
              <w:top w:val="nil"/>
              <w:left w:val="nil"/>
              <w:bottom w:val="nil"/>
              <w:right w:val="nil"/>
            </w:tcBorders>
            <w:shd w:val="clear" w:color="000000" w:fill="FFFFFF"/>
            <w:noWrap/>
            <w:vAlign w:val="bottom"/>
            <w:hideMark/>
          </w:tcPr>
          <w:p w:rsidR="000D772D" w:rsidRPr="005D07B0" w:rsidRDefault="000D772D" w:rsidP="000D772D">
            <w:pPr>
              <w:spacing w:after="0" w:line="240" w:lineRule="auto"/>
              <w:jc w:val="both"/>
              <w:rPr>
                <w:rFonts w:ascii="Calibri" w:eastAsia="Times New Roman" w:hAnsi="Calibri" w:cs="Times New Roman"/>
                <w:color w:val="000000"/>
                <w:lang w:eastAsia="es-CO"/>
              </w:rPr>
            </w:pPr>
            <w:r w:rsidRPr="005D07B0">
              <w:rPr>
                <w:rFonts w:ascii="Calibri" w:eastAsia="Times New Roman" w:hAnsi="Calibri" w:cs="Times New Roman"/>
                <w:color w:val="000000"/>
                <w:lang w:eastAsia="es-CO"/>
              </w:rPr>
              <w:t>64%</w:t>
            </w:r>
          </w:p>
        </w:tc>
      </w:tr>
      <w:tr w:rsidR="000D772D" w:rsidRPr="005D07B0" w:rsidTr="000D772D">
        <w:trPr>
          <w:trHeight w:val="288"/>
          <w:jc w:val="center"/>
        </w:trPr>
        <w:tc>
          <w:tcPr>
            <w:tcW w:w="1900" w:type="dxa"/>
            <w:tcBorders>
              <w:top w:val="nil"/>
              <w:left w:val="nil"/>
              <w:bottom w:val="nil"/>
              <w:right w:val="nil"/>
            </w:tcBorders>
            <w:shd w:val="clear" w:color="000000" w:fill="E2EFDA"/>
            <w:noWrap/>
            <w:vAlign w:val="bottom"/>
            <w:hideMark/>
          </w:tcPr>
          <w:p w:rsidR="000D772D" w:rsidRPr="005D07B0" w:rsidRDefault="000D772D" w:rsidP="000D772D">
            <w:pPr>
              <w:spacing w:after="0" w:line="240" w:lineRule="auto"/>
              <w:jc w:val="both"/>
              <w:rPr>
                <w:rFonts w:ascii="Calibri" w:eastAsia="Times New Roman" w:hAnsi="Calibri" w:cs="Times New Roman"/>
                <w:color w:val="000000"/>
                <w:lang w:eastAsia="es-CO"/>
              </w:rPr>
            </w:pPr>
            <w:r w:rsidRPr="005D07B0">
              <w:rPr>
                <w:rFonts w:ascii="Calibri" w:eastAsia="Times New Roman" w:hAnsi="Calibri" w:cs="Times New Roman"/>
                <w:color w:val="000000"/>
                <w:lang w:eastAsia="es-CO"/>
              </w:rPr>
              <w:t xml:space="preserve"> Montería </w:t>
            </w:r>
          </w:p>
        </w:tc>
        <w:tc>
          <w:tcPr>
            <w:tcW w:w="1240" w:type="dxa"/>
            <w:tcBorders>
              <w:top w:val="nil"/>
              <w:left w:val="nil"/>
              <w:bottom w:val="nil"/>
              <w:right w:val="nil"/>
            </w:tcBorders>
            <w:shd w:val="clear" w:color="000000" w:fill="FFFFFF"/>
            <w:noWrap/>
            <w:vAlign w:val="bottom"/>
            <w:hideMark/>
          </w:tcPr>
          <w:p w:rsidR="000D772D" w:rsidRPr="005D07B0" w:rsidRDefault="000D772D" w:rsidP="000D772D">
            <w:pPr>
              <w:spacing w:after="0" w:line="240" w:lineRule="auto"/>
              <w:jc w:val="both"/>
              <w:rPr>
                <w:rFonts w:ascii="Calibri" w:eastAsia="Times New Roman" w:hAnsi="Calibri" w:cs="Times New Roman"/>
                <w:color w:val="000000"/>
                <w:lang w:eastAsia="es-CO"/>
              </w:rPr>
            </w:pPr>
            <w:r w:rsidRPr="005D07B0">
              <w:rPr>
                <w:rFonts w:ascii="Calibri" w:eastAsia="Times New Roman" w:hAnsi="Calibri" w:cs="Times New Roman"/>
                <w:color w:val="000000"/>
                <w:lang w:eastAsia="es-CO"/>
              </w:rPr>
              <w:t>72</w:t>
            </w:r>
          </w:p>
        </w:tc>
        <w:tc>
          <w:tcPr>
            <w:tcW w:w="1240" w:type="dxa"/>
            <w:tcBorders>
              <w:top w:val="nil"/>
              <w:left w:val="nil"/>
              <w:bottom w:val="nil"/>
              <w:right w:val="nil"/>
            </w:tcBorders>
            <w:shd w:val="clear" w:color="000000" w:fill="FFFFFF"/>
            <w:noWrap/>
            <w:vAlign w:val="bottom"/>
            <w:hideMark/>
          </w:tcPr>
          <w:p w:rsidR="000D772D" w:rsidRPr="005D07B0" w:rsidRDefault="000D772D" w:rsidP="000D772D">
            <w:pPr>
              <w:spacing w:after="0" w:line="240" w:lineRule="auto"/>
              <w:jc w:val="both"/>
              <w:rPr>
                <w:rFonts w:ascii="Calibri" w:eastAsia="Times New Roman" w:hAnsi="Calibri" w:cs="Times New Roman"/>
                <w:color w:val="000000"/>
                <w:lang w:eastAsia="es-CO"/>
              </w:rPr>
            </w:pPr>
            <w:r w:rsidRPr="005D07B0">
              <w:rPr>
                <w:rFonts w:ascii="Calibri" w:eastAsia="Times New Roman" w:hAnsi="Calibri" w:cs="Times New Roman"/>
                <w:color w:val="000000"/>
                <w:lang w:eastAsia="es-CO"/>
              </w:rPr>
              <w:t>1%</w:t>
            </w:r>
          </w:p>
        </w:tc>
        <w:tc>
          <w:tcPr>
            <w:tcW w:w="1240" w:type="dxa"/>
            <w:tcBorders>
              <w:top w:val="nil"/>
              <w:left w:val="nil"/>
              <w:bottom w:val="nil"/>
              <w:right w:val="nil"/>
            </w:tcBorders>
            <w:shd w:val="clear" w:color="000000" w:fill="FFFFFF"/>
            <w:noWrap/>
            <w:vAlign w:val="bottom"/>
            <w:hideMark/>
          </w:tcPr>
          <w:p w:rsidR="000D772D" w:rsidRPr="005D07B0" w:rsidRDefault="000D772D" w:rsidP="000D772D">
            <w:pPr>
              <w:spacing w:after="0" w:line="240" w:lineRule="auto"/>
              <w:jc w:val="both"/>
              <w:rPr>
                <w:rFonts w:ascii="Calibri" w:eastAsia="Times New Roman" w:hAnsi="Calibri" w:cs="Times New Roman"/>
                <w:color w:val="000000"/>
                <w:lang w:eastAsia="es-CO"/>
              </w:rPr>
            </w:pPr>
            <w:r w:rsidRPr="005D07B0">
              <w:rPr>
                <w:rFonts w:ascii="Calibri" w:eastAsia="Times New Roman" w:hAnsi="Calibri" w:cs="Times New Roman"/>
                <w:color w:val="000000"/>
                <w:lang w:eastAsia="es-CO"/>
              </w:rPr>
              <w:t>65%</w:t>
            </w:r>
          </w:p>
        </w:tc>
      </w:tr>
      <w:tr w:rsidR="000D772D" w:rsidRPr="005D07B0" w:rsidTr="000D772D">
        <w:trPr>
          <w:trHeight w:val="288"/>
          <w:jc w:val="center"/>
        </w:trPr>
        <w:tc>
          <w:tcPr>
            <w:tcW w:w="1900" w:type="dxa"/>
            <w:tcBorders>
              <w:top w:val="nil"/>
              <w:left w:val="nil"/>
              <w:bottom w:val="nil"/>
              <w:right w:val="nil"/>
            </w:tcBorders>
            <w:shd w:val="clear" w:color="000000" w:fill="E2EFDA"/>
            <w:noWrap/>
            <w:vAlign w:val="bottom"/>
            <w:hideMark/>
          </w:tcPr>
          <w:p w:rsidR="000D772D" w:rsidRPr="005D07B0" w:rsidRDefault="000D772D" w:rsidP="000D772D">
            <w:pPr>
              <w:spacing w:after="0" w:line="240" w:lineRule="auto"/>
              <w:jc w:val="both"/>
              <w:rPr>
                <w:rFonts w:ascii="Calibri" w:eastAsia="Times New Roman" w:hAnsi="Calibri" w:cs="Times New Roman"/>
                <w:color w:val="000000"/>
                <w:lang w:eastAsia="es-CO"/>
              </w:rPr>
            </w:pPr>
            <w:r w:rsidRPr="005D07B0">
              <w:rPr>
                <w:rFonts w:ascii="Calibri" w:eastAsia="Times New Roman" w:hAnsi="Calibri" w:cs="Times New Roman"/>
                <w:color w:val="000000"/>
                <w:lang w:eastAsia="es-CO"/>
              </w:rPr>
              <w:t xml:space="preserve"> Neiva </w:t>
            </w:r>
          </w:p>
        </w:tc>
        <w:tc>
          <w:tcPr>
            <w:tcW w:w="1240" w:type="dxa"/>
            <w:tcBorders>
              <w:top w:val="nil"/>
              <w:left w:val="nil"/>
              <w:bottom w:val="nil"/>
              <w:right w:val="nil"/>
            </w:tcBorders>
            <w:shd w:val="clear" w:color="000000" w:fill="FFFFFF"/>
            <w:noWrap/>
            <w:vAlign w:val="bottom"/>
            <w:hideMark/>
          </w:tcPr>
          <w:p w:rsidR="000D772D" w:rsidRPr="005D07B0" w:rsidRDefault="000D772D" w:rsidP="000D772D">
            <w:pPr>
              <w:spacing w:after="0" w:line="240" w:lineRule="auto"/>
              <w:jc w:val="both"/>
              <w:rPr>
                <w:rFonts w:ascii="Calibri" w:eastAsia="Times New Roman" w:hAnsi="Calibri" w:cs="Times New Roman"/>
                <w:color w:val="000000"/>
                <w:lang w:eastAsia="es-CO"/>
              </w:rPr>
            </w:pPr>
            <w:r w:rsidRPr="005D07B0">
              <w:rPr>
                <w:rFonts w:ascii="Calibri" w:eastAsia="Times New Roman" w:hAnsi="Calibri" w:cs="Times New Roman"/>
                <w:color w:val="000000"/>
                <w:lang w:eastAsia="es-CO"/>
              </w:rPr>
              <w:t>71</w:t>
            </w:r>
          </w:p>
        </w:tc>
        <w:tc>
          <w:tcPr>
            <w:tcW w:w="1240" w:type="dxa"/>
            <w:tcBorders>
              <w:top w:val="nil"/>
              <w:left w:val="nil"/>
              <w:bottom w:val="nil"/>
              <w:right w:val="nil"/>
            </w:tcBorders>
            <w:shd w:val="clear" w:color="000000" w:fill="FFFFFF"/>
            <w:noWrap/>
            <w:vAlign w:val="bottom"/>
            <w:hideMark/>
          </w:tcPr>
          <w:p w:rsidR="000D772D" w:rsidRPr="005D07B0" w:rsidRDefault="000D772D" w:rsidP="000D772D">
            <w:pPr>
              <w:spacing w:after="0" w:line="240" w:lineRule="auto"/>
              <w:jc w:val="both"/>
              <w:rPr>
                <w:rFonts w:ascii="Calibri" w:eastAsia="Times New Roman" w:hAnsi="Calibri" w:cs="Times New Roman"/>
                <w:color w:val="000000"/>
                <w:lang w:eastAsia="es-CO"/>
              </w:rPr>
            </w:pPr>
            <w:r w:rsidRPr="005D07B0">
              <w:rPr>
                <w:rFonts w:ascii="Calibri" w:eastAsia="Times New Roman" w:hAnsi="Calibri" w:cs="Times New Roman"/>
                <w:color w:val="000000"/>
                <w:lang w:eastAsia="es-CO"/>
              </w:rPr>
              <w:t>1%</w:t>
            </w:r>
          </w:p>
        </w:tc>
        <w:tc>
          <w:tcPr>
            <w:tcW w:w="1240" w:type="dxa"/>
            <w:tcBorders>
              <w:top w:val="nil"/>
              <w:left w:val="nil"/>
              <w:bottom w:val="nil"/>
              <w:right w:val="nil"/>
            </w:tcBorders>
            <w:shd w:val="clear" w:color="000000" w:fill="FFFFFF"/>
            <w:noWrap/>
            <w:vAlign w:val="bottom"/>
            <w:hideMark/>
          </w:tcPr>
          <w:p w:rsidR="000D772D" w:rsidRPr="005D07B0" w:rsidRDefault="000D772D" w:rsidP="000D772D">
            <w:pPr>
              <w:spacing w:after="0" w:line="240" w:lineRule="auto"/>
              <w:jc w:val="both"/>
              <w:rPr>
                <w:rFonts w:ascii="Calibri" w:eastAsia="Times New Roman" w:hAnsi="Calibri" w:cs="Times New Roman"/>
                <w:color w:val="000000"/>
                <w:lang w:eastAsia="es-CO"/>
              </w:rPr>
            </w:pPr>
            <w:r w:rsidRPr="005D07B0">
              <w:rPr>
                <w:rFonts w:ascii="Calibri" w:eastAsia="Times New Roman" w:hAnsi="Calibri" w:cs="Times New Roman"/>
                <w:color w:val="000000"/>
                <w:lang w:eastAsia="es-CO"/>
              </w:rPr>
              <w:t>66%</w:t>
            </w:r>
          </w:p>
        </w:tc>
      </w:tr>
      <w:tr w:rsidR="000D772D" w:rsidRPr="005D07B0" w:rsidTr="000D772D">
        <w:trPr>
          <w:trHeight w:val="288"/>
          <w:jc w:val="center"/>
        </w:trPr>
        <w:tc>
          <w:tcPr>
            <w:tcW w:w="1900" w:type="dxa"/>
            <w:tcBorders>
              <w:top w:val="nil"/>
              <w:left w:val="nil"/>
              <w:bottom w:val="nil"/>
              <w:right w:val="nil"/>
            </w:tcBorders>
            <w:shd w:val="clear" w:color="000000" w:fill="E2EFDA"/>
            <w:noWrap/>
            <w:vAlign w:val="bottom"/>
            <w:hideMark/>
          </w:tcPr>
          <w:p w:rsidR="000D772D" w:rsidRPr="005D07B0" w:rsidRDefault="000D772D" w:rsidP="000D772D">
            <w:pPr>
              <w:spacing w:after="0" w:line="240" w:lineRule="auto"/>
              <w:jc w:val="both"/>
              <w:rPr>
                <w:rFonts w:ascii="Calibri" w:eastAsia="Times New Roman" w:hAnsi="Calibri" w:cs="Times New Roman"/>
                <w:color w:val="000000"/>
                <w:lang w:eastAsia="es-CO"/>
              </w:rPr>
            </w:pPr>
            <w:r w:rsidRPr="005D07B0">
              <w:rPr>
                <w:rFonts w:ascii="Calibri" w:eastAsia="Times New Roman" w:hAnsi="Calibri" w:cs="Times New Roman"/>
                <w:color w:val="000000"/>
                <w:lang w:eastAsia="es-CO"/>
              </w:rPr>
              <w:t xml:space="preserve"> Barrancabermeja </w:t>
            </w:r>
          </w:p>
        </w:tc>
        <w:tc>
          <w:tcPr>
            <w:tcW w:w="1240" w:type="dxa"/>
            <w:tcBorders>
              <w:top w:val="nil"/>
              <w:left w:val="nil"/>
              <w:bottom w:val="nil"/>
              <w:right w:val="nil"/>
            </w:tcBorders>
            <w:shd w:val="clear" w:color="000000" w:fill="FFFFFF"/>
            <w:noWrap/>
            <w:vAlign w:val="bottom"/>
            <w:hideMark/>
          </w:tcPr>
          <w:p w:rsidR="000D772D" w:rsidRPr="005D07B0" w:rsidRDefault="000D772D" w:rsidP="000D772D">
            <w:pPr>
              <w:spacing w:after="0" w:line="240" w:lineRule="auto"/>
              <w:jc w:val="both"/>
              <w:rPr>
                <w:rFonts w:ascii="Calibri" w:eastAsia="Times New Roman" w:hAnsi="Calibri" w:cs="Times New Roman"/>
                <w:color w:val="000000"/>
                <w:lang w:eastAsia="es-CO"/>
              </w:rPr>
            </w:pPr>
            <w:r w:rsidRPr="005D07B0">
              <w:rPr>
                <w:rFonts w:ascii="Calibri" w:eastAsia="Times New Roman" w:hAnsi="Calibri" w:cs="Times New Roman"/>
                <w:color w:val="000000"/>
                <w:lang w:eastAsia="es-CO"/>
              </w:rPr>
              <w:t>62</w:t>
            </w:r>
          </w:p>
        </w:tc>
        <w:tc>
          <w:tcPr>
            <w:tcW w:w="1240" w:type="dxa"/>
            <w:tcBorders>
              <w:top w:val="nil"/>
              <w:left w:val="nil"/>
              <w:bottom w:val="nil"/>
              <w:right w:val="nil"/>
            </w:tcBorders>
            <w:shd w:val="clear" w:color="000000" w:fill="FFFFFF"/>
            <w:noWrap/>
            <w:vAlign w:val="bottom"/>
            <w:hideMark/>
          </w:tcPr>
          <w:p w:rsidR="000D772D" w:rsidRPr="005D07B0" w:rsidRDefault="000D772D" w:rsidP="000D772D">
            <w:pPr>
              <w:spacing w:after="0" w:line="240" w:lineRule="auto"/>
              <w:jc w:val="both"/>
              <w:rPr>
                <w:rFonts w:ascii="Calibri" w:eastAsia="Times New Roman" w:hAnsi="Calibri" w:cs="Times New Roman"/>
                <w:color w:val="000000"/>
                <w:lang w:eastAsia="es-CO"/>
              </w:rPr>
            </w:pPr>
            <w:r w:rsidRPr="005D07B0">
              <w:rPr>
                <w:rFonts w:ascii="Calibri" w:eastAsia="Times New Roman" w:hAnsi="Calibri" w:cs="Times New Roman"/>
                <w:color w:val="000000"/>
                <w:lang w:eastAsia="es-CO"/>
              </w:rPr>
              <w:t>1%</w:t>
            </w:r>
          </w:p>
        </w:tc>
        <w:tc>
          <w:tcPr>
            <w:tcW w:w="1240" w:type="dxa"/>
            <w:tcBorders>
              <w:top w:val="nil"/>
              <w:left w:val="nil"/>
              <w:bottom w:val="nil"/>
              <w:right w:val="nil"/>
            </w:tcBorders>
            <w:shd w:val="clear" w:color="000000" w:fill="FFFFFF"/>
            <w:noWrap/>
            <w:vAlign w:val="bottom"/>
            <w:hideMark/>
          </w:tcPr>
          <w:p w:rsidR="000D772D" w:rsidRPr="005D07B0" w:rsidRDefault="000D772D" w:rsidP="000D772D">
            <w:pPr>
              <w:spacing w:after="0" w:line="240" w:lineRule="auto"/>
              <w:jc w:val="both"/>
              <w:rPr>
                <w:rFonts w:ascii="Calibri" w:eastAsia="Times New Roman" w:hAnsi="Calibri" w:cs="Times New Roman"/>
                <w:color w:val="000000"/>
                <w:lang w:eastAsia="es-CO"/>
              </w:rPr>
            </w:pPr>
            <w:r w:rsidRPr="005D07B0">
              <w:rPr>
                <w:rFonts w:ascii="Calibri" w:eastAsia="Times New Roman" w:hAnsi="Calibri" w:cs="Times New Roman"/>
                <w:color w:val="000000"/>
                <w:lang w:eastAsia="es-CO"/>
              </w:rPr>
              <w:t>67%</w:t>
            </w:r>
          </w:p>
        </w:tc>
      </w:tr>
      <w:tr w:rsidR="000D772D" w:rsidRPr="005D07B0" w:rsidTr="000D772D">
        <w:trPr>
          <w:trHeight w:val="288"/>
          <w:jc w:val="center"/>
        </w:trPr>
        <w:tc>
          <w:tcPr>
            <w:tcW w:w="1900" w:type="dxa"/>
            <w:tcBorders>
              <w:top w:val="nil"/>
              <w:left w:val="nil"/>
              <w:bottom w:val="nil"/>
              <w:right w:val="nil"/>
            </w:tcBorders>
            <w:shd w:val="clear" w:color="000000" w:fill="E2EFDA"/>
            <w:noWrap/>
            <w:vAlign w:val="bottom"/>
            <w:hideMark/>
          </w:tcPr>
          <w:p w:rsidR="000D772D" w:rsidRPr="005D07B0" w:rsidRDefault="000D772D" w:rsidP="000D772D">
            <w:pPr>
              <w:spacing w:after="0" w:line="240" w:lineRule="auto"/>
              <w:jc w:val="both"/>
              <w:rPr>
                <w:rFonts w:ascii="Calibri" w:eastAsia="Times New Roman" w:hAnsi="Calibri" w:cs="Times New Roman"/>
                <w:color w:val="000000"/>
                <w:lang w:eastAsia="es-CO"/>
              </w:rPr>
            </w:pPr>
            <w:r w:rsidRPr="005D07B0">
              <w:rPr>
                <w:rFonts w:ascii="Calibri" w:eastAsia="Times New Roman" w:hAnsi="Calibri" w:cs="Times New Roman"/>
                <w:color w:val="000000"/>
                <w:lang w:eastAsia="es-CO"/>
              </w:rPr>
              <w:t xml:space="preserve"> Pasto  </w:t>
            </w:r>
          </w:p>
        </w:tc>
        <w:tc>
          <w:tcPr>
            <w:tcW w:w="1240" w:type="dxa"/>
            <w:tcBorders>
              <w:top w:val="nil"/>
              <w:left w:val="nil"/>
              <w:bottom w:val="nil"/>
              <w:right w:val="nil"/>
            </w:tcBorders>
            <w:shd w:val="clear" w:color="000000" w:fill="FFFFFF"/>
            <w:noWrap/>
            <w:vAlign w:val="bottom"/>
            <w:hideMark/>
          </w:tcPr>
          <w:p w:rsidR="000D772D" w:rsidRPr="005D07B0" w:rsidRDefault="000D772D" w:rsidP="000D772D">
            <w:pPr>
              <w:spacing w:after="0" w:line="240" w:lineRule="auto"/>
              <w:jc w:val="both"/>
              <w:rPr>
                <w:rFonts w:ascii="Calibri" w:eastAsia="Times New Roman" w:hAnsi="Calibri" w:cs="Times New Roman"/>
                <w:color w:val="000000"/>
                <w:lang w:eastAsia="es-CO"/>
              </w:rPr>
            </w:pPr>
            <w:r w:rsidRPr="005D07B0">
              <w:rPr>
                <w:rFonts w:ascii="Calibri" w:eastAsia="Times New Roman" w:hAnsi="Calibri" w:cs="Times New Roman"/>
                <w:color w:val="000000"/>
                <w:lang w:eastAsia="es-CO"/>
              </w:rPr>
              <w:t>62</w:t>
            </w:r>
          </w:p>
        </w:tc>
        <w:tc>
          <w:tcPr>
            <w:tcW w:w="1240" w:type="dxa"/>
            <w:tcBorders>
              <w:top w:val="nil"/>
              <w:left w:val="nil"/>
              <w:bottom w:val="nil"/>
              <w:right w:val="nil"/>
            </w:tcBorders>
            <w:shd w:val="clear" w:color="000000" w:fill="FFFFFF"/>
            <w:noWrap/>
            <w:vAlign w:val="bottom"/>
            <w:hideMark/>
          </w:tcPr>
          <w:p w:rsidR="000D772D" w:rsidRPr="005D07B0" w:rsidRDefault="000D772D" w:rsidP="000D772D">
            <w:pPr>
              <w:spacing w:after="0" w:line="240" w:lineRule="auto"/>
              <w:jc w:val="both"/>
              <w:rPr>
                <w:rFonts w:ascii="Calibri" w:eastAsia="Times New Roman" w:hAnsi="Calibri" w:cs="Times New Roman"/>
                <w:color w:val="000000"/>
                <w:lang w:eastAsia="es-CO"/>
              </w:rPr>
            </w:pPr>
            <w:r w:rsidRPr="005D07B0">
              <w:rPr>
                <w:rFonts w:ascii="Calibri" w:eastAsia="Times New Roman" w:hAnsi="Calibri" w:cs="Times New Roman"/>
                <w:color w:val="000000"/>
                <w:lang w:eastAsia="es-CO"/>
              </w:rPr>
              <w:t>1%</w:t>
            </w:r>
          </w:p>
        </w:tc>
        <w:tc>
          <w:tcPr>
            <w:tcW w:w="1240" w:type="dxa"/>
            <w:tcBorders>
              <w:top w:val="nil"/>
              <w:left w:val="nil"/>
              <w:bottom w:val="nil"/>
              <w:right w:val="nil"/>
            </w:tcBorders>
            <w:shd w:val="clear" w:color="000000" w:fill="FFFFFF"/>
            <w:noWrap/>
            <w:vAlign w:val="bottom"/>
            <w:hideMark/>
          </w:tcPr>
          <w:p w:rsidR="000D772D" w:rsidRPr="005D07B0" w:rsidRDefault="000D772D" w:rsidP="000D772D">
            <w:pPr>
              <w:spacing w:after="0" w:line="240" w:lineRule="auto"/>
              <w:jc w:val="both"/>
              <w:rPr>
                <w:rFonts w:ascii="Calibri" w:eastAsia="Times New Roman" w:hAnsi="Calibri" w:cs="Times New Roman"/>
                <w:color w:val="000000"/>
                <w:lang w:eastAsia="es-CO"/>
              </w:rPr>
            </w:pPr>
            <w:r w:rsidRPr="005D07B0">
              <w:rPr>
                <w:rFonts w:ascii="Calibri" w:eastAsia="Times New Roman" w:hAnsi="Calibri" w:cs="Times New Roman"/>
                <w:color w:val="000000"/>
                <w:lang w:eastAsia="es-CO"/>
              </w:rPr>
              <w:t>68%</w:t>
            </w:r>
          </w:p>
        </w:tc>
      </w:tr>
      <w:tr w:rsidR="000D772D" w:rsidRPr="005D07B0" w:rsidTr="000D772D">
        <w:trPr>
          <w:trHeight w:val="288"/>
          <w:jc w:val="center"/>
        </w:trPr>
        <w:tc>
          <w:tcPr>
            <w:tcW w:w="1900" w:type="dxa"/>
            <w:tcBorders>
              <w:top w:val="nil"/>
              <w:left w:val="nil"/>
              <w:bottom w:val="nil"/>
              <w:right w:val="nil"/>
            </w:tcBorders>
            <w:shd w:val="clear" w:color="000000" w:fill="E2EFDA"/>
            <w:noWrap/>
            <w:vAlign w:val="bottom"/>
            <w:hideMark/>
          </w:tcPr>
          <w:p w:rsidR="000D772D" w:rsidRPr="005D07B0" w:rsidRDefault="000D772D" w:rsidP="000D772D">
            <w:pPr>
              <w:spacing w:after="0" w:line="240" w:lineRule="auto"/>
              <w:jc w:val="both"/>
              <w:rPr>
                <w:rFonts w:ascii="Calibri" w:eastAsia="Times New Roman" w:hAnsi="Calibri" w:cs="Times New Roman"/>
                <w:color w:val="000000"/>
                <w:lang w:eastAsia="es-CO"/>
              </w:rPr>
            </w:pPr>
            <w:r w:rsidRPr="005D07B0">
              <w:rPr>
                <w:rFonts w:ascii="Calibri" w:eastAsia="Times New Roman" w:hAnsi="Calibri" w:cs="Times New Roman"/>
                <w:color w:val="000000"/>
                <w:lang w:eastAsia="es-CO"/>
              </w:rPr>
              <w:t xml:space="preserve"> Cúcuta </w:t>
            </w:r>
          </w:p>
        </w:tc>
        <w:tc>
          <w:tcPr>
            <w:tcW w:w="1240" w:type="dxa"/>
            <w:tcBorders>
              <w:top w:val="nil"/>
              <w:left w:val="nil"/>
              <w:bottom w:val="nil"/>
              <w:right w:val="nil"/>
            </w:tcBorders>
            <w:shd w:val="clear" w:color="000000" w:fill="FFFFFF"/>
            <w:noWrap/>
            <w:vAlign w:val="bottom"/>
            <w:hideMark/>
          </w:tcPr>
          <w:p w:rsidR="000D772D" w:rsidRPr="005D07B0" w:rsidRDefault="000D772D" w:rsidP="000D772D">
            <w:pPr>
              <w:spacing w:after="0" w:line="240" w:lineRule="auto"/>
              <w:jc w:val="both"/>
              <w:rPr>
                <w:rFonts w:ascii="Calibri" w:eastAsia="Times New Roman" w:hAnsi="Calibri" w:cs="Times New Roman"/>
                <w:color w:val="000000"/>
                <w:lang w:eastAsia="es-CO"/>
              </w:rPr>
            </w:pPr>
            <w:r w:rsidRPr="005D07B0">
              <w:rPr>
                <w:rFonts w:ascii="Calibri" w:eastAsia="Times New Roman" w:hAnsi="Calibri" w:cs="Times New Roman"/>
                <w:color w:val="000000"/>
                <w:lang w:eastAsia="es-CO"/>
              </w:rPr>
              <w:t>60</w:t>
            </w:r>
          </w:p>
        </w:tc>
        <w:tc>
          <w:tcPr>
            <w:tcW w:w="1240" w:type="dxa"/>
            <w:tcBorders>
              <w:top w:val="nil"/>
              <w:left w:val="nil"/>
              <w:bottom w:val="nil"/>
              <w:right w:val="nil"/>
            </w:tcBorders>
            <w:shd w:val="clear" w:color="000000" w:fill="FFFFFF"/>
            <w:noWrap/>
            <w:vAlign w:val="bottom"/>
            <w:hideMark/>
          </w:tcPr>
          <w:p w:rsidR="000D772D" w:rsidRPr="005D07B0" w:rsidRDefault="000D772D" w:rsidP="000D772D">
            <w:pPr>
              <w:spacing w:after="0" w:line="240" w:lineRule="auto"/>
              <w:jc w:val="both"/>
              <w:rPr>
                <w:rFonts w:ascii="Calibri" w:eastAsia="Times New Roman" w:hAnsi="Calibri" w:cs="Times New Roman"/>
                <w:color w:val="000000"/>
                <w:lang w:eastAsia="es-CO"/>
              </w:rPr>
            </w:pPr>
            <w:r w:rsidRPr="005D07B0">
              <w:rPr>
                <w:rFonts w:ascii="Calibri" w:eastAsia="Times New Roman" w:hAnsi="Calibri" w:cs="Times New Roman"/>
                <w:color w:val="000000"/>
                <w:lang w:eastAsia="es-CO"/>
              </w:rPr>
              <w:t>1%</w:t>
            </w:r>
          </w:p>
        </w:tc>
        <w:tc>
          <w:tcPr>
            <w:tcW w:w="1240" w:type="dxa"/>
            <w:tcBorders>
              <w:top w:val="nil"/>
              <w:left w:val="nil"/>
              <w:bottom w:val="nil"/>
              <w:right w:val="nil"/>
            </w:tcBorders>
            <w:shd w:val="clear" w:color="000000" w:fill="FFFFFF"/>
            <w:noWrap/>
            <w:vAlign w:val="bottom"/>
            <w:hideMark/>
          </w:tcPr>
          <w:p w:rsidR="000D772D" w:rsidRPr="005D07B0" w:rsidRDefault="000D772D" w:rsidP="000D772D">
            <w:pPr>
              <w:spacing w:after="0" w:line="240" w:lineRule="auto"/>
              <w:jc w:val="both"/>
              <w:rPr>
                <w:rFonts w:ascii="Calibri" w:eastAsia="Times New Roman" w:hAnsi="Calibri" w:cs="Times New Roman"/>
                <w:color w:val="000000"/>
                <w:lang w:eastAsia="es-CO"/>
              </w:rPr>
            </w:pPr>
            <w:r w:rsidRPr="005D07B0">
              <w:rPr>
                <w:rFonts w:ascii="Calibri" w:eastAsia="Times New Roman" w:hAnsi="Calibri" w:cs="Times New Roman"/>
                <w:color w:val="000000"/>
                <w:lang w:eastAsia="es-CO"/>
              </w:rPr>
              <w:t>69%</w:t>
            </w:r>
          </w:p>
        </w:tc>
      </w:tr>
      <w:tr w:rsidR="000D772D" w:rsidRPr="005D07B0" w:rsidTr="000D772D">
        <w:trPr>
          <w:trHeight w:val="288"/>
          <w:jc w:val="center"/>
        </w:trPr>
        <w:tc>
          <w:tcPr>
            <w:tcW w:w="1900" w:type="dxa"/>
            <w:tcBorders>
              <w:top w:val="nil"/>
              <w:left w:val="nil"/>
              <w:bottom w:val="nil"/>
              <w:right w:val="nil"/>
            </w:tcBorders>
            <w:shd w:val="clear" w:color="000000" w:fill="E2EFDA"/>
            <w:noWrap/>
            <w:vAlign w:val="bottom"/>
            <w:hideMark/>
          </w:tcPr>
          <w:p w:rsidR="000D772D" w:rsidRPr="005D07B0" w:rsidRDefault="000D772D" w:rsidP="000D772D">
            <w:pPr>
              <w:spacing w:after="0" w:line="240" w:lineRule="auto"/>
              <w:jc w:val="both"/>
              <w:rPr>
                <w:rFonts w:ascii="Calibri" w:eastAsia="Times New Roman" w:hAnsi="Calibri" w:cs="Times New Roman"/>
                <w:color w:val="000000"/>
                <w:lang w:eastAsia="es-CO"/>
              </w:rPr>
            </w:pPr>
            <w:r w:rsidRPr="005D07B0">
              <w:rPr>
                <w:rFonts w:ascii="Calibri" w:eastAsia="Times New Roman" w:hAnsi="Calibri" w:cs="Times New Roman"/>
                <w:color w:val="000000"/>
                <w:lang w:eastAsia="es-CO"/>
              </w:rPr>
              <w:t xml:space="preserve"> Resto de alcandías </w:t>
            </w:r>
          </w:p>
        </w:tc>
        <w:tc>
          <w:tcPr>
            <w:tcW w:w="1240" w:type="dxa"/>
            <w:tcBorders>
              <w:top w:val="nil"/>
              <w:left w:val="nil"/>
              <w:bottom w:val="nil"/>
              <w:right w:val="nil"/>
            </w:tcBorders>
            <w:shd w:val="clear" w:color="000000" w:fill="FFFFFF"/>
            <w:noWrap/>
            <w:vAlign w:val="bottom"/>
            <w:hideMark/>
          </w:tcPr>
          <w:p w:rsidR="000D772D" w:rsidRPr="005D07B0" w:rsidRDefault="000D772D" w:rsidP="000D772D">
            <w:pPr>
              <w:spacing w:after="0" w:line="240" w:lineRule="auto"/>
              <w:jc w:val="both"/>
              <w:rPr>
                <w:rFonts w:ascii="Calibri" w:eastAsia="Times New Roman" w:hAnsi="Calibri" w:cs="Times New Roman"/>
                <w:color w:val="000000"/>
                <w:lang w:eastAsia="es-CO"/>
              </w:rPr>
            </w:pPr>
            <w:r w:rsidRPr="005D07B0">
              <w:rPr>
                <w:rFonts w:ascii="Calibri" w:eastAsia="Times New Roman" w:hAnsi="Calibri" w:cs="Times New Roman"/>
                <w:color w:val="000000"/>
                <w:lang w:eastAsia="es-CO"/>
              </w:rPr>
              <w:t>2</w:t>
            </w:r>
            <w:r>
              <w:rPr>
                <w:rFonts w:ascii="Calibri" w:eastAsia="Times New Roman" w:hAnsi="Calibri" w:cs="Times New Roman"/>
                <w:color w:val="000000"/>
                <w:lang w:eastAsia="es-CO"/>
              </w:rPr>
              <w:t>,</w:t>
            </w:r>
            <w:r w:rsidRPr="005D07B0">
              <w:rPr>
                <w:rFonts w:ascii="Calibri" w:eastAsia="Times New Roman" w:hAnsi="Calibri" w:cs="Times New Roman"/>
                <w:color w:val="000000"/>
                <w:lang w:eastAsia="es-CO"/>
              </w:rPr>
              <w:t>263</w:t>
            </w:r>
          </w:p>
        </w:tc>
        <w:tc>
          <w:tcPr>
            <w:tcW w:w="1240" w:type="dxa"/>
            <w:tcBorders>
              <w:top w:val="nil"/>
              <w:left w:val="nil"/>
              <w:bottom w:val="nil"/>
              <w:right w:val="nil"/>
            </w:tcBorders>
            <w:shd w:val="clear" w:color="000000" w:fill="FFFFFF"/>
            <w:noWrap/>
            <w:vAlign w:val="bottom"/>
            <w:hideMark/>
          </w:tcPr>
          <w:p w:rsidR="000D772D" w:rsidRPr="005D07B0" w:rsidRDefault="000D772D" w:rsidP="000D772D">
            <w:pPr>
              <w:spacing w:after="0" w:line="240" w:lineRule="auto"/>
              <w:jc w:val="both"/>
              <w:rPr>
                <w:rFonts w:ascii="Calibri" w:eastAsia="Times New Roman" w:hAnsi="Calibri" w:cs="Times New Roman"/>
                <w:color w:val="000000"/>
                <w:lang w:eastAsia="es-CO"/>
              </w:rPr>
            </w:pPr>
            <w:r w:rsidRPr="005D07B0">
              <w:rPr>
                <w:rFonts w:ascii="Calibri" w:eastAsia="Times New Roman" w:hAnsi="Calibri" w:cs="Times New Roman"/>
                <w:color w:val="000000"/>
                <w:lang w:eastAsia="es-CO"/>
              </w:rPr>
              <w:t>31%</w:t>
            </w:r>
          </w:p>
        </w:tc>
        <w:tc>
          <w:tcPr>
            <w:tcW w:w="1240" w:type="dxa"/>
            <w:tcBorders>
              <w:top w:val="nil"/>
              <w:left w:val="nil"/>
              <w:bottom w:val="nil"/>
              <w:right w:val="nil"/>
            </w:tcBorders>
            <w:shd w:val="clear" w:color="000000" w:fill="FFFFFF"/>
            <w:noWrap/>
            <w:vAlign w:val="bottom"/>
            <w:hideMark/>
          </w:tcPr>
          <w:p w:rsidR="000D772D" w:rsidRPr="005D07B0" w:rsidRDefault="000D772D" w:rsidP="000D772D">
            <w:pPr>
              <w:spacing w:after="0" w:line="240" w:lineRule="auto"/>
              <w:jc w:val="both"/>
              <w:rPr>
                <w:rFonts w:ascii="Calibri" w:eastAsia="Times New Roman" w:hAnsi="Calibri" w:cs="Times New Roman"/>
                <w:color w:val="000000"/>
                <w:lang w:eastAsia="es-CO"/>
              </w:rPr>
            </w:pPr>
            <w:r w:rsidRPr="005D07B0">
              <w:rPr>
                <w:rFonts w:ascii="Calibri" w:eastAsia="Times New Roman" w:hAnsi="Calibri" w:cs="Times New Roman"/>
                <w:color w:val="000000"/>
                <w:lang w:eastAsia="es-CO"/>
              </w:rPr>
              <w:t>100%</w:t>
            </w:r>
          </w:p>
        </w:tc>
      </w:tr>
      <w:tr w:rsidR="000D772D" w:rsidRPr="005D07B0" w:rsidTr="000D772D">
        <w:trPr>
          <w:trHeight w:val="288"/>
          <w:jc w:val="center"/>
        </w:trPr>
        <w:tc>
          <w:tcPr>
            <w:tcW w:w="1900" w:type="dxa"/>
            <w:tcBorders>
              <w:top w:val="single" w:sz="4" w:space="0" w:color="548235"/>
              <w:left w:val="nil"/>
              <w:bottom w:val="single" w:sz="4" w:space="0" w:color="548235"/>
              <w:right w:val="nil"/>
            </w:tcBorders>
            <w:shd w:val="clear" w:color="000000" w:fill="FFFFFF"/>
            <w:noWrap/>
            <w:vAlign w:val="bottom"/>
            <w:hideMark/>
          </w:tcPr>
          <w:p w:rsidR="000D772D" w:rsidRPr="005D07B0" w:rsidRDefault="000D772D" w:rsidP="000D772D">
            <w:pPr>
              <w:spacing w:after="0" w:line="240" w:lineRule="auto"/>
              <w:jc w:val="both"/>
              <w:rPr>
                <w:rFonts w:ascii="Calibri" w:eastAsia="Times New Roman" w:hAnsi="Calibri" w:cs="Times New Roman"/>
                <w:b/>
                <w:bCs/>
                <w:color w:val="548235"/>
                <w:lang w:eastAsia="es-CO"/>
              </w:rPr>
            </w:pPr>
            <w:r w:rsidRPr="005D07B0">
              <w:rPr>
                <w:rFonts w:ascii="Calibri" w:eastAsia="Times New Roman" w:hAnsi="Calibri" w:cs="Times New Roman"/>
                <w:b/>
                <w:bCs/>
                <w:color w:val="548235"/>
                <w:lang w:eastAsia="es-CO"/>
              </w:rPr>
              <w:t xml:space="preserve"> Total </w:t>
            </w:r>
          </w:p>
        </w:tc>
        <w:tc>
          <w:tcPr>
            <w:tcW w:w="1240" w:type="dxa"/>
            <w:tcBorders>
              <w:top w:val="single" w:sz="4" w:space="0" w:color="548235"/>
              <w:left w:val="nil"/>
              <w:bottom w:val="single" w:sz="4" w:space="0" w:color="548235"/>
              <w:right w:val="nil"/>
            </w:tcBorders>
            <w:shd w:val="clear" w:color="000000" w:fill="FFFFFF"/>
            <w:noWrap/>
            <w:vAlign w:val="bottom"/>
            <w:hideMark/>
          </w:tcPr>
          <w:p w:rsidR="000D772D" w:rsidRPr="005D07B0" w:rsidRDefault="000D772D" w:rsidP="000D772D">
            <w:pPr>
              <w:spacing w:after="0" w:line="240" w:lineRule="auto"/>
              <w:jc w:val="both"/>
              <w:rPr>
                <w:rFonts w:ascii="Calibri" w:eastAsia="Times New Roman" w:hAnsi="Calibri" w:cs="Times New Roman"/>
                <w:b/>
                <w:bCs/>
                <w:color w:val="548235"/>
                <w:lang w:eastAsia="es-CO"/>
              </w:rPr>
            </w:pPr>
            <w:r w:rsidRPr="005D07B0">
              <w:rPr>
                <w:rFonts w:ascii="Calibri" w:eastAsia="Times New Roman" w:hAnsi="Calibri" w:cs="Times New Roman"/>
                <w:b/>
                <w:bCs/>
                <w:color w:val="548235"/>
                <w:lang w:eastAsia="es-CO"/>
              </w:rPr>
              <w:t>7</w:t>
            </w:r>
            <w:r>
              <w:rPr>
                <w:rFonts w:ascii="Calibri" w:eastAsia="Times New Roman" w:hAnsi="Calibri" w:cs="Times New Roman"/>
                <w:b/>
                <w:bCs/>
                <w:color w:val="548235"/>
                <w:lang w:eastAsia="es-CO"/>
              </w:rPr>
              <w:t>,</w:t>
            </w:r>
            <w:r w:rsidRPr="005D07B0">
              <w:rPr>
                <w:rFonts w:ascii="Calibri" w:eastAsia="Times New Roman" w:hAnsi="Calibri" w:cs="Times New Roman"/>
                <w:b/>
                <w:bCs/>
                <w:color w:val="548235"/>
                <w:lang w:eastAsia="es-CO"/>
              </w:rPr>
              <w:t>257</w:t>
            </w:r>
          </w:p>
        </w:tc>
        <w:tc>
          <w:tcPr>
            <w:tcW w:w="1240" w:type="dxa"/>
            <w:tcBorders>
              <w:top w:val="single" w:sz="4" w:space="0" w:color="548235"/>
              <w:left w:val="nil"/>
              <w:bottom w:val="single" w:sz="4" w:space="0" w:color="548235"/>
              <w:right w:val="nil"/>
            </w:tcBorders>
            <w:shd w:val="clear" w:color="000000" w:fill="FFFFFF"/>
            <w:noWrap/>
            <w:vAlign w:val="bottom"/>
            <w:hideMark/>
          </w:tcPr>
          <w:p w:rsidR="000D772D" w:rsidRPr="005D07B0" w:rsidRDefault="000D772D" w:rsidP="000D772D">
            <w:pPr>
              <w:spacing w:after="0" w:line="240" w:lineRule="auto"/>
              <w:jc w:val="both"/>
              <w:rPr>
                <w:rFonts w:ascii="Calibri" w:eastAsia="Times New Roman" w:hAnsi="Calibri" w:cs="Times New Roman"/>
                <w:b/>
                <w:bCs/>
                <w:color w:val="548235"/>
                <w:lang w:eastAsia="es-CO"/>
              </w:rPr>
            </w:pPr>
            <w:r w:rsidRPr="005D07B0">
              <w:rPr>
                <w:rFonts w:ascii="Calibri" w:eastAsia="Times New Roman" w:hAnsi="Calibri" w:cs="Times New Roman"/>
                <w:b/>
                <w:bCs/>
                <w:color w:val="548235"/>
                <w:lang w:eastAsia="es-CO"/>
              </w:rPr>
              <w:t>100%</w:t>
            </w:r>
          </w:p>
        </w:tc>
        <w:tc>
          <w:tcPr>
            <w:tcW w:w="1240" w:type="dxa"/>
            <w:tcBorders>
              <w:top w:val="single" w:sz="4" w:space="0" w:color="548235"/>
              <w:left w:val="nil"/>
              <w:bottom w:val="single" w:sz="4" w:space="0" w:color="548235"/>
              <w:right w:val="nil"/>
            </w:tcBorders>
            <w:shd w:val="clear" w:color="000000" w:fill="FFFFFF"/>
            <w:noWrap/>
            <w:vAlign w:val="bottom"/>
            <w:hideMark/>
          </w:tcPr>
          <w:p w:rsidR="000D772D" w:rsidRPr="005D07B0" w:rsidRDefault="000D772D" w:rsidP="000D772D">
            <w:pPr>
              <w:spacing w:after="0" w:line="240" w:lineRule="auto"/>
              <w:jc w:val="both"/>
              <w:rPr>
                <w:rFonts w:ascii="Calibri" w:eastAsia="Times New Roman" w:hAnsi="Calibri" w:cs="Times New Roman"/>
                <w:b/>
                <w:bCs/>
                <w:color w:val="548235"/>
                <w:lang w:eastAsia="es-CO"/>
              </w:rPr>
            </w:pPr>
            <w:r w:rsidRPr="005D07B0">
              <w:rPr>
                <w:rFonts w:ascii="Calibri" w:eastAsia="Times New Roman" w:hAnsi="Calibri" w:cs="Times New Roman"/>
                <w:b/>
                <w:bCs/>
                <w:color w:val="548235"/>
                <w:lang w:eastAsia="es-CO"/>
              </w:rPr>
              <w:t> </w:t>
            </w:r>
          </w:p>
        </w:tc>
      </w:tr>
    </w:tbl>
    <w:p w:rsidR="000D772D" w:rsidRDefault="000D772D" w:rsidP="000D772D">
      <w:pPr>
        <w:jc w:val="right"/>
      </w:pPr>
      <w:r>
        <w:t>Dirección General de Apoyo Fiscal (2016)</w:t>
      </w:r>
    </w:p>
    <w:p w:rsidR="000D772D" w:rsidRDefault="000D772D" w:rsidP="000D772D">
      <w:pPr>
        <w:jc w:val="both"/>
      </w:pPr>
      <w:r>
        <w:t xml:space="preserve">En materia de financiamiento a </w:t>
      </w:r>
      <w:r w:rsidR="00AB3B7B">
        <w:t>entidades</w:t>
      </w:r>
      <w:r>
        <w:t xml:space="preserve"> territoriales, el actor principal es la Financiera de Desarrollo Territorial SA (FINDETER). De acuerdo con la Ley 57 de 1989, el</w:t>
      </w:r>
      <w:r w:rsidRPr="0049360C">
        <w:t xml:space="preserve"> objeto social</w:t>
      </w:r>
      <w:r>
        <w:t xml:space="preserve"> de FINDETER es</w:t>
      </w:r>
      <w:r w:rsidRPr="0049360C">
        <w:t xml:space="preserve"> la promoción del desarrollo regional y urbano, mediante la financiación y la asesoría en lo referente a diseño, ejecución y administración de proyectos o programas de inversión relacionados con las siguientes actividades:</w:t>
      </w:r>
    </w:p>
    <w:p w:rsidR="000D772D" w:rsidRDefault="000D772D" w:rsidP="000D772D">
      <w:pPr>
        <w:pStyle w:val="Prrafodelista"/>
        <w:numPr>
          <w:ilvl w:val="0"/>
          <w:numId w:val="11"/>
        </w:numPr>
        <w:jc w:val="both"/>
      </w:pPr>
      <w:r>
        <w:t>Construcción, ampliación y reposición de infraestructura correspondiente al sector de agua potable y saneamiento básico.</w:t>
      </w:r>
    </w:p>
    <w:p w:rsidR="000D772D" w:rsidRDefault="000D772D" w:rsidP="000D772D">
      <w:pPr>
        <w:pStyle w:val="Prrafodelista"/>
        <w:numPr>
          <w:ilvl w:val="0"/>
          <w:numId w:val="11"/>
        </w:numPr>
        <w:jc w:val="both"/>
      </w:pPr>
      <w:r>
        <w:t xml:space="preserve">Construcción, pavimentación, mantenimiento y remodelación de vías urbanas </w:t>
      </w:r>
      <w:r w:rsidRPr="00D37BA8">
        <w:rPr>
          <w:b/>
        </w:rPr>
        <w:t>y rurales</w:t>
      </w:r>
      <w:r>
        <w:t>, soluciones de tráfico, semaforización.</w:t>
      </w:r>
    </w:p>
    <w:p w:rsidR="000D772D" w:rsidRDefault="000D772D" w:rsidP="000D772D">
      <w:pPr>
        <w:pStyle w:val="Prrafodelista"/>
        <w:numPr>
          <w:ilvl w:val="0"/>
          <w:numId w:val="11"/>
        </w:numPr>
        <w:jc w:val="both"/>
      </w:pPr>
      <w:r>
        <w:t xml:space="preserve">Construcción, pavimentación y conservación de carreteras nacionales, </w:t>
      </w:r>
      <w:r w:rsidRPr="00D37BA8">
        <w:rPr>
          <w:b/>
        </w:rPr>
        <w:t>departamentales, municipales, veredales, caminos vecinales</w:t>
      </w:r>
      <w:r>
        <w:t>, puentes, puertos marítimos y fluviales.</w:t>
      </w:r>
    </w:p>
    <w:p w:rsidR="000D772D" w:rsidRDefault="000D772D" w:rsidP="000D772D">
      <w:pPr>
        <w:pStyle w:val="Prrafodelista"/>
        <w:numPr>
          <w:ilvl w:val="0"/>
          <w:numId w:val="11"/>
        </w:numPr>
        <w:jc w:val="both"/>
      </w:pPr>
      <w:r>
        <w:t>Construcción, dotación y mantenimiento de la planta física de los planteles educativos de preescolar, básica primaria, básica secundaria y media vocacional.</w:t>
      </w:r>
    </w:p>
    <w:p w:rsidR="000D772D" w:rsidRDefault="000D772D" w:rsidP="000D772D">
      <w:pPr>
        <w:pStyle w:val="Prrafodelista"/>
        <w:numPr>
          <w:ilvl w:val="0"/>
          <w:numId w:val="11"/>
        </w:numPr>
        <w:jc w:val="both"/>
      </w:pPr>
      <w:r>
        <w:t>Construcción y dotación y mantenimiento de la planta física e instalaciones deportivas de Instituciones de Educación Superior.</w:t>
      </w:r>
    </w:p>
    <w:p w:rsidR="000D772D" w:rsidRDefault="000D772D" w:rsidP="000D772D">
      <w:pPr>
        <w:pStyle w:val="Prrafodelista"/>
        <w:numPr>
          <w:ilvl w:val="0"/>
          <w:numId w:val="11"/>
        </w:numPr>
        <w:jc w:val="both"/>
      </w:pPr>
      <w:r>
        <w:lastRenderedPageBreak/>
        <w:t xml:space="preserve">Construcción, dotación y mantenimiento de centrales de transporte de carga o pasajeros, terminales de transporte terrestre, aéreos, fluviales, marítimos o férreos. </w:t>
      </w:r>
    </w:p>
    <w:p w:rsidR="000D772D" w:rsidRDefault="000D772D" w:rsidP="000D772D">
      <w:pPr>
        <w:pStyle w:val="Prrafodelista"/>
        <w:numPr>
          <w:ilvl w:val="0"/>
          <w:numId w:val="11"/>
        </w:numPr>
        <w:jc w:val="both"/>
      </w:pPr>
      <w:r>
        <w:t>Construcción, remodelación, dotación y mantenimiento de la planta física de la red hospitalaria, puestos y centros de salud, centros de atención al menor y al adulto mayor.</w:t>
      </w:r>
    </w:p>
    <w:p w:rsidR="000D772D" w:rsidRPr="00D37BA8" w:rsidRDefault="000D772D" w:rsidP="000D772D">
      <w:pPr>
        <w:pStyle w:val="Prrafodelista"/>
        <w:numPr>
          <w:ilvl w:val="0"/>
          <w:numId w:val="11"/>
        </w:numPr>
        <w:jc w:val="both"/>
        <w:rPr>
          <w:b/>
        </w:rPr>
      </w:pPr>
      <w:r w:rsidRPr="00D37BA8">
        <w:rPr>
          <w:b/>
        </w:rPr>
        <w:t>Construcción, remodelación y dotación de centros de acopio, plazas de mercado, plazas de ferias y centros de comercialización.</w:t>
      </w:r>
    </w:p>
    <w:p w:rsidR="000D772D" w:rsidRDefault="000D772D" w:rsidP="000D772D">
      <w:pPr>
        <w:pStyle w:val="Prrafodelista"/>
        <w:numPr>
          <w:ilvl w:val="0"/>
          <w:numId w:val="11"/>
        </w:numPr>
        <w:jc w:val="both"/>
      </w:pPr>
      <w:r>
        <w:t>Recolección, tratamiento y disposición final de residuos sólidos.</w:t>
      </w:r>
    </w:p>
    <w:p w:rsidR="000D772D" w:rsidRDefault="000D772D" w:rsidP="000D772D">
      <w:pPr>
        <w:pStyle w:val="Prrafodelista"/>
        <w:numPr>
          <w:ilvl w:val="0"/>
          <w:numId w:val="11"/>
        </w:numPr>
        <w:jc w:val="both"/>
      </w:pPr>
      <w:r>
        <w:t>Construcción y remodelación de campos e instalaciones deportivas y parques.</w:t>
      </w:r>
    </w:p>
    <w:p w:rsidR="000D772D" w:rsidRPr="00D37BA8" w:rsidRDefault="000D772D" w:rsidP="000D772D">
      <w:pPr>
        <w:pStyle w:val="Prrafodelista"/>
        <w:numPr>
          <w:ilvl w:val="0"/>
          <w:numId w:val="11"/>
        </w:numPr>
        <w:jc w:val="both"/>
        <w:rPr>
          <w:b/>
        </w:rPr>
      </w:pPr>
      <w:r w:rsidRPr="00D37BA8">
        <w:rPr>
          <w:b/>
        </w:rPr>
        <w:t>Construcción, remodelación y dotación de mataderos o frigoríficos regionales.</w:t>
      </w:r>
    </w:p>
    <w:p w:rsidR="000D772D" w:rsidRDefault="000D772D" w:rsidP="000D772D">
      <w:pPr>
        <w:pStyle w:val="Prrafodelista"/>
        <w:numPr>
          <w:ilvl w:val="0"/>
          <w:numId w:val="11"/>
        </w:numPr>
        <w:jc w:val="both"/>
      </w:pPr>
      <w:r>
        <w:t>Ampliación de redes de telefonía urbana y rural.</w:t>
      </w:r>
    </w:p>
    <w:p w:rsidR="000D772D" w:rsidRDefault="000D772D" w:rsidP="000D772D">
      <w:pPr>
        <w:pStyle w:val="Prrafodelista"/>
        <w:numPr>
          <w:ilvl w:val="0"/>
          <w:numId w:val="11"/>
        </w:numPr>
        <w:jc w:val="both"/>
      </w:pPr>
      <w:r>
        <w:t>Adquisición o reposición de equipos de producción, emisión y transmisión que se requieran para la prestación del servicio público de televisión, así como las obras de infraestructura e instalaciones necesarias para su funcionamiento.</w:t>
      </w:r>
    </w:p>
    <w:p w:rsidR="000D772D" w:rsidRDefault="000D772D" w:rsidP="000D772D">
      <w:pPr>
        <w:pStyle w:val="Prrafodelista"/>
        <w:numPr>
          <w:ilvl w:val="0"/>
          <w:numId w:val="11"/>
        </w:numPr>
        <w:jc w:val="both"/>
      </w:pPr>
      <w:r>
        <w:t>Asistencia técnica a las entidades beneficiarias de financiación requeridas para adelantar adecuadamente las actividades anteriormente mencionadas.</w:t>
      </w:r>
    </w:p>
    <w:p w:rsidR="000D772D" w:rsidRDefault="000D772D" w:rsidP="000D772D">
      <w:pPr>
        <w:pStyle w:val="Prrafodelista"/>
        <w:numPr>
          <w:ilvl w:val="0"/>
          <w:numId w:val="11"/>
        </w:numPr>
        <w:jc w:val="both"/>
      </w:pPr>
      <w:r>
        <w:t>Financiación de contrapartidas para programas y proyectos relativos a las actividades de que tratan los literales precedentes, que hayan sido financiados conjuntamente por otras entidades públicas o privadas.</w:t>
      </w:r>
    </w:p>
    <w:p w:rsidR="000D772D" w:rsidRDefault="000D772D" w:rsidP="000D772D">
      <w:pPr>
        <w:pStyle w:val="Prrafodelista"/>
        <w:numPr>
          <w:ilvl w:val="0"/>
          <w:numId w:val="11"/>
        </w:numPr>
        <w:jc w:val="both"/>
      </w:pPr>
      <w:r>
        <w:t>Adquisición de equipos y realización de operaciones de mantenimiento, relacionadas con las actividades enumeradas en este acápite.</w:t>
      </w:r>
    </w:p>
    <w:p w:rsidR="000D772D" w:rsidRDefault="000D772D" w:rsidP="000D772D">
      <w:pPr>
        <w:pStyle w:val="Prrafodelista"/>
        <w:numPr>
          <w:ilvl w:val="0"/>
          <w:numId w:val="11"/>
        </w:numPr>
        <w:jc w:val="both"/>
      </w:pPr>
      <w:r>
        <w:t>Financiación del Plan Sectorial de Turismo.</w:t>
      </w:r>
    </w:p>
    <w:p w:rsidR="000D772D" w:rsidRDefault="000D772D" w:rsidP="000D772D">
      <w:pPr>
        <w:pStyle w:val="Prrafodelista"/>
        <w:numPr>
          <w:ilvl w:val="0"/>
          <w:numId w:val="11"/>
        </w:numPr>
        <w:jc w:val="both"/>
      </w:pPr>
      <w:r>
        <w:t>Adquisición y mantenimiento de maquinaria y equipo.</w:t>
      </w:r>
    </w:p>
    <w:p w:rsidR="000D772D" w:rsidRDefault="000D772D" w:rsidP="000D772D">
      <w:pPr>
        <w:pStyle w:val="Prrafodelista"/>
        <w:numPr>
          <w:ilvl w:val="0"/>
          <w:numId w:val="11"/>
        </w:numPr>
        <w:jc w:val="both"/>
      </w:pPr>
      <w:r>
        <w:t>Diseño, construcción, mantenimiento y dotación de proyectos destinados a mitigar o compensar impactos ambientales asociados a todo tipo de actividad económica.</w:t>
      </w:r>
    </w:p>
    <w:p w:rsidR="000D772D" w:rsidRDefault="000D772D" w:rsidP="000D772D">
      <w:pPr>
        <w:pStyle w:val="Prrafodelista"/>
        <w:numPr>
          <w:ilvl w:val="0"/>
          <w:numId w:val="11"/>
        </w:numPr>
        <w:jc w:val="both"/>
      </w:pPr>
      <w:r>
        <w:t>Apoyo al saneamiento fiscal de entidades nacionales, territoriales y sus descentralizadas.</w:t>
      </w:r>
    </w:p>
    <w:p w:rsidR="000D772D" w:rsidRDefault="000D772D" w:rsidP="000D772D">
      <w:pPr>
        <w:pStyle w:val="Prrafodelista"/>
        <w:numPr>
          <w:ilvl w:val="0"/>
          <w:numId w:val="11"/>
        </w:numPr>
        <w:jc w:val="both"/>
      </w:pPr>
      <w:r>
        <w:t>Financiamiento de inversiones en cadenas productivas relacionadas con la producción de materiales de construcción, industrias asociadas al transporte e industria editorial.</w:t>
      </w:r>
    </w:p>
    <w:p w:rsidR="000D772D" w:rsidRDefault="000D772D" w:rsidP="000D772D">
      <w:pPr>
        <w:pStyle w:val="Prrafodelista"/>
        <w:numPr>
          <w:ilvl w:val="0"/>
          <w:numId w:val="11"/>
        </w:numPr>
        <w:jc w:val="both"/>
      </w:pPr>
      <w:r>
        <w:t>Otros rubros que sean calificados por la Junta Directiva de FINDETER.</w:t>
      </w:r>
    </w:p>
    <w:p w:rsidR="000D772D" w:rsidRDefault="000D772D" w:rsidP="000D772D">
      <w:pPr>
        <w:jc w:val="both"/>
      </w:pPr>
      <w:r>
        <w:t>El Fondo para el Financiamiento del Sector Agropecuario (FINAGRO) es otra fuente de financiamiento para estos actores. Como lo expone la DDT (2004), dentro de la oferta de financiamiento con que contaba una entidad territorial se encontraban los Programas Especiales de Fomento y Desarrollo Agropecuario, cuya ejecución se adelantaba bajo esquemas de agricultura por contrato, en el marco del crédito asociativo. El Crédito Asociativo era un esquema de financiación de actividades productivas desarrolladas por un grupo de productores que se asocian para su ejecución, buscando acceder a: tecnologías apropiadas, economías de escala en compra de insumos y pago de servicios necesarios en el proceso de producción y comercialización, manejar volúmenes importantes de producción para una comercialización segura con calidades y mecanismos de fijación de precios definidos antes de iniciar el proceso productivo, una administración centralizada con sistemas adecuados y transparentes para el costeo de las unidades de producción. La integración puede ser realizada bajo las siguientes modalidades:</w:t>
      </w:r>
    </w:p>
    <w:p w:rsidR="000D772D" w:rsidRDefault="000D772D" w:rsidP="000D772D">
      <w:pPr>
        <w:pStyle w:val="Prrafodelista"/>
        <w:numPr>
          <w:ilvl w:val="0"/>
          <w:numId w:val="6"/>
        </w:numPr>
        <w:jc w:val="both"/>
      </w:pPr>
      <w:r>
        <w:t>Agremiaciones</w:t>
      </w:r>
    </w:p>
    <w:p w:rsidR="000D772D" w:rsidRDefault="000D772D" w:rsidP="000D772D">
      <w:pPr>
        <w:pStyle w:val="Prrafodelista"/>
        <w:numPr>
          <w:ilvl w:val="0"/>
          <w:numId w:val="6"/>
        </w:numPr>
        <w:jc w:val="both"/>
      </w:pPr>
      <w:r>
        <w:t>Asociaciones o cooperativas de productores</w:t>
      </w:r>
    </w:p>
    <w:p w:rsidR="000D772D" w:rsidRDefault="000D772D" w:rsidP="000D772D">
      <w:pPr>
        <w:pStyle w:val="Prrafodelista"/>
        <w:numPr>
          <w:ilvl w:val="0"/>
          <w:numId w:val="6"/>
        </w:numPr>
        <w:jc w:val="both"/>
      </w:pPr>
      <w:r>
        <w:t>Empresa privada (comercializadores o agroindustriales)</w:t>
      </w:r>
    </w:p>
    <w:p w:rsidR="000D772D" w:rsidRDefault="000D772D" w:rsidP="000D772D">
      <w:pPr>
        <w:pStyle w:val="Prrafodelista"/>
        <w:numPr>
          <w:ilvl w:val="0"/>
          <w:numId w:val="6"/>
        </w:numPr>
        <w:jc w:val="both"/>
      </w:pPr>
      <w:r>
        <w:lastRenderedPageBreak/>
        <w:t>El sector público (</w:t>
      </w:r>
      <w:r w:rsidR="00AB3B7B">
        <w:t>entidades</w:t>
      </w:r>
      <w:r>
        <w:t xml:space="preserve"> territoriales, empresas industriales o comerciales del Estado, fondos de fomento).</w:t>
      </w:r>
    </w:p>
    <w:p w:rsidR="000D772D" w:rsidRDefault="000D772D" w:rsidP="000D772D">
      <w:pPr>
        <w:jc w:val="both"/>
      </w:pPr>
      <w:r>
        <w:t>La integración se fundamentaba en la existencia de contratos de producción y prenda sin tenencia suscritos entre un integrador (asociaciones, agremiaciones o cooperativas de productores, empresa privada, entes del sector público) y los productores, así como contratos o convenios de comercialización entre los productores o el integrador y el comprador o compradores de materias primas. Bajo esta modalidad de crédito se podía acceder a recursos para la financiación de proyectos del sector agropecuario, previo cumplimiento de los requisitos exigidos por FINAGRO y el intermediario financiero y bajo el esquema asociativo mencionado.</w:t>
      </w:r>
    </w:p>
    <w:p w:rsidR="000D772D" w:rsidRDefault="000D772D" w:rsidP="000D772D">
      <w:pPr>
        <w:jc w:val="both"/>
      </w:pPr>
      <w:r>
        <w:t xml:space="preserve">Entre el 2000 y el 2012 FINAGRO registró 161 créditos que </w:t>
      </w:r>
      <w:r w:rsidRPr="00846E89">
        <w:t>beneficiaron a 70 municipios</w:t>
      </w:r>
      <w:r w:rsidRPr="00846E89">
        <w:rPr>
          <w:rStyle w:val="Refdenotaalpie"/>
        </w:rPr>
        <w:footnoteReference w:id="9"/>
      </w:r>
      <w:r w:rsidRPr="00846E89">
        <w:t>. Si bien</w:t>
      </w:r>
      <w:r>
        <w:t xml:space="preserve"> las cifras son bajas, estas presentan una tendencia a la baja, siendo el 2001 el año donde más operaciones para entes se presentaron (22), pero registrando solo dos operaciones en 2011 y 2012, últimos años en que se presentaron estas operaciones. La mayoría de estas operaciones fueron para maquinaria pesada (53), especialmente para tractores (41), sin embargo, también se presentaron operaciones para múltiples cultivos como fue el caso de café (33), maíz (12) y algodón (11). En materia de garantías, el 43% accedió a una garantía del FAG, teniendo la mayoría de estas (67%) una cobertura del 80%.</w:t>
      </w:r>
    </w:p>
    <w:p w:rsidR="000D772D" w:rsidRPr="00020260" w:rsidRDefault="000D772D" w:rsidP="000D772D">
      <w:pPr>
        <w:pStyle w:val="Descripcin"/>
        <w:keepNext/>
        <w:rPr>
          <w:b/>
          <w:i w:val="0"/>
          <w:sz w:val="22"/>
        </w:rPr>
      </w:pPr>
      <w:r w:rsidRPr="00020260">
        <w:rPr>
          <w:b/>
          <w:i w:val="0"/>
          <w:sz w:val="22"/>
        </w:rPr>
        <w:t xml:space="preserve">Gráfico </w:t>
      </w:r>
      <w:r>
        <w:rPr>
          <w:b/>
          <w:i w:val="0"/>
          <w:sz w:val="22"/>
        </w:rPr>
        <w:fldChar w:fldCharType="begin"/>
      </w:r>
      <w:r>
        <w:rPr>
          <w:b/>
          <w:i w:val="0"/>
          <w:sz w:val="22"/>
        </w:rPr>
        <w:instrText xml:space="preserve"> SEQ Ilustración \* ARABIC </w:instrText>
      </w:r>
      <w:r>
        <w:rPr>
          <w:b/>
          <w:i w:val="0"/>
          <w:sz w:val="22"/>
        </w:rPr>
        <w:fldChar w:fldCharType="separate"/>
      </w:r>
      <w:r>
        <w:rPr>
          <w:b/>
          <w:i w:val="0"/>
          <w:noProof/>
          <w:sz w:val="22"/>
        </w:rPr>
        <w:t>2</w:t>
      </w:r>
      <w:r>
        <w:rPr>
          <w:b/>
          <w:i w:val="0"/>
          <w:sz w:val="22"/>
        </w:rPr>
        <w:fldChar w:fldCharType="end"/>
      </w:r>
      <w:r w:rsidRPr="00020260">
        <w:rPr>
          <w:b/>
          <w:i w:val="0"/>
          <w:sz w:val="22"/>
        </w:rPr>
        <w:t>. Dinámica créditos FINAGRO a municipios</w:t>
      </w:r>
    </w:p>
    <w:p w:rsidR="000D772D" w:rsidRDefault="000D772D" w:rsidP="000D772D">
      <w:pPr>
        <w:keepNext/>
        <w:jc w:val="center"/>
      </w:pPr>
      <w:r>
        <w:rPr>
          <w:noProof/>
          <w:lang w:val="es-ES" w:eastAsia="es-ES"/>
        </w:rPr>
        <w:drawing>
          <wp:inline distT="0" distB="0" distL="0" distR="0" wp14:anchorId="6690D7E7" wp14:editId="5DB79AC6">
            <wp:extent cx="5044440" cy="1973580"/>
            <wp:effectExtent l="0" t="0" r="3810" b="762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D772D" w:rsidRDefault="000D772D" w:rsidP="000D772D">
      <w:pPr>
        <w:keepNext/>
        <w:jc w:val="right"/>
      </w:pPr>
      <w:r>
        <w:t>Fuente: FINAGRO</w:t>
      </w:r>
    </w:p>
    <w:p w:rsidR="000D772D" w:rsidRDefault="000D772D" w:rsidP="000D772D">
      <w:pPr>
        <w:keepNext/>
        <w:jc w:val="both"/>
      </w:pPr>
      <w:r>
        <w:t xml:space="preserve">La mayoría de los créditos para </w:t>
      </w:r>
      <w:r w:rsidR="00AB3B7B">
        <w:t>entidades</w:t>
      </w:r>
      <w:r>
        <w:t xml:space="preserve"> territoriales se dio en el marco de los Programas Especiales que tenía FINAGRO. Para el año 2000, de acuerdo con la Resolución 2 de la Comisión </w:t>
      </w:r>
      <w:r>
        <w:lastRenderedPageBreak/>
        <w:t>Nacional de Crédito Agropecuario-CNCA, estos se enmarcaban dentro de programas definidos por el Ministerio de Agricultura y Desarrollo Rural que buscaran alguna de las siguientes finalidades:</w:t>
      </w:r>
    </w:p>
    <w:p w:rsidR="000D772D" w:rsidRDefault="000D772D" w:rsidP="000D772D">
      <w:pPr>
        <w:pStyle w:val="Prrafodelista"/>
        <w:keepNext/>
        <w:numPr>
          <w:ilvl w:val="0"/>
          <w:numId w:val="7"/>
        </w:numPr>
        <w:jc w:val="both"/>
      </w:pPr>
      <w:r>
        <w:t>Expandir las áreas sembradas o plantadas en renglones específicos de la producción.</w:t>
      </w:r>
    </w:p>
    <w:p w:rsidR="000D772D" w:rsidRDefault="000D772D" w:rsidP="000D772D">
      <w:pPr>
        <w:pStyle w:val="Prrafodelista"/>
        <w:keepNext/>
        <w:numPr>
          <w:ilvl w:val="0"/>
          <w:numId w:val="7"/>
        </w:numPr>
        <w:jc w:val="both"/>
      </w:pPr>
      <w:r>
        <w:t>Incentivar la retención de vientres bovinos y ampliación de su pie de cría.</w:t>
      </w:r>
    </w:p>
    <w:p w:rsidR="000D772D" w:rsidRDefault="000D772D" w:rsidP="000D772D">
      <w:pPr>
        <w:pStyle w:val="Prrafodelista"/>
        <w:keepNext/>
        <w:numPr>
          <w:ilvl w:val="0"/>
          <w:numId w:val="7"/>
        </w:numPr>
        <w:jc w:val="both"/>
      </w:pPr>
      <w:r>
        <w:t>Mejorar las condiciones técnicas de producción y comercialización, especialmente de los pequeños productores.</w:t>
      </w:r>
    </w:p>
    <w:p w:rsidR="000D772D" w:rsidRDefault="000D772D" w:rsidP="000D772D">
      <w:pPr>
        <w:keepNext/>
        <w:jc w:val="both"/>
      </w:pPr>
      <w:r>
        <w:t xml:space="preserve">Posteriormente, con la Resolución 12 de 2001 de la CNCA, los programas especiales pasaron a ser los desarrollados bajo esquemas de crédito asociativo y de agricultura por contrato. Estos programas debían contemplar acuerdos y compromisos formales entre los integrantes de la cadena productiva para el desarrollo de la producción bajo condiciones técnicas adecuadas y eficientes de producción, y a través de los mismos se debía asegurar la absorción, precio y pago de las cosechas en condiciones preestablecidas acordes con los mercados y los mecanismos que propiciaran el cumplimiento de estas obligaciones. Esta fue la primera figura bajo la cual se habló de integrador e integradores, siendo la prestación de asistencia técnica y la consecución de menores costos en los insumos, además de la celebración de contratos de comercialización, los pilares del modelo. </w:t>
      </w:r>
    </w:p>
    <w:p w:rsidR="000D772D" w:rsidRDefault="000D772D" w:rsidP="000D772D">
      <w:pPr>
        <w:keepNext/>
        <w:jc w:val="both"/>
      </w:pPr>
      <w:r>
        <w:t xml:space="preserve">En 2003, por medio de la Resolución 5 de la CNCA, se premió a los integradores que integraran exclusivamente a pequeños productores contar con unas tasas más favorables. Si bien desde 2001 las tasas establecidas eran en un 0.5% inferiores en lo que respecta a redescuento y hasta un DTF+5% EA en lo que respecta a la de interés, se estableció que en caso de ser pequeños productores la tasa de redescuento sería la de pequeño y la de interés de un DTF+2% EA. De igual forma, se creó un programa especial para bancos de maquinaria que también permitía que la tasa de redescuento fuera la misma que de pequeño productor (Resolución 6 de 2003), la cual posteriormente tendría tasas desligadas a la DTF para eliminar los choques que la volatilidad de esta traía. </w:t>
      </w:r>
    </w:p>
    <w:p w:rsidR="000D772D" w:rsidRDefault="000D772D" w:rsidP="000D772D">
      <w:pPr>
        <w:keepNext/>
        <w:jc w:val="both"/>
      </w:pPr>
      <w:r>
        <w:t xml:space="preserve">Si bien a través de los años se irían actualizando las condiciones de los programas especiales para irlas articulando con las condiciones de financiamiento de los pequeños productores, sería en 2011 cuando se impondrían las primeras restricciones que dificultarían el acceso a financiamiento de los </w:t>
      </w:r>
      <w:r w:rsidR="00AB3B7B">
        <w:t>entidades</w:t>
      </w:r>
      <w:r>
        <w:t xml:space="preserve"> territoriales bajo los esquemas asociativos. Por medio de la Resolución 10 de la CNCA se creó la figura del Operador, el cual debía apoyar al Integrador en caso de que este no contara con las capacidades administrativas y/o técnicas para prestar los servicios que es establecieron que el integrador debía proveer a los integrados. Sin embargo, la principal diferencia fue que se estableció que los Intermediario Financieros debían además de evaluar al Integrador, identificar a cada uno de los integrados y evaluar la propiedad, posesión o tenencia de sus unidades productivas. Por medio de la Resolución 11 de 2012 se creó el esquema de encadenador, bajo el cual se le establecía a esta figura que adicional a las labores del integrador, también debía llevar a cabo el proceso previamente mencionado a los Intermediarios Financieros si quería acceder a unas condiciones de financiamiento antes tenía el integrador.</w:t>
      </w:r>
    </w:p>
    <w:p w:rsidR="000D772D" w:rsidRDefault="000D772D" w:rsidP="000D772D">
      <w:pPr>
        <w:keepNext/>
        <w:jc w:val="both"/>
      </w:pPr>
      <w:r>
        <w:t xml:space="preserve">Si bien la Resolución 1 de 2016 volvió a simplificar los procesos, eliminando la figura del encadenador, y dando un rol más simple a la figura de integrador, ya que este solo debe contar con la capacidad administrativa y servicios de asistencia técnica, así como asegurar la comercialización de la producción esperada, al haber pasado tanto tiempo sin que el instrumento fuera a la medida de </w:t>
      </w:r>
      <w:r w:rsidR="00AB3B7B">
        <w:t>las entidades</w:t>
      </w:r>
      <w:r>
        <w:t xml:space="preserve"> territoriales, este no ha vuelto a ser demandado. Lo anterior pese a que el Banco </w:t>
      </w:r>
      <w:r>
        <w:lastRenderedPageBreak/>
        <w:t>Agrario actualmente promociona una línea para este fin, la cual busca financiar</w:t>
      </w:r>
      <w:r w:rsidRPr="00CC6BEC">
        <w:t xml:space="preserve"> todas las actividades agropecuarias definidas por FINAGRO, buscan</w:t>
      </w:r>
      <w:r>
        <w:t>do</w:t>
      </w:r>
      <w:r w:rsidRPr="00CC6BEC">
        <w:t xml:space="preserve"> aumentar su rentabilidad, aplicar tecnologías apropiadas, implementar economías de escala en la compra de insumos, pago de servicios y comercialización asegurada con mecanismos de fijación de precios definidos antes de iniciar el proceso productivo.</w:t>
      </w:r>
    </w:p>
    <w:p w:rsidR="000D772D" w:rsidRDefault="000D772D" w:rsidP="000D772D">
      <w:pPr>
        <w:keepNext/>
        <w:jc w:val="both"/>
      </w:pPr>
      <w:r>
        <w:t xml:space="preserve">Las dificultades normativas han provocado que en la actualidad </w:t>
      </w:r>
      <w:r w:rsidR="00AB3B7B">
        <w:t>las entidades</w:t>
      </w:r>
      <w:r>
        <w:t xml:space="preserve"> territoriales puedan acceder a un crédito en condiciones FINAGRO como si fueran un gran productor debido a su tamaño de activos. Lo anterior hace que la oferta de crédito no sea atractiva ni para </w:t>
      </w:r>
      <w:r w:rsidR="00AB3B7B">
        <w:t>las entidades</w:t>
      </w:r>
      <w:r>
        <w:t xml:space="preserve"> territoriales ni para los intermediarios financieros. Debido a las limitaciones fiscales que afronta un</w:t>
      </w:r>
      <w:r w:rsidR="00C80FA2">
        <w:t>a</w:t>
      </w:r>
      <w:r>
        <w:t xml:space="preserve"> </w:t>
      </w:r>
      <w:r w:rsidR="00C80FA2">
        <w:t>entidad</w:t>
      </w:r>
      <w:r>
        <w:t xml:space="preserve"> territorial y que este no cuenta con plena potestad para dirigir sus recursos para cualquier fin, de no encontrar unas condiciones financieras que le permitan llevar a cabo la inversión, esto será un determinante para elegir los sectores a intervenir, quedando el sector agropecuario relegado ya que si bien un crédito a la DTF+10% E.A. está en condiciones de fomento frente a un crédito comercial, estas condiciones no son competitivas frente a las que pueden obtener para otros fines, como son las tasas ofrecidas por FINDETER para agua y saneamiento, cuya tasa de interés final es de hasta DTF+3% TA. Desde el lado del intermediario, una tasa de redescuento de DTF+2% EA es competitiva dadas las condiciones del mercado, pero debido a los procesos adicionales que se deben llevar a cabo en la evaluación de un crédito a </w:t>
      </w:r>
      <w:r w:rsidR="00C80FA2">
        <w:t>una entidad</w:t>
      </w:r>
      <w:r>
        <w:t xml:space="preserve"> territorial, si el intermediario no cuenta con experiencia en el tema no es un nicho de mercado de su interés. </w:t>
      </w:r>
    </w:p>
    <w:p w:rsidR="000D772D" w:rsidRDefault="000D772D" w:rsidP="000D772D">
      <w:pPr>
        <w:jc w:val="both"/>
      </w:pPr>
    </w:p>
    <w:p w:rsidR="000D772D" w:rsidRDefault="000D772D" w:rsidP="000D772D">
      <w:pPr>
        <w:pStyle w:val="Prrafodelista"/>
        <w:numPr>
          <w:ilvl w:val="0"/>
          <w:numId w:val="10"/>
        </w:numPr>
        <w:jc w:val="both"/>
        <w:rPr>
          <w:b/>
        </w:rPr>
      </w:pPr>
      <w:r>
        <w:rPr>
          <w:b/>
        </w:rPr>
        <w:t>Justificación</w:t>
      </w:r>
    </w:p>
    <w:p w:rsidR="000D772D" w:rsidRDefault="000D772D" w:rsidP="000D772D">
      <w:pPr>
        <w:jc w:val="both"/>
        <w:rPr>
          <w:b/>
        </w:rPr>
      </w:pPr>
    </w:p>
    <w:p w:rsidR="000D772D" w:rsidRDefault="00AB3B7B" w:rsidP="000D772D">
      <w:pPr>
        <w:jc w:val="both"/>
      </w:pPr>
      <w:r>
        <w:t>Las entidades</w:t>
      </w:r>
      <w:r w:rsidR="000D772D">
        <w:t xml:space="preserve"> territoriales son agentes claves para el desarrollo local. Como define la Ley 1551 de 2012, dentro de las funciones que les corresponden a los municipios se encuentra promover el desarrollo territorial y construir las obras que demande el progreso municipal. De igual forma le corresponde la elaboración de los planes de desarrollo municipal, con los cuales se espera que el municipio se asegure de prestar los servicios públicos, construir las obras que demande el progreso local, ordenar el desarrollo de su territorio, promover la participación comunitaria, el mejoramiento social y cultural de sus habitantes (Restrepo, 2006). Gracias al proceso de descentralización los municipios cuentan con ventajas frente a un esquema centralizado, principalmente en materia de eficiencia, que se derivan de las operaciones a pequeña escala como de las ganancias potenciales que surgen del hecho de que los gobernantes puedan escoger y de asignar recursos para los servicios locales de acuerdo con sus necesidades (Sánchez, 2001). </w:t>
      </w:r>
    </w:p>
    <w:p w:rsidR="000D772D" w:rsidRDefault="000D772D" w:rsidP="000D772D">
      <w:pPr>
        <w:jc w:val="both"/>
      </w:pPr>
      <w:r>
        <w:t xml:space="preserve">En lo que respecta al desarrollo rural, los gobiernos locales tienen un impacto directo sobre las condiciones de vida de los habitantes de su región. Parra-Peña et al (2013) demuestra que el desarrollo humano es mayor en los municipios rurales que presentan una institucionalidad más fuerte (medido en manejo fiscal y desempeño integral). De igual modo, señalan como los problemas de acceso a tecnologías ha aumentado la brecha al interior de los productores agropecuarios e identifican como los principales cuellos de botella para el desarrollo del sector en Colombia la baja competitividad en algunos rubros, la subutilización de las tierras óptimas para la  agricultura,  la  limitada  infraestructura  para transportar y comercializar los productos agropecuarios, el uso </w:t>
      </w:r>
      <w:r>
        <w:lastRenderedPageBreak/>
        <w:t>ineficiente de factores de producción (tierra y agua), la escasa innovación en los sistemas productivos  y  la  baja  productividad  de  la  mano de obra rural. Dado la heterogeneidad de las zonas, son los gobiernos locales los que pueden ayudar a corregir estas fallas, siempre y cuando presenten una gran interacción con la comunidad (OECD, 2006; Caraveli y Chardas, 2013).</w:t>
      </w:r>
    </w:p>
    <w:p w:rsidR="000D772D" w:rsidRDefault="000D772D" w:rsidP="000D772D">
      <w:pPr>
        <w:jc w:val="both"/>
      </w:pPr>
      <w:r>
        <w:t xml:space="preserve">Por todo lo anterior, </w:t>
      </w:r>
      <w:r w:rsidR="00AB3B7B">
        <w:t>las entidades</w:t>
      </w:r>
      <w:r>
        <w:t xml:space="preserve"> territoriales son los agentes llamados a realizar proyectos que por su costo e impacto social se asemejan más a un bien o servicio público que a uno privado, facilitando de esta forma que todo tipo de productor pueda contar con la oportunidad de aprovechar este recurso, siendo obras de infraestructura un ejemplo de las inversiones que pueden permitir el aumento de la competitividad de una región. Al no contar con facilidades para poder elevar la productividad de una región, disminuir los costos asociados a desplazamiento o a la perdida de la vida útil de los productos que generan, los productores pierden su competitividad en el mercado, generando una trampa de pobreza en la región. Al facilitar estos elementos, no solo se genera una economía de escala a nivel regional, sino que se construye un tejido social que conllevará no solo ha mejoras en la competitividad, sino a un aumento en la calidad de vida local.</w:t>
      </w:r>
    </w:p>
    <w:p w:rsidR="000D772D" w:rsidRDefault="000D772D" w:rsidP="000D772D">
      <w:pPr>
        <w:jc w:val="both"/>
      </w:pPr>
      <w:r>
        <w:t>Dado el impacto potencial de estos proyectos, el crédito ha sido un instrumento fundamental para su materialización. Si bien las cifras que se expusieron previamente en cuanto al nivel de deuda de los municipios no son altos, los municipios del país no presentan niveles de ingresos suficientes que les permita el desarrollo de todos los proyectos que requieren. De acuerdo con la Resolución 679 del 2016 de la Contaduría General de la Nación, 886 municipios fueron clasificados en categoría 6, lo que implica que sus ingresos corrientes de libre destinación son inferiores a 15 mil SMMLV. Debido a la restricción presupuestal actual, el crédito es un instrumento idóneo para suavizar el gasto entre la generación actual y las futuras, siendo estas las más beneficiadas en caso de que el municipio se vuelva más competitivo.</w:t>
      </w:r>
    </w:p>
    <w:p w:rsidR="000D772D" w:rsidRPr="00EA7A82" w:rsidRDefault="000D772D" w:rsidP="000D772D">
      <w:pPr>
        <w:jc w:val="both"/>
        <w:rPr>
          <w:b/>
          <w:iCs/>
          <w:color w:val="44546A" w:themeColor="text2"/>
          <w:szCs w:val="18"/>
        </w:rPr>
      </w:pPr>
    </w:p>
    <w:p w:rsidR="000D772D" w:rsidRPr="00EA7A82" w:rsidRDefault="000D772D" w:rsidP="000D772D">
      <w:pPr>
        <w:pStyle w:val="Descripcin"/>
        <w:keepNext/>
        <w:rPr>
          <w:b/>
          <w:i w:val="0"/>
          <w:sz w:val="22"/>
        </w:rPr>
      </w:pPr>
      <w:r>
        <w:rPr>
          <w:b/>
          <w:i w:val="0"/>
          <w:sz w:val="22"/>
        </w:rPr>
        <w:t>Cuadro</w:t>
      </w:r>
      <w:r w:rsidRPr="00EA7A82">
        <w:rPr>
          <w:b/>
          <w:i w:val="0"/>
          <w:sz w:val="22"/>
        </w:rPr>
        <w:t xml:space="preserve"> </w:t>
      </w:r>
      <w:r w:rsidRPr="00EA7A82">
        <w:rPr>
          <w:b/>
          <w:i w:val="0"/>
          <w:sz w:val="22"/>
        </w:rPr>
        <w:fldChar w:fldCharType="begin"/>
      </w:r>
      <w:r w:rsidRPr="00EA7A82">
        <w:rPr>
          <w:b/>
          <w:i w:val="0"/>
          <w:sz w:val="22"/>
        </w:rPr>
        <w:instrText xml:space="preserve"> SEQ Tabla \* ARABIC </w:instrText>
      </w:r>
      <w:r w:rsidRPr="00EA7A82">
        <w:rPr>
          <w:b/>
          <w:i w:val="0"/>
          <w:sz w:val="22"/>
        </w:rPr>
        <w:fldChar w:fldCharType="separate"/>
      </w:r>
      <w:r>
        <w:rPr>
          <w:b/>
          <w:i w:val="0"/>
          <w:noProof/>
          <w:sz w:val="22"/>
        </w:rPr>
        <w:t>2</w:t>
      </w:r>
      <w:r w:rsidRPr="00EA7A82">
        <w:rPr>
          <w:b/>
          <w:i w:val="0"/>
          <w:sz w:val="22"/>
        </w:rPr>
        <w:fldChar w:fldCharType="end"/>
      </w:r>
      <w:r w:rsidRPr="00EA7A82">
        <w:rPr>
          <w:b/>
          <w:i w:val="0"/>
          <w:sz w:val="22"/>
        </w:rPr>
        <w:t>. Clasificación de los municipios</w:t>
      </w:r>
    </w:p>
    <w:tbl>
      <w:tblPr>
        <w:tblW w:w="7110" w:type="dxa"/>
        <w:jc w:val="center"/>
        <w:tblCellMar>
          <w:left w:w="0" w:type="dxa"/>
          <w:right w:w="0" w:type="dxa"/>
        </w:tblCellMar>
        <w:tblLook w:val="0420" w:firstRow="1" w:lastRow="0" w:firstColumn="0" w:lastColumn="0" w:noHBand="0" w:noVBand="1"/>
      </w:tblPr>
      <w:tblGrid>
        <w:gridCol w:w="1164"/>
        <w:gridCol w:w="1107"/>
        <w:gridCol w:w="1972"/>
        <w:gridCol w:w="2867"/>
      </w:tblGrid>
      <w:tr w:rsidR="000D772D" w:rsidRPr="00EA7A82" w:rsidTr="000D772D">
        <w:trPr>
          <w:trHeight w:val="55"/>
          <w:jc w:val="center"/>
        </w:trPr>
        <w:tc>
          <w:tcPr>
            <w:tcW w:w="1164" w:type="dxa"/>
            <w:tcBorders>
              <w:top w:val="single" w:sz="8" w:space="0" w:color="9BBB59"/>
              <w:left w:val="single" w:sz="8" w:space="0" w:color="9BBB59"/>
              <w:bottom w:val="single" w:sz="8" w:space="0" w:color="9BBB59"/>
              <w:right w:val="nil"/>
            </w:tcBorders>
            <w:shd w:val="clear" w:color="auto" w:fill="9BBB59"/>
            <w:tcMar>
              <w:top w:w="72" w:type="dxa"/>
              <w:left w:w="144" w:type="dxa"/>
              <w:bottom w:w="72" w:type="dxa"/>
              <w:right w:w="144" w:type="dxa"/>
            </w:tcMar>
            <w:hideMark/>
          </w:tcPr>
          <w:p w:rsidR="000D772D" w:rsidRPr="00EA7A82" w:rsidRDefault="000D772D" w:rsidP="000D772D">
            <w:pPr>
              <w:spacing w:after="0" w:line="240" w:lineRule="auto"/>
              <w:jc w:val="center"/>
              <w:rPr>
                <w:rFonts w:ascii="Arial" w:eastAsia="Times New Roman" w:hAnsi="Arial" w:cs="Arial"/>
                <w:szCs w:val="36"/>
                <w:lang w:eastAsia="es-CO"/>
              </w:rPr>
            </w:pPr>
            <w:r w:rsidRPr="00EA7A82">
              <w:rPr>
                <w:rFonts w:ascii="Calibri" w:eastAsia="Times New Roman" w:hAnsi="Calibri" w:cs="Arial"/>
                <w:b/>
                <w:bCs/>
                <w:color w:val="FFFFFF" w:themeColor="light1"/>
                <w:kern w:val="24"/>
                <w:szCs w:val="48"/>
                <w:lang w:eastAsia="es-CO"/>
              </w:rPr>
              <w:t>Categoría</w:t>
            </w:r>
          </w:p>
        </w:tc>
        <w:tc>
          <w:tcPr>
            <w:tcW w:w="1107" w:type="dxa"/>
            <w:tcBorders>
              <w:top w:val="single" w:sz="8" w:space="0" w:color="9BBB59"/>
              <w:left w:val="nil"/>
              <w:bottom w:val="single" w:sz="8" w:space="0" w:color="9BBB59"/>
              <w:right w:val="nil"/>
            </w:tcBorders>
            <w:shd w:val="clear" w:color="auto" w:fill="9BBB59"/>
            <w:tcMar>
              <w:top w:w="72" w:type="dxa"/>
              <w:left w:w="144" w:type="dxa"/>
              <w:bottom w:w="72" w:type="dxa"/>
              <w:right w:w="144" w:type="dxa"/>
            </w:tcMar>
            <w:hideMark/>
          </w:tcPr>
          <w:p w:rsidR="000D772D" w:rsidRPr="00EA7A82" w:rsidRDefault="000D772D" w:rsidP="000D772D">
            <w:pPr>
              <w:spacing w:after="0" w:line="240" w:lineRule="auto"/>
              <w:jc w:val="center"/>
              <w:rPr>
                <w:rFonts w:ascii="Arial" w:eastAsia="Times New Roman" w:hAnsi="Arial" w:cs="Arial"/>
                <w:szCs w:val="36"/>
                <w:lang w:eastAsia="es-CO"/>
              </w:rPr>
            </w:pPr>
            <w:r w:rsidRPr="00EA7A82">
              <w:rPr>
                <w:rFonts w:ascii="Calibri" w:eastAsia="Times New Roman" w:hAnsi="Calibri" w:cs="Arial"/>
                <w:b/>
                <w:bCs/>
                <w:color w:val="FFFFFF" w:themeColor="light1"/>
                <w:kern w:val="24"/>
                <w:szCs w:val="48"/>
                <w:lang w:eastAsia="es-CO"/>
              </w:rPr>
              <w:t>Cantidad</w:t>
            </w:r>
          </w:p>
        </w:tc>
        <w:tc>
          <w:tcPr>
            <w:tcW w:w="1972" w:type="dxa"/>
            <w:tcBorders>
              <w:top w:val="single" w:sz="8" w:space="0" w:color="9BBB59"/>
              <w:left w:val="nil"/>
              <w:bottom w:val="single" w:sz="8" w:space="0" w:color="9BBB59"/>
              <w:right w:val="nil"/>
            </w:tcBorders>
            <w:shd w:val="clear" w:color="auto" w:fill="9BBB59"/>
            <w:tcMar>
              <w:top w:w="72" w:type="dxa"/>
              <w:left w:w="144" w:type="dxa"/>
              <w:bottom w:w="72" w:type="dxa"/>
              <w:right w:w="144" w:type="dxa"/>
            </w:tcMar>
            <w:hideMark/>
          </w:tcPr>
          <w:p w:rsidR="000D772D" w:rsidRPr="00EA7A82" w:rsidRDefault="000D772D" w:rsidP="000D772D">
            <w:pPr>
              <w:spacing w:after="0" w:line="240" w:lineRule="auto"/>
              <w:jc w:val="center"/>
              <w:rPr>
                <w:rFonts w:ascii="Arial" w:eastAsia="Times New Roman" w:hAnsi="Arial" w:cs="Arial"/>
                <w:szCs w:val="36"/>
                <w:lang w:eastAsia="es-CO"/>
              </w:rPr>
            </w:pPr>
            <w:r w:rsidRPr="00EA7A82">
              <w:rPr>
                <w:rFonts w:ascii="Calibri" w:eastAsia="Times New Roman" w:hAnsi="Calibri" w:cs="Arial"/>
                <w:b/>
                <w:bCs/>
                <w:color w:val="FFFFFF" w:themeColor="light1"/>
                <w:kern w:val="24"/>
                <w:szCs w:val="48"/>
                <w:lang w:eastAsia="es-CO"/>
              </w:rPr>
              <w:t>Población</w:t>
            </w:r>
          </w:p>
        </w:tc>
        <w:tc>
          <w:tcPr>
            <w:tcW w:w="2867" w:type="dxa"/>
            <w:tcBorders>
              <w:top w:val="single" w:sz="8" w:space="0" w:color="9BBB59"/>
              <w:left w:val="nil"/>
              <w:bottom w:val="single" w:sz="8" w:space="0" w:color="9BBB59"/>
              <w:right w:val="single" w:sz="8" w:space="0" w:color="9BBB59"/>
            </w:tcBorders>
            <w:shd w:val="clear" w:color="auto" w:fill="9BBB59"/>
            <w:tcMar>
              <w:top w:w="72" w:type="dxa"/>
              <w:left w:w="144" w:type="dxa"/>
              <w:bottom w:w="72" w:type="dxa"/>
              <w:right w:w="144" w:type="dxa"/>
            </w:tcMar>
            <w:hideMark/>
          </w:tcPr>
          <w:p w:rsidR="000D772D" w:rsidRPr="00EA7A82" w:rsidRDefault="000D772D" w:rsidP="000D772D">
            <w:pPr>
              <w:spacing w:after="0" w:line="240" w:lineRule="auto"/>
              <w:jc w:val="center"/>
              <w:rPr>
                <w:rFonts w:ascii="Arial" w:eastAsia="Times New Roman" w:hAnsi="Arial" w:cs="Arial"/>
                <w:szCs w:val="36"/>
                <w:lang w:eastAsia="es-CO"/>
              </w:rPr>
            </w:pPr>
            <w:r w:rsidRPr="00EA7A82">
              <w:rPr>
                <w:rFonts w:ascii="Calibri" w:eastAsia="Times New Roman" w:hAnsi="Calibri" w:cs="Arial"/>
                <w:b/>
                <w:bCs/>
                <w:color w:val="FFFFFF" w:themeColor="light1"/>
                <w:kern w:val="24"/>
                <w:szCs w:val="48"/>
                <w:lang w:eastAsia="es-CO"/>
              </w:rPr>
              <w:t>Ingresos Corrientes de libre destinación (SMMLV)</w:t>
            </w:r>
          </w:p>
        </w:tc>
      </w:tr>
      <w:tr w:rsidR="000D772D" w:rsidRPr="00EA7A82" w:rsidTr="000D772D">
        <w:trPr>
          <w:trHeight w:val="18"/>
          <w:jc w:val="center"/>
        </w:trPr>
        <w:tc>
          <w:tcPr>
            <w:tcW w:w="1164" w:type="dxa"/>
            <w:tcBorders>
              <w:top w:val="single" w:sz="8" w:space="0" w:color="9BBB59"/>
              <w:left w:val="single" w:sz="8" w:space="0" w:color="9BBB59"/>
              <w:bottom w:val="single" w:sz="8" w:space="0" w:color="9BBB59"/>
              <w:right w:val="nil"/>
            </w:tcBorders>
            <w:shd w:val="clear" w:color="auto" w:fill="EFF3EA"/>
            <w:tcMar>
              <w:top w:w="72" w:type="dxa"/>
              <w:left w:w="144" w:type="dxa"/>
              <w:bottom w:w="72" w:type="dxa"/>
              <w:right w:w="144" w:type="dxa"/>
            </w:tcMar>
            <w:hideMark/>
          </w:tcPr>
          <w:p w:rsidR="000D772D" w:rsidRPr="00EA7A82" w:rsidRDefault="000D772D" w:rsidP="000D772D">
            <w:pPr>
              <w:spacing w:after="0" w:line="240" w:lineRule="auto"/>
              <w:jc w:val="center"/>
              <w:rPr>
                <w:rFonts w:ascii="Arial" w:eastAsia="Times New Roman" w:hAnsi="Arial" w:cs="Arial"/>
                <w:szCs w:val="36"/>
                <w:lang w:eastAsia="es-CO"/>
              </w:rPr>
            </w:pPr>
            <w:r w:rsidRPr="00EA7A82">
              <w:rPr>
                <w:rFonts w:ascii="Calibri" w:eastAsia="Times New Roman" w:hAnsi="Calibri" w:cs="Arial"/>
                <w:color w:val="000000" w:themeColor="dark1"/>
                <w:kern w:val="24"/>
                <w:szCs w:val="48"/>
                <w:lang w:eastAsia="es-CO"/>
              </w:rPr>
              <w:t>Especial</w:t>
            </w:r>
          </w:p>
        </w:tc>
        <w:tc>
          <w:tcPr>
            <w:tcW w:w="1107" w:type="dxa"/>
            <w:tcBorders>
              <w:top w:val="single" w:sz="8" w:space="0" w:color="9BBB59"/>
              <w:left w:val="nil"/>
              <w:bottom w:val="single" w:sz="8" w:space="0" w:color="9BBB59"/>
              <w:right w:val="nil"/>
            </w:tcBorders>
            <w:shd w:val="clear" w:color="auto" w:fill="EFF3EA"/>
            <w:tcMar>
              <w:top w:w="72" w:type="dxa"/>
              <w:left w:w="144" w:type="dxa"/>
              <w:bottom w:w="72" w:type="dxa"/>
              <w:right w:w="144" w:type="dxa"/>
            </w:tcMar>
            <w:hideMark/>
          </w:tcPr>
          <w:p w:rsidR="000D772D" w:rsidRPr="00EA7A82" w:rsidRDefault="000D772D" w:rsidP="000D772D">
            <w:pPr>
              <w:spacing w:after="0" w:line="240" w:lineRule="auto"/>
              <w:jc w:val="center"/>
              <w:rPr>
                <w:rFonts w:ascii="Arial" w:eastAsia="Times New Roman" w:hAnsi="Arial" w:cs="Arial"/>
                <w:szCs w:val="36"/>
                <w:lang w:eastAsia="es-CO"/>
              </w:rPr>
            </w:pPr>
            <w:r w:rsidRPr="00EA7A82">
              <w:rPr>
                <w:rFonts w:ascii="Calibri" w:eastAsia="Times New Roman" w:hAnsi="Calibri" w:cs="Arial"/>
                <w:color w:val="000000" w:themeColor="dark1"/>
                <w:kern w:val="24"/>
                <w:szCs w:val="48"/>
                <w:lang w:eastAsia="es-CO"/>
              </w:rPr>
              <w:t>6</w:t>
            </w:r>
          </w:p>
        </w:tc>
        <w:tc>
          <w:tcPr>
            <w:tcW w:w="1972" w:type="dxa"/>
            <w:tcBorders>
              <w:top w:val="single" w:sz="8" w:space="0" w:color="9BBB59"/>
              <w:left w:val="nil"/>
              <w:bottom w:val="single" w:sz="8" w:space="0" w:color="9BBB59"/>
              <w:right w:val="nil"/>
            </w:tcBorders>
            <w:shd w:val="clear" w:color="auto" w:fill="EFF3EA"/>
            <w:tcMar>
              <w:top w:w="72" w:type="dxa"/>
              <w:left w:w="144" w:type="dxa"/>
              <w:bottom w:w="72" w:type="dxa"/>
              <w:right w:w="144" w:type="dxa"/>
            </w:tcMar>
            <w:hideMark/>
          </w:tcPr>
          <w:p w:rsidR="000D772D" w:rsidRPr="00EA7A82" w:rsidRDefault="000D772D" w:rsidP="000D772D">
            <w:pPr>
              <w:spacing w:after="0" w:line="240" w:lineRule="auto"/>
              <w:jc w:val="center"/>
              <w:rPr>
                <w:rFonts w:ascii="Arial" w:eastAsia="Times New Roman" w:hAnsi="Arial" w:cs="Arial"/>
                <w:szCs w:val="36"/>
                <w:lang w:eastAsia="es-CO"/>
              </w:rPr>
            </w:pPr>
            <w:r>
              <w:rPr>
                <w:rFonts w:ascii="Calibri" w:eastAsia="Times New Roman" w:hAnsi="Calibri" w:cs="Arial"/>
                <w:color w:val="000000" w:themeColor="dark1"/>
                <w:kern w:val="24"/>
                <w:szCs w:val="48"/>
                <w:lang w:eastAsia="es-CO"/>
              </w:rPr>
              <w:t>Más de 500,</w:t>
            </w:r>
            <w:r w:rsidRPr="00EA7A82">
              <w:rPr>
                <w:rFonts w:ascii="Calibri" w:eastAsia="Times New Roman" w:hAnsi="Calibri" w:cs="Arial"/>
                <w:color w:val="000000" w:themeColor="dark1"/>
                <w:kern w:val="24"/>
                <w:szCs w:val="48"/>
                <w:lang w:eastAsia="es-CO"/>
              </w:rPr>
              <w:t>001</w:t>
            </w:r>
          </w:p>
        </w:tc>
        <w:tc>
          <w:tcPr>
            <w:tcW w:w="2867" w:type="dxa"/>
            <w:tcBorders>
              <w:top w:val="single" w:sz="8" w:space="0" w:color="9BBB59"/>
              <w:left w:val="nil"/>
              <w:bottom w:val="single" w:sz="8" w:space="0" w:color="9BBB59"/>
              <w:right w:val="single" w:sz="8" w:space="0" w:color="9BBB59"/>
            </w:tcBorders>
            <w:shd w:val="clear" w:color="auto" w:fill="EFF3EA"/>
            <w:tcMar>
              <w:top w:w="72" w:type="dxa"/>
              <w:left w:w="144" w:type="dxa"/>
              <w:bottom w:w="72" w:type="dxa"/>
              <w:right w:w="144" w:type="dxa"/>
            </w:tcMar>
            <w:hideMark/>
          </w:tcPr>
          <w:p w:rsidR="000D772D" w:rsidRPr="00EA7A82" w:rsidRDefault="000D772D" w:rsidP="000D772D">
            <w:pPr>
              <w:spacing w:after="0" w:line="240" w:lineRule="auto"/>
              <w:jc w:val="center"/>
              <w:rPr>
                <w:rFonts w:ascii="Arial" w:eastAsia="Times New Roman" w:hAnsi="Arial" w:cs="Arial"/>
                <w:szCs w:val="36"/>
                <w:lang w:eastAsia="es-CO"/>
              </w:rPr>
            </w:pPr>
            <w:r>
              <w:rPr>
                <w:rFonts w:ascii="Calibri" w:eastAsia="Times New Roman" w:hAnsi="Calibri" w:cs="Arial"/>
                <w:color w:val="000000" w:themeColor="dark1"/>
                <w:kern w:val="24"/>
                <w:szCs w:val="48"/>
                <w:lang w:eastAsia="es-CO"/>
              </w:rPr>
              <w:t>Más de 400,</w:t>
            </w:r>
            <w:r w:rsidRPr="00EA7A82">
              <w:rPr>
                <w:rFonts w:ascii="Calibri" w:eastAsia="Times New Roman" w:hAnsi="Calibri" w:cs="Arial"/>
                <w:color w:val="000000" w:themeColor="dark1"/>
                <w:kern w:val="24"/>
                <w:szCs w:val="48"/>
                <w:lang w:eastAsia="es-CO"/>
              </w:rPr>
              <w:t>000</w:t>
            </w:r>
          </w:p>
        </w:tc>
      </w:tr>
      <w:tr w:rsidR="000D772D" w:rsidRPr="00EA7A82" w:rsidTr="000D772D">
        <w:trPr>
          <w:trHeight w:val="55"/>
          <w:jc w:val="center"/>
        </w:trPr>
        <w:tc>
          <w:tcPr>
            <w:tcW w:w="1164" w:type="dxa"/>
            <w:tcBorders>
              <w:top w:val="single" w:sz="8" w:space="0" w:color="9BBB59"/>
              <w:left w:val="single" w:sz="8" w:space="0" w:color="9BBB59"/>
              <w:bottom w:val="single" w:sz="8" w:space="0" w:color="9BBB59"/>
              <w:right w:val="nil"/>
            </w:tcBorders>
            <w:shd w:val="clear" w:color="auto" w:fill="FFFFFF"/>
            <w:tcMar>
              <w:top w:w="72" w:type="dxa"/>
              <w:left w:w="144" w:type="dxa"/>
              <w:bottom w:w="72" w:type="dxa"/>
              <w:right w:w="144" w:type="dxa"/>
            </w:tcMar>
            <w:hideMark/>
          </w:tcPr>
          <w:p w:rsidR="000D772D" w:rsidRPr="00EA7A82" w:rsidRDefault="000D772D" w:rsidP="000D772D">
            <w:pPr>
              <w:spacing w:after="0" w:line="240" w:lineRule="auto"/>
              <w:jc w:val="center"/>
              <w:rPr>
                <w:rFonts w:ascii="Arial" w:eastAsia="Times New Roman" w:hAnsi="Arial" w:cs="Arial"/>
                <w:szCs w:val="36"/>
                <w:lang w:eastAsia="es-CO"/>
              </w:rPr>
            </w:pPr>
            <w:r w:rsidRPr="00EA7A82">
              <w:rPr>
                <w:rFonts w:ascii="Calibri" w:eastAsia="Times New Roman" w:hAnsi="Calibri" w:cs="Arial"/>
                <w:color w:val="000000" w:themeColor="dark1"/>
                <w:kern w:val="24"/>
                <w:szCs w:val="48"/>
                <w:lang w:eastAsia="es-CO"/>
              </w:rPr>
              <w:t>1</w:t>
            </w:r>
          </w:p>
        </w:tc>
        <w:tc>
          <w:tcPr>
            <w:tcW w:w="1107" w:type="dxa"/>
            <w:tcBorders>
              <w:top w:val="single" w:sz="8" w:space="0" w:color="9BBB59"/>
              <w:left w:val="nil"/>
              <w:bottom w:val="single" w:sz="8" w:space="0" w:color="9BBB59"/>
              <w:right w:val="nil"/>
            </w:tcBorders>
            <w:shd w:val="clear" w:color="auto" w:fill="FFFFFF"/>
            <w:tcMar>
              <w:top w:w="72" w:type="dxa"/>
              <w:left w:w="144" w:type="dxa"/>
              <w:bottom w:w="72" w:type="dxa"/>
              <w:right w:w="144" w:type="dxa"/>
            </w:tcMar>
            <w:hideMark/>
          </w:tcPr>
          <w:p w:rsidR="000D772D" w:rsidRPr="00EA7A82" w:rsidRDefault="000D772D" w:rsidP="000D772D">
            <w:pPr>
              <w:spacing w:after="0" w:line="240" w:lineRule="auto"/>
              <w:jc w:val="center"/>
              <w:rPr>
                <w:rFonts w:ascii="Arial" w:eastAsia="Times New Roman" w:hAnsi="Arial" w:cs="Arial"/>
                <w:szCs w:val="36"/>
                <w:lang w:eastAsia="es-CO"/>
              </w:rPr>
            </w:pPr>
            <w:r w:rsidRPr="00EA7A82">
              <w:rPr>
                <w:rFonts w:ascii="Calibri" w:eastAsia="Times New Roman" w:hAnsi="Calibri" w:cs="Arial"/>
                <w:color w:val="000000" w:themeColor="dark1"/>
                <w:kern w:val="24"/>
                <w:szCs w:val="48"/>
                <w:lang w:eastAsia="es-CO"/>
              </w:rPr>
              <w:t>26</w:t>
            </w:r>
          </w:p>
        </w:tc>
        <w:tc>
          <w:tcPr>
            <w:tcW w:w="1972" w:type="dxa"/>
            <w:tcBorders>
              <w:top w:val="single" w:sz="8" w:space="0" w:color="9BBB59"/>
              <w:left w:val="nil"/>
              <w:bottom w:val="single" w:sz="8" w:space="0" w:color="9BBB59"/>
              <w:right w:val="nil"/>
            </w:tcBorders>
            <w:shd w:val="clear" w:color="auto" w:fill="FFFFFF"/>
            <w:tcMar>
              <w:top w:w="72" w:type="dxa"/>
              <w:left w:w="144" w:type="dxa"/>
              <w:bottom w:w="72" w:type="dxa"/>
              <w:right w:w="144" w:type="dxa"/>
            </w:tcMar>
            <w:hideMark/>
          </w:tcPr>
          <w:p w:rsidR="000D772D" w:rsidRPr="00EA7A82" w:rsidRDefault="000D772D" w:rsidP="000D772D">
            <w:pPr>
              <w:spacing w:after="0" w:line="240" w:lineRule="auto"/>
              <w:jc w:val="center"/>
              <w:rPr>
                <w:rFonts w:ascii="Arial" w:eastAsia="Times New Roman" w:hAnsi="Arial" w:cs="Arial"/>
                <w:szCs w:val="36"/>
                <w:lang w:eastAsia="es-CO"/>
              </w:rPr>
            </w:pPr>
            <w:r>
              <w:rPr>
                <w:rFonts w:ascii="Calibri" w:eastAsia="Times New Roman" w:hAnsi="Calibri" w:cs="Arial"/>
                <w:color w:val="000000" w:themeColor="dark1"/>
                <w:kern w:val="24"/>
                <w:szCs w:val="48"/>
                <w:lang w:eastAsia="es-CO"/>
              </w:rPr>
              <w:t>100,001-500,</w:t>
            </w:r>
            <w:r w:rsidRPr="00EA7A82">
              <w:rPr>
                <w:rFonts w:ascii="Calibri" w:eastAsia="Times New Roman" w:hAnsi="Calibri" w:cs="Arial"/>
                <w:color w:val="000000" w:themeColor="dark1"/>
                <w:kern w:val="24"/>
                <w:szCs w:val="48"/>
                <w:lang w:eastAsia="es-CO"/>
              </w:rPr>
              <w:t>000</w:t>
            </w:r>
          </w:p>
        </w:tc>
        <w:tc>
          <w:tcPr>
            <w:tcW w:w="2867" w:type="dxa"/>
            <w:tcBorders>
              <w:top w:val="single" w:sz="8" w:space="0" w:color="9BBB59"/>
              <w:left w:val="nil"/>
              <w:bottom w:val="single" w:sz="8" w:space="0" w:color="9BBB59"/>
              <w:right w:val="single" w:sz="8" w:space="0" w:color="9BBB59"/>
            </w:tcBorders>
            <w:shd w:val="clear" w:color="auto" w:fill="FFFFFF"/>
            <w:tcMar>
              <w:top w:w="72" w:type="dxa"/>
              <w:left w:w="144" w:type="dxa"/>
              <w:bottom w:w="72" w:type="dxa"/>
              <w:right w:w="144" w:type="dxa"/>
            </w:tcMar>
            <w:hideMark/>
          </w:tcPr>
          <w:p w:rsidR="000D772D" w:rsidRPr="00EA7A82" w:rsidRDefault="000D772D" w:rsidP="000D772D">
            <w:pPr>
              <w:spacing w:after="0" w:line="240" w:lineRule="auto"/>
              <w:jc w:val="center"/>
              <w:rPr>
                <w:rFonts w:ascii="Arial" w:eastAsia="Times New Roman" w:hAnsi="Arial" w:cs="Arial"/>
                <w:szCs w:val="36"/>
                <w:lang w:eastAsia="es-CO"/>
              </w:rPr>
            </w:pPr>
            <w:r>
              <w:rPr>
                <w:rFonts w:ascii="Calibri" w:eastAsia="Times New Roman" w:hAnsi="Calibri" w:cs="Arial"/>
                <w:color w:val="000000" w:themeColor="dark1"/>
                <w:kern w:val="24"/>
                <w:szCs w:val="48"/>
                <w:lang w:eastAsia="es-CO"/>
              </w:rPr>
              <w:t>100,000-400,</w:t>
            </w:r>
            <w:r w:rsidRPr="00EA7A82">
              <w:rPr>
                <w:rFonts w:ascii="Calibri" w:eastAsia="Times New Roman" w:hAnsi="Calibri" w:cs="Arial"/>
                <w:color w:val="000000" w:themeColor="dark1"/>
                <w:kern w:val="24"/>
                <w:szCs w:val="48"/>
                <w:lang w:eastAsia="es-CO"/>
              </w:rPr>
              <w:t>000</w:t>
            </w:r>
          </w:p>
        </w:tc>
      </w:tr>
      <w:tr w:rsidR="000D772D" w:rsidRPr="00EA7A82" w:rsidTr="000D772D">
        <w:trPr>
          <w:trHeight w:val="55"/>
          <w:jc w:val="center"/>
        </w:trPr>
        <w:tc>
          <w:tcPr>
            <w:tcW w:w="1164" w:type="dxa"/>
            <w:tcBorders>
              <w:top w:val="single" w:sz="8" w:space="0" w:color="9BBB59"/>
              <w:left w:val="single" w:sz="8" w:space="0" w:color="9BBB59"/>
              <w:bottom w:val="single" w:sz="8" w:space="0" w:color="9BBB59"/>
              <w:right w:val="nil"/>
            </w:tcBorders>
            <w:shd w:val="clear" w:color="auto" w:fill="EFF3EA"/>
            <w:tcMar>
              <w:top w:w="72" w:type="dxa"/>
              <w:left w:w="144" w:type="dxa"/>
              <w:bottom w:w="72" w:type="dxa"/>
              <w:right w:w="144" w:type="dxa"/>
            </w:tcMar>
            <w:hideMark/>
          </w:tcPr>
          <w:p w:rsidR="000D772D" w:rsidRPr="00EA7A82" w:rsidRDefault="000D772D" w:rsidP="000D772D">
            <w:pPr>
              <w:spacing w:after="0" w:line="240" w:lineRule="auto"/>
              <w:jc w:val="center"/>
              <w:rPr>
                <w:rFonts w:ascii="Arial" w:eastAsia="Times New Roman" w:hAnsi="Arial" w:cs="Arial"/>
                <w:szCs w:val="36"/>
                <w:lang w:eastAsia="es-CO"/>
              </w:rPr>
            </w:pPr>
            <w:r w:rsidRPr="00EA7A82">
              <w:rPr>
                <w:rFonts w:ascii="Calibri" w:eastAsia="Times New Roman" w:hAnsi="Calibri" w:cs="Arial"/>
                <w:color w:val="000000" w:themeColor="dark1"/>
                <w:kern w:val="24"/>
                <w:szCs w:val="48"/>
                <w:lang w:eastAsia="es-CO"/>
              </w:rPr>
              <w:t>2</w:t>
            </w:r>
          </w:p>
        </w:tc>
        <w:tc>
          <w:tcPr>
            <w:tcW w:w="1107" w:type="dxa"/>
            <w:tcBorders>
              <w:top w:val="single" w:sz="8" w:space="0" w:color="9BBB59"/>
              <w:left w:val="nil"/>
              <w:bottom w:val="single" w:sz="8" w:space="0" w:color="9BBB59"/>
              <w:right w:val="nil"/>
            </w:tcBorders>
            <w:shd w:val="clear" w:color="auto" w:fill="EFF3EA"/>
            <w:tcMar>
              <w:top w:w="72" w:type="dxa"/>
              <w:left w:w="144" w:type="dxa"/>
              <w:bottom w:w="72" w:type="dxa"/>
              <w:right w:w="144" w:type="dxa"/>
            </w:tcMar>
            <w:hideMark/>
          </w:tcPr>
          <w:p w:rsidR="000D772D" w:rsidRPr="00EA7A82" w:rsidRDefault="000D772D" w:rsidP="000D772D">
            <w:pPr>
              <w:spacing w:after="0" w:line="240" w:lineRule="auto"/>
              <w:jc w:val="center"/>
              <w:rPr>
                <w:rFonts w:ascii="Arial" w:eastAsia="Times New Roman" w:hAnsi="Arial" w:cs="Arial"/>
                <w:szCs w:val="36"/>
                <w:lang w:eastAsia="es-CO"/>
              </w:rPr>
            </w:pPr>
            <w:r w:rsidRPr="00EA7A82">
              <w:rPr>
                <w:rFonts w:ascii="Calibri" w:eastAsia="Times New Roman" w:hAnsi="Calibri" w:cs="Arial"/>
                <w:color w:val="000000" w:themeColor="dark1"/>
                <w:kern w:val="24"/>
                <w:szCs w:val="48"/>
                <w:lang w:eastAsia="es-CO"/>
              </w:rPr>
              <w:t>19</w:t>
            </w:r>
          </w:p>
        </w:tc>
        <w:tc>
          <w:tcPr>
            <w:tcW w:w="1972" w:type="dxa"/>
            <w:tcBorders>
              <w:top w:val="single" w:sz="8" w:space="0" w:color="9BBB59"/>
              <w:left w:val="nil"/>
              <w:bottom w:val="single" w:sz="8" w:space="0" w:color="9BBB59"/>
              <w:right w:val="nil"/>
            </w:tcBorders>
            <w:shd w:val="clear" w:color="auto" w:fill="EFF3EA"/>
            <w:tcMar>
              <w:top w:w="72" w:type="dxa"/>
              <w:left w:w="144" w:type="dxa"/>
              <w:bottom w:w="72" w:type="dxa"/>
              <w:right w:w="144" w:type="dxa"/>
            </w:tcMar>
            <w:hideMark/>
          </w:tcPr>
          <w:p w:rsidR="000D772D" w:rsidRPr="00EA7A82" w:rsidRDefault="000D772D" w:rsidP="000D772D">
            <w:pPr>
              <w:spacing w:after="0" w:line="240" w:lineRule="auto"/>
              <w:jc w:val="center"/>
              <w:rPr>
                <w:rFonts w:ascii="Arial" w:eastAsia="Times New Roman" w:hAnsi="Arial" w:cs="Arial"/>
                <w:szCs w:val="36"/>
                <w:lang w:eastAsia="es-CO"/>
              </w:rPr>
            </w:pPr>
            <w:r>
              <w:rPr>
                <w:rFonts w:ascii="Calibri" w:eastAsia="Times New Roman" w:hAnsi="Calibri" w:cs="Arial"/>
                <w:color w:val="000000" w:themeColor="dark1"/>
                <w:kern w:val="24"/>
                <w:szCs w:val="48"/>
                <w:lang w:eastAsia="es-CO"/>
              </w:rPr>
              <w:t>50,001-100,</w:t>
            </w:r>
            <w:r w:rsidRPr="00EA7A82">
              <w:rPr>
                <w:rFonts w:ascii="Calibri" w:eastAsia="Times New Roman" w:hAnsi="Calibri" w:cs="Arial"/>
                <w:color w:val="000000" w:themeColor="dark1"/>
                <w:kern w:val="24"/>
                <w:szCs w:val="48"/>
                <w:lang w:eastAsia="es-CO"/>
              </w:rPr>
              <w:t>000</w:t>
            </w:r>
          </w:p>
        </w:tc>
        <w:tc>
          <w:tcPr>
            <w:tcW w:w="2867" w:type="dxa"/>
            <w:tcBorders>
              <w:top w:val="single" w:sz="8" w:space="0" w:color="9BBB59"/>
              <w:left w:val="nil"/>
              <w:bottom w:val="single" w:sz="8" w:space="0" w:color="9BBB59"/>
              <w:right w:val="single" w:sz="8" w:space="0" w:color="9BBB59"/>
            </w:tcBorders>
            <w:shd w:val="clear" w:color="auto" w:fill="EFF3EA"/>
            <w:tcMar>
              <w:top w:w="72" w:type="dxa"/>
              <w:left w:w="144" w:type="dxa"/>
              <w:bottom w:w="72" w:type="dxa"/>
              <w:right w:w="144" w:type="dxa"/>
            </w:tcMar>
            <w:hideMark/>
          </w:tcPr>
          <w:p w:rsidR="000D772D" w:rsidRPr="00EA7A82" w:rsidRDefault="000D772D" w:rsidP="000D772D">
            <w:pPr>
              <w:spacing w:after="0" w:line="240" w:lineRule="auto"/>
              <w:jc w:val="center"/>
              <w:rPr>
                <w:rFonts w:ascii="Arial" w:eastAsia="Times New Roman" w:hAnsi="Arial" w:cs="Arial"/>
                <w:szCs w:val="36"/>
                <w:lang w:eastAsia="es-CO"/>
              </w:rPr>
            </w:pPr>
            <w:r>
              <w:rPr>
                <w:rFonts w:ascii="Calibri" w:eastAsia="Times New Roman" w:hAnsi="Calibri" w:cs="Arial"/>
                <w:color w:val="000000" w:themeColor="dark1"/>
                <w:kern w:val="24"/>
                <w:szCs w:val="48"/>
                <w:lang w:eastAsia="es-CO"/>
              </w:rPr>
              <w:t>50,000-100,</w:t>
            </w:r>
            <w:r w:rsidRPr="00EA7A82">
              <w:rPr>
                <w:rFonts w:ascii="Calibri" w:eastAsia="Times New Roman" w:hAnsi="Calibri" w:cs="Arial"/>
                <w:color w:val="000000" w:themeColor="dark1"/>
                <w:kern w:val="24"/>
                <w:szCs w:val="48"/>
                <w:lang w:eastAsia="es-CO"/>
              </w:rPr>
              <w:t>000</w:t>
            </w:r>
          </w:p>
        </w:tc>
      </w:tr>
      <w:tr w:rsidR="000D772D" w:rsidRPr="00EA7A82" w:rsidTr="000D772D">
        <w:trPr>
          <w:trHeight w:val="339"/>
          <w:jc w:val="center"/>
        </w:trPr>
        <w:tc>
          <w:tcPr>
            <w:tcW w:w="1164" w:type="dxa"/>
            <w:tcBorders>
              <w:top w:val="single" w:sz="8" w:space="0" w:color="9BBB59"/>
              <w:left w:val="single" w:sz="8" w:space="0" w:color="9BBB59"/>
              <w:bottom w:val="single" w:sz="8" w:space="0" w:color="9BBB59"/>
              <w:right w:val="nil"/>
            </w:tcBorders>
            <w:shd w:val="clear" w:color="auto" w:fill="FFFFFF"/>
            <w:tcMar>
              <w:top w:w="72" w:type="dxa"/>
              <w:left w:w="144" w:type="dxa"/>
              <w:bottom w:w="72" w:type="dxa"/>
              <w:right w:w="144" w:type="dxa"/>
            </w:tcMar>
            <w:hideMark/>
          </w:tcPr>
          <w:p w:rsidR="000D772D" w:rsidRPr="00EA7A82" w:rsidRDefault="000D772D" w:rsidP="000D772D">
            <w:pPr>
              <w:spacing w:after="0" w:line="240" w:lineRule="auto"/>
              <w:jc w:val="center"/>
              <w:rPr>
                <w:rFonts w:ascii="Arial" w:eastAsia="Times New Roman" w:hAnsi="Arial" w:cs="Arial"/>
                <w:szCs w:val="36"/>
                <w:lang w:eastAsia="es-CO"/>
              </w:rPr>
            </w:pPr>
            <w:r w:rsidRPr="00EA7A82">
              <w:rPr>
                <w:rFonts w:ascii="Calibri" w:eastAsia="Times New Roman" w:hAnsi="Calibri" w:cs="Arial"/>
                <w:color w:val="000000" w:themeColor="dark1"/>
                <w:kern w:val="24"/>
                <w:szCs w:val="48"/>
                <w:lang w:eastAsia="es-CO"/>
              </w:rPr>
              <w:t>3</w:t>
            </w:r>
          </w:p>
        </w:tc>
        <w:tc>
          <w:tcPr>
            <w:tcW w:w="1107" w:type="dxa"/>
            <w:tcBorders>
              <w:top w:val="single" w:sz="8" w:space="0" w:color="9BBB59"/>
              <w:left w:val="nil"/>
              <w:bottom w:val="single" w:sz="8" w:space="0" w:color="9BBB59"/>
              <w:right w:val="nil"/>
            </w:tcBorders>
            <w:shd w:val="clear" w:color="auto" w:fill="FFFFFF"/>
            <w:tcMar>
              <w:top w:w="72" w:type="dxa"/>
              <w:left w:w="144" w:type="dxa"/>
              <w:bottom w:w="72" w:type="dxa"/>
              <w:right w:w="144" w:type="dxa"/>
            </w:tcMar>
            <w:hideMark/>
          </w:tcPr>
          <w:p w:rsidR="000D772D" w:rsidRPr="00EA7A82" w:rsidRDefault="000D772D" w:rsidP="000D772D">
            <w:pPr>
              <w:spacing w:after="0" w:line="240" w:lineRule="auto"/>
              <w:jc w:val="center"/>
              <w:rPr>
                <w:rFonts w:ascii="Arial" w:eastAsia="Times New Roman" w:hAnsi="Arial" w:cs="Arial"/>
                <w:szCs w:val="36"/>
                <w:lang w:eastAsia="es-CO"/>
              </w:rPr>
            </w:pPr>
            <w:r w:rsidRPr="00EA7A82">
              <w:rPr>
                <w:rFonts w:ascii="Calibri" w:eastAsia="Times New Roman" w:hAnsi="Calibri" w:cs="Arial"/>
                <w:color w:val="000000" w:themeColor="dark1"/>
                <w:kern w:val="24"/>
                <w:szCs w:val="48"/>
                <w:lang w:eastAsia="es-CO"/>
              </w:rPr>
              <w:t>13</w:t>
            </w:r>
          </w:p>
        </w:tc>
        <w:tc>
          <w:tcPr>
            <w:tcW w:w="1972" w:type="dxa"/>
            <w:tcBorders>
              <w:top w:val="single" w:sz="8" w:space="0" w:color="9BBB59"/>
              <w:left w:val="nil"/>
              <w:bottom w:val="single" w:sz="8" w:space="0" w:color="9BBB59"/>
              <w:right w:val="nil"/>
            </w:tcBorders>
            <w:shd w:val="clear" w:color="auto" w:fill="FFFFFF"/>
            <w:tcMar>
              <w:top w:w="72" w:type="dxa"/>
              <w:left w:w="144" w:type="dxa"/>
              <w:bottom w:w="72" w:type="dxa"/>
              <w:right w:w="144" w:type="dxa"/>
            </w:tcMar>
            <w:hideMark/>
          </w:tcPr>
          <w:p w:rsidR="000D772D" w:rsidRPr="00EA7A82" w:rsidRDefault="000D772D" w:rsidP="000D772D">
            <w:pPr>
              <w:spacing w:after="0" w:line="240" w:lineRule="auto"/>
              <w:jc w:val="center"/>
              <w:rPr>
                <w:rFonts w:ascii="Arial" w:eastAsia="Times New Roman" w:hAnsi="Arial" w:cs="Arial"/>
                <w:szCs w:val="36"/>
                <w:lang w:eastAsia="es-CO"/>
              </w:rPr>
            </w:pPr>
            <w:r>
              <w:rPr>
                <w:rFonts w:ascii="Calibri" w:eastAsia="Times New Roman" w:hAnsi="Calibri" w:cs="Arial"/>
                <w:color w:val="000000" w:themeColor="dark1"/>
                <w:kern w:val="24"/>
                <w:szCs w:val="48"/>
                <w:lang w:eastAsia="es-CO"/>
              </w:rPr>
              <w:t>30,001-50,</w:t>
            </w:r>
            <w:r w:rsidRPr="00EA7A82">
              <w:rPr>
                <w:rFonts w:ascii="Calibri" w:eastAsia="Times New Roman" w:hAnsi="Calibri" w:cs="Arial"/>
                <w:color w:val="000000" w:themeColor="dark1"/>
                <w:kern w:val="24"/>
                <w:szCs w:val="48"/>
                <w:lang w:eastAsia="es-CO"/>
              </w:rPr>
              <w:t>000</w:t>
            </w:r>
          </w:p>
        </w:tc>
        <w:tc>
          <w:tcPr>
            <w:tcW w:w="2867" w:type="dxa"/>
            <w:tcBorders>
              <w:top w:val="single" w:sz="8" w:space="0" w:color="9BBB59"/>
              <w:left w:val="nil"/>
              <w:bottom w:val="single" w:sz="8" w:space="0" w:color="9BBB59"/>
              <w:right w:val="single" w:sz="8" w:space="0" w:color="9BBB59"/>
            </w:tcBorders>
            <w:shd w:val="clear" w:color="auto" w:fill="FFFFFF"/>
            <w:tcMar>
              <w:top w:w="72" w:type="dxa"/>
              <w:left w:w="144" w:type="dxa"/>
              <w:bottom w:w="72" w:type="dxa"/>
              <w:right w:w="144" w:type="dxa"/>
            </w:tcMar>
            <w:hideMark/>
          </w:tcPr>
          <w:p w:rsidR="000D772D" w:rsidRPr="00EA7A82" w:rsidRDefault="000D772D" w:rsidP="000D772D">
            <w:pPr>
              <w:spacing w:after="0" w:line="240" w:lineRule="auto"/>
              <w:jc w:val="center"/>
              <w:rPr>
                <w:rFonts w:ascii="Arial" w:eastAsia="Times New Roman" w:hAnsi="Arial" w:cs="Arial"/>
                <w:szCs w:val="36"/>
                <w:lang w:eastAsia="es-CO"/>
              </w:rPr>
            </w:pPr>
            <w:r>
              <w:rPr>
                <w:rFonts w:ascii="Calibri" w:eastAsia="Times New Roman" w:hAnsi="Calibri" w:cs="Arial"/>
                <w:color w:val="000000" w:themeColor="dark1"/>
                <w:kern w:val="24"/>
                <w:szCs w:val="48"/>
                <w:lang w:eastAsia="es-CO"/>
              </w:rPr>
              <w:t>30,000-50,</w:t>
            </w:r>
            <w:r w:rsidRPr="00EA7A82">
              <w:rPr>
                <w:rFonts w:ascii="Calibri" w:eastAsia="Times New Roman" w:hAnsi="Calibri" w:cs="Arial"/>
                <w:color w:val="000000" w:themeColor="dark1"/>
                <w:kern w:val="24"/>
                <w:szCs w:val="48"/>
                <w:lang w:eastAsia="es-CO"/>
              </w:rPr>
              <w:t>000</w:t>
            </w:r>
          </w:p>
        </w:tc>
      </w:tr>
      <w:tr w:rsidR="000D772D" w:rsidRPr="00EA7A82" w:rsidTr="000D772D">
        <w:trPr>
          <w:trHeight w:val="239"/>
          <w:jc w:val="center"/>
        </w:trPr>
        <w:tc>
          <w:tcPr>
            <w:tcW w:w="1164" w:type="dxa"/>
            <w:tcBorders>
              <w:top w:val="single" w:sz="8" w:space="0" w:color="9BBB59"/>
              <w:left w:val="single" w:sz="8" w:space="0" w:color="9BBB59"/>
              <w:bottom w:val="single" w:sz="8" w:space="0" w:color="9BBB59"/>
              <w:right w:val="nil"/>
            </w:tcBorders>
            <w:shd w:val="clear" w:color="auto" w:fill="EFF3EA"/>
            <w:tcMar>
              <w:top w:w="72" w:type="dxa"/>
              <w:left w:w="144" w:type="dxa"/>
              <w:bottom w:w="72" w:type="dxa"/>
              <w:right w:w="144" w:type="dxa"/>
            </w:tcMar>
            <w:hideMark/>
          </w:tcPr>
          <w:p w:rsidR="000D772D" w:rsidRPr="00EA7A82" w:rsidRDefault="000D772D" w:rsidP="000D772D">
            <w:pPr>
              <w:spacing w:after="0" w:line="240" w:lineRule="auto"/>
              <w:jc w:val="center"/>
              <w:rPr>
                <w:rFonts w:ascii="Arial" w:eastAsia="Times New Roman" w:hAnsi="Arial" w:cs="Arial"/>
                <w:szCs w:val="36"/>
                <w:lang w:eastAsia="es-CO"/>
              </w:rPr>
            </w:pPr>
            <w:r w:rsidRPr="00EA7A82">
              <w:rPr>
                <w:rFonts w:ascii="Calibri" w:eastAsia="Times New Roman" w:hAnsi="Calibri" w:cs="Arial"/>
                <w:color w:val="000000" w:themeColor="dark1"/>
                <w:kern w:val="24"/>
                <w:szCs w:val="48"/>
                <w:lang w:eastAsia="es-CO"/>
              </w:rPr>
              <w:t>4</w:t>
            </w:r>
          </w:p>
        </w:tc>
        <w:tc>
          <w:tcPr>
            <w:tcW w:w="1107" w:type="dxa"/>
            <w:tcBorders>
              <w:top w:val="single" w:sz="8" w:space="0" w:color="9BBB59"/>
              <w:left w:val="nil"/>
              <w:bottom w:val="single" w:sz="8" w:space="0" w:color="9BBB59"/>
              <w:right w:val="nil"/>
            </w:tcBorders>
            <w:shd w:val="clear" w:color="auto" w:fill="EFF3EA"/>
            <w:tcMar>
              <w:top w:w="72" w:type="dxa"/>
              <w:left w:w="144" w:type="dxa"/>
              <w:bottom w:w="72" w:type="dxa"/>
              <w:right w:w="144" w:type="dxa"/>
            </w:tcMar>
            <w:hideMark/>
          </w:tcPr>
          <w:p w:rsidR="000D772D" w:rsidRPr="00EA7A82" w:rsidRDefault="000D772D" w:rsidP="000D772D">
            <w:pPr>
              <w:spacing w:after="0" w:line="240" w:lineRule="auto"/>
              <w:jc w:val="center"/>
              <w:rPr>
                <w:rFonts w:ascii="Arial" w:eastAsia="Times New Roman" w:hAnsi="Arial" w:cs="Arial"/>
                <w:szCs w:val="36"/>
                <w:lang w:eastAsia="es-CO"/>
              </w:rPr>
            </w:pPr>
            <w:r w:rsidRPr="00EA7A82">
              <w:rPr>
                <w:rFonts w:ascii="Calibri" w:eastAsia="Times New Roman" w:hAnsi="Calibri" w:cs="Arial"/>
                <w:color w:val="000000" w:themeColor="dark1"/>
                <w:kern w:val="24"/>
                <w:szCs w:val="48"/>
                <w:lang w:eastAsia="es-CO"/>
              </w:rPr>
              <w:t>26</w:t>
            </w:r>
          </w:p>
        </w:tc>
        <w:tc>
          <w:tcPr>
            <w:tcW w:w="1972" w:type="dxa"/>
            <w:tcBorders>
              <w:top w:val="single" w:sz="8" w:space="0" w:color="9BBB59"/>
              <w:left w:val="nil"/>
              <w:bottom w:val="single" w:sz="8" w:space="0" w:color="9BBB59"/>
              <w:right w:val="nil"/>
            </w:tcBorders>
            <w:shd w:val="clear" w:color="auto" w:fill="EFF3EA"/>
            <w:tcMar>
              <w:top w:w="72" w:type="dxa"/>
              <w:left w:w="144" w:type="dxa"/>
              <w:bottom w:w="72" w:type="dxa"/>
              <w:right w:w="144" w:type="dxa"/>
            </w:tcMar>
            <w:hideMark/>
          </w:tcPr>
          <w:p w:rsidR="000D772D" w:rsidRPr="00EA7A82" w:rsidRDefault="000D772D" w:rsidP="000D772D">
            <w:pPr>
              <w:spacing w:after="0" w:line="240" w:lineRule="auto"/>
              <w:jc w:val="center"/>
              <w:rPr>
                <w:rFonts w:ascii="Arial" w:eastAsia="Times New Roman" w:hAnsi="Arial" w:cs="Arial"/>
                <w:szCs w:val="36"/>
                <w:lang w:eastAsia="es-CO"/>
              </w:rPr>
            </w:pPr>
            <w:r>
              <w:rPr>
                <w:rFonts w:ascii="Calibri" w:eastAsia="Times New Roman" w:hAnsi="Calibri" w:cs="Arial"/>
                <w:color w:val="000000" w:themeColor="dark1"/>
                <w:kern w:val="24"/>
                <w:szCs w:val="48"/>
                <w:lang w:eastAsia="es-CO"/>
              </w:rPr>
              <w:t>20,001-30,</w:t>
            </w:r>
            <w:r w:rsidRPr="00EA7A82">
              <w:rPr>
                <w:rFonts w:ascii="Calibri" w:eastAsia="Times New Roman" w:hAnsi="Calibri" w:cs="Arial"/>
                <w:color w:val="000000" w:themeColor="dark1"/>
                <w:kern w:val="24"/>
                <w:szCs w:val="48"/>
                <w:lang w:eastAsia="es-CO"/>
              </w:rPr>
              <w:t>000</w:t>
            </w:r>
          </w:p>
        </w:tc>
        <w:tc>
          <w:tcPr>
            <w:tcW w:w="2867" w:type="dxa"/>
            <w:tcBorders>
              <w:top w:val="single" w:sz="8" w:space="0" w:color="9BBB59"/>
              <w:left w:val="nil"/>
              <w:bottom w:val="single" w:sz="8" w:space="0" w:color="9BBB59"/>
              <w:right w:val="single" w:sz="8" w:space="0" w:color="9BBB59"/>
            </w:tcBorders>
            <w:shd w:val="clear" w:color="auto" w:fill="EFF3EA"/>
            <w:tcMar>
              <w:top w:w="72" w:type="dxa"/>
              <w:left w:w="144" w:type="dxa"/>
              <w:bottom w:w="72" w:type="dxa"/>
              <w:right w:w="144" w:type="dxa"/>
            </w:tcMar>
            <w:hideMark/>
          </w:tcPr>
          <w:p w:rsidR="000D772D" w:rsidRPr="00EA7A82" w:rsidRDefault="000D772D" w:rsidP="000D772D">
            <w:pPr>
              <w:spacing w:after="0" w:line="240" w:lineRule="auto"/>
              <w:jc w:val="center"/>
              <w:rPr>
                <w:rFonts w:ascii="Arial" w:eastAsia="Times New Roman" w:hAnsi="Arial" w:cs="Arial"/>
                <w:szCs w:val="36"/>
                <w:lang w:eastAsia="es-CO"/>
              </w:rPr>
            </w:pPr>
            <w:r>
              <w:rPr>
                <w:rFonts w:ascii="Calibri" w:eastAsia="Times New Roman" w:hAnsi="Calibri" w:cs="Arial"/>
                <w:color w:val="000000" w:themeColor="dark1"/>
                <w:kern w:val="24"/>
                <w:szCs w:val="48"/>
                <w:lang w:eastAsia="es-CO"/>
              </w:rPr>
              <w:t>25,000-30,</w:t>
            </w:r>
            <w:r w:rsidRPr="00EA7A82">
              <w:rPr>
                <w:rFonts w:ascii="Calibri" w:eastAsia="Times New Roman" w:hAnsi="Calibri" w:cs="Arial"/>
                <w:color w:val="000000" w:themeColor="dark1"/>
                <w:kern w:val="24"/>
                <w:szCs w:val="48"/>
                <w:lang w:eastAsia="es-CO"/>
              </w:rPr>
              <w:t>000</w:t>
            </w:r>
          </w:p>
        </w:tc>
      </w:tr>
      <w:tr w:rsidR="000D772D" w:rsidRPr="00EA7A82" w:rsidTr="000D772D">
        <w:trPr>
          <w:trHeight w:val="93"/>
          <w:jc w:val="center"/>
        </w:trPr>
        <w:tc>
          <w:tcPr>
            <w:tcW w:w="1164" w:type="dxa"/>
            <w:tcBorders>
              <w:top w:val="single" w:sz="8" w:space="0" w:color="9BBB59"/>
              <w:left w:val="single" w:sz="8" w:space="0" w:color="9BBB59"/>
              <w:bottom w:val="single" w:sz="8" w:space="0" w:color="9BBB59"/>
              <w:right w:val="nil"/>
            </w:tcBorders>
            <w:shd w:val="clear" w:color="auto" w:fill="FFFFFF"/>
            <w:tcMar>
              <w:top w:w="72" w:type="dxa"/>
              <w:left w:w="144" w:type="dxa"/>
              <w:bottom w:w="72" w:type="dxa"/>
              <w:right w:w="144" w:type="dxa"/>
            </w:tcMar>
            <w:hideMark/>
          </w:tcPr>
          <w:p w:rsidR="000D772D" w:rsidRPr="00EA7A82" w:rsidRDefault="000D772D" w:rsidP="000D772D">
            <w:pPr>
              <w:spacing w:after="0" w:line="240" w:lineRule="auto"/>
              <w:jc w:val="center"/>
              <w:rPr>
                <w:rFonts w:ascii="Arial" w:eastAsia="Times New Roman" w:hAnsi="Arial" w:cs="Arial"/>
                <w:szCs w:val="36"/>
                <w:lang w:eastAsia="es-CO"/>
              </w:rPr>
            </w:pPr>
            <w:r w:rsidRPr="00EA7A82">
              <w:rPr>
                <w:rFonts w:ascii="Calibri" w:eastAsia="Times New Roman" w:hAnsi="Calibri" w:cs="Arial"/>
                <w:color w:val="000000" w:themeColor="dark1"/>
                <w:kern w:val="24"/>
                <w:szCs w:val="48"/>
                <w:lang w:eastAsia="es-CO"/>
              </w:rPr>
              <w:t>5</w:t>
            </w:r>
          </w:p>
        </w:tc>
        <w:tc>
          <w:tcPr>
            <w:tcW w:w="1107" w:type="dxa"/>
            <w:tcBorders>
              <w:top w:val="single" w:sz="8" w:space="0" w:color="9BBB59"/>
              <w:left w:val="nil"/>
              <w:bottom w:val="single" w:sz="8" w:space="0" w:color="9BBB59"/>
              <w:right w:val="nil"/>
            </w:tcBorders>
            <w:shd w:val="clear" w:color="auto" w:fill="FFFFFF"/>
            <w:tcMar>
              <w:top w:w="72" w:type="dxa"/>
              <w:left w:w="144" w:type="dxa"/>
              <w:bottom w:w="72" w:type="dxa"/>
              <w:right w:w="144" w:type="dxa"/>
            </w:tcMar>
            <w:hideMark/>
          </w:tcPr>
          <w:p w:rsidR="000D772D" w:rsidRPr="00EA7A82" w:rsidRDefault="000D772D" w:rsidP="000D772D">
            <w:pPr>
              <w:spacing w:after="0" w:line="240" w:lineRule="auto"/>
              <w:jc w:val="center"/>
              <w:rPr>
                <w:rFonts w:ascii="Arial" w:eastAsia="Times New Roman" w:hAnsi="Arial" w:cs="Arial"/>
                <w:szCs w:val="36"/>
                <w:lang w:eastAsia="es-CO"/>
              </w:rPr>
            </w:pPr>
            <w:r w:rsidRPr="00EA7A82">
              <w:rPr>
                <w:rFonts w:ascii="Calibri" w:eastAsia="Times New Roman" w:hAnsi="Calibri" w:cs="Arial"/>
                <w:color w:val="000000" w:themeColor="dark1"/>
                <w:kern w:val="24"/>
                <w:szCs w:val="48"/>
                <w:lang w:eastAsia="es-CO"/>
              </w:rPr>
              <w:t>39</w:t>
            </w:r>
          </w:p>
        </w:tc>
        <w:tc>
          <w:tcPr>
            <w:tcW w:w="1972" w:type="dxa"/>
            <w:tcBorders>
              <w:top w:val="single" w:sz="8" w:space="0" w:color="9BBB59"/>
              <w:left w:val="nil"/>
              <w:bottom w:val="single" w:sz="8" w:space="0" w:color="9BBB59"/>
              <w:right w:val="nil"/>
            </w:tcBorders>
            <w:shd w:val="clear" w:color="auto" w:fill="FFFFFF"/>
            <w:tcMar>
              <w:top w:w="72" w:type="dxa"/>
              <w:left w:w="144" w:type="dxa"/>
              <w:bottom w:w="72" w:type="dxa"/>
              <w:right w:w="144" w:type="dxa"/>
            </w:tcMar>
            <w:hideMark/>
          </w:tcPr>
          <w:p w:rsidR="000D772D" w:rsidRPr="00EA7A82" w:rsidRDefault="000D772D" w:rsidP="000D772D">
            <w:pPr>
              <w:spacing w:after="0" w:line="240" w:lineRule="auto"/>
              <w:jc w:val="center"/>
              <w:rPr>
                <w:rFonts w:ascii="Arial" w:eastAsia="Times New Roman" w:hAnsi="Arial" w:cs="Arial"/>
                <w:szCs w:val="36"/>
                <w:lang w:eastAsia="es-CO"/>
              </w:rPr>
            </w:pPr>
            <w:r>
              <w:rPr>
                <w:rFonts w:ascii="Calibri" w:eastAsia="Times New Roman" w:hAnsi="Calibri" w:cs="Arial"/>
                <w:color w:val="000000" w:themeColor="dark1"/>
                <w:kern w:val="24"/>
                <w:szCs w:val="48"/>
                <w:lang w:eastAsia="es-CO"/>
              </w:rPr>
              <w:t>10,001-20,</w:t>
            </w:r>
            <w:r w:rsidRPr="00EA7A82">
              <w:rPr>
                <w:rFonts w:ascii="Calibri" w:eastAsia="Times New Roman" w:hAnsi="Calibri" w:cs="Arial"/>
                <w:color w:val="000000" w:themeColor="dark1"/>
                <w:kern w:val="24"/>
                <w:szCs w:val="48"/>
                <w:lang w:eastAsia="es-CO"/>
              </w:rPr>
              <w:t>000</w:t>
            </w:r>
          </w:p>
        </w:tc>
        <w:tc>
          <w:tcPr>
            <w:tcW w:w="2867" w:type="dxa"/>
            <w:tcBorders>
              <w:top w:val="single" w:sz="8" w:space="0" w:color="9BBB59"/>
              <w:left w:val="nil"/>
              <w:bottom w:val="single" w:sz="8" w:space="0" w:color="9BBB59"/>
              <w:right w:val="single" w:sz="8" w:space="0" w:color="9BBB59"/>
            </w:tcBorders>
            <w:shd w:val="clear" w:color="auto" w:fill="FFFFFF"/>
            <w:tcMar>
              <w:top w:w="72" w:type="dxa"/>
              <w:left w:w="144" w:type="dxa"/>
              <w:bottom w:w="72" w:type="dxa"/>
              <w:right w:w="144" w:type="dxa"/>
            </w:tcMar>
            <w:hideMark/>
          </w:tcPr>
          <w:p w:rsidR="000D772D" w:rsidRPr="00EA7A82" w:rsidRDefault="000D772D" w:rsidP="000D772D">
            <w:pPr>
              <w:spacing w:after="0" w:line="240" w:lineRule="auto"/>
              <w:jc w:val="center"/>
              <w:rPr>
                <w:rFonts w:ascii="Arial" w:eastAsia="Times New Roman" w:hAnsi="Arial" w:cs="Arial"/>
                <w:szCs w:val="36"/>
                <w:lang w:eastAsia="es-CO"/>
              </w:rPr>
            </w:pPr>
            <w:r>
              <w:rPr>
                <w:rFonts w:ascii="Calibri" w:eastAsia="Times New Roman" w:hAnsi="Calibri" w:cs="Arial"/>
                <w:color w:val="000000" w:themeColor="dark1"/>
                <w:kern w:val="24"/>
                <w:szCs w:val="48"/>
                <w:lang w:eastAsia="es-CO"/>
              </w:rPr>
              <w:t>15,000-25,</w:t>
            </w:r>
            <w:r w:rsidRPr="00EA7A82">
              <w:rPr>
                <w:rFonts w:ascii="Calibri" w:eastAsia="Times New Roman" w:hAnsi="Calibri" w:cs="Arial"/>
                <w:color w:val="000000" w:themeColor="dark1"/>
                <w:kern w:val="24"/>
                <w:szCs w:val="48"/>
                <w:lang w:eastAsia="es-CO"/>
              </w:rPr>
              <w:t>000</w:t>
            </w:r>
          </w:p>
        </w:tc>
      </w:tr>
      <w:tr w:rsidR="000D772D" w:rsidRPr="00EA7A82" w:rsidTr="000D772D">
        <w:trPr>
          <w:trHeight w:val="55"/>
          <w:jc w:val="center"/>
        </w:trPr>
        <w:tc>
          <w:tcPr>
            <w:tcW w:w="1164" w:type="dxa"/>
            <w:tcBorders>
              <w:top w:val="single" w:sz="8" w:space="0" w:color="9BBB59"/>
              <w:left w:val="single" w:sz="8" w:space="0" w:color="9BBB59"/>
              <w:bottom w:val="single" w:sz="8" w:space="0" w:color="9BBB59"/>
              <w:right w:val="nil"/>
            </w:tcBorders>
            <w:shd w:val="clear" w:color="auto" w:fill="EFF3EA"/>
            <w:tcMar>
              <w:top w:w="72" w:type="dxa"/>
              <w:left w:w="144" w:type="dxa"/>
              <w:bottom w:w="72" w:type="dxa"/>
              <w:right w:w="144" w:type="dxa"/>
            </w:tcMar>
            <w:hideMark/>
          </w:tcPr>
          <w:p w:rsidR="000D772D" w:rsidRPr="00EA7A82" w:rsidRDefault="000D772D" w:rsidP="000D772D">
            <w:pPr>
              <w:spacing w:after="0" w:line="240" w:lineRule="auto"/>
              <w:jc w:val="center"/>
              <w:rPr>
                <w:rFonts w:ascii="Arial" w:eastAsia="Times New Roman" w:hAnsi="Arial" w:cs="Arial"/>
                <w:szCs w:val="36"/>
                <w:lang w:eastAsia="es-CO"/>
              </w:rPr>
            </w:pPr>
            <w:r w:rsidRPr="00EA7A82">
              <w:rPr>
                <w:rFonts w:ascii="Calibri" w:eastAsia="Times New Roman" w:hAnsi="Calibri" w:cs="Arial"/>
                <w:color w:val="000000" w:themeColor="dark1"/>
                <w:kern w:val="24"/>
                <w:szCs w:val="48"/>
                <w:lang w:eastAsia="es-CO"/>
              </w:rPr>
              <w:t>6</w:t>
            </w:r>
          </w:p>
        </w:tc>
        <w:tc>
          <w:tcPr>
            <w:tcW w:w="1107" w:type="dxa"/>
            <w:tcBorders>
              <w:top w:val="single" w:sz="8" w:space="0" w:color="9BBB59"/>
              <w:left w:val="nil"/>
              <w:bottom w:val="single" w:sz="8" w:space="0" w:color="9BBB59"/>
              <w:right w:val="nil"/>
            </w:tcBorders>
            <w:shd w:val="clear" w:color="auto" w:fill="EFF3EA"/>
            <w:tcMar>
              <w:top w:w="72" w:type="dxa"/>
              <w:left w:w="144" w:type="dxa"/>
              <w:bottom w:w="72" w:type="dxa"/>
              <w:right w:w="144" w:type="dxa"/>
            </w:tcMar>
            <w:hideMark/>
          </w:tcPr>
          <w:p w:rsidR="000D772D" w:rsidRPr="00EA7A82" w:rsidRDefault="000D772D" w:rsidP="000D772D">
            <w:pPr>
              <w:spacing w:after="0" w:line="240" w:lineRule="auto"/>
              <w:jc w:val="center"/>
              <w:rPr>
                <w:rFonts w:ascii="Arial" w:eastAsia="Times New Roman" w:hAnsi="Arial" w:cs="Arial"/>
                <w:szCs w:val="36"/>
                <w:lang w:eastAsia="es-CO"/>
              </w:rPr>
            </w:pPr>
            <w:r w:rsidRPr="00EA7A82">
              <w:rPr>
                <w:rFonts w:ascii="Calibri" w:eastAsia="Times New Roman" w:hAnsi="Calibri" w:cs="Arial"/>
                <w:color w:val="000000" w:themeColor="dark1"/>
                <w:kern w:val="24"/>
                <w:szCs w:val="48"/>
                <w:lang w:eastAsia="es-CO"/>
              </w:rPr>
              <w:t>885</w:t>
            </w:r>
          </w:p>
        </w:tc>
        <w:tc>
          <w:tcPr>
            <w:tcW w:w="1972" w:type="dxa"/>
            <w:tcBorders>
              <w:top w:val="single" w:sz="8" w:space="0" w:color="9BBB59"/>
              <w:left w:val="nil"/>
              <w:bottom w:val="single" w:sz="8" w:space="0" w:color="9BBB59"/>
              <w:right w:val="nil"/>
            </w:tcBorders>
            <w:shd w:val="clear" w:color="auto" w:fill="EFF3EA"/>
            <w:tcMar>
              <w:top w:w="72" w:type="dxa"/>
              <w:left w:w="144" w:type="dxa"/>
              <w:bottom w:w="72" w:type="dxa"/>
              <w:right w:w="144" w:type="dxa"/>
            </w:tcMar>
            <w:hideMark/>
          </w:tcPr>
          <w:p w:rsidR="000D772D" w:rsidRPr="00EA7A82" w:rsidRDefault="000D772D" w:rsidP="000D772D">
            <w:pPr>
              <w:spacing w:after="0" w:line="240" w:lineRule="auto"/>
              <w:jc w:val="center"/>
              <w:rPr>
                <w:rFonts w:ascii="Arial" w:eastAsia="Times New Roman" w:hAnsi="Arial" w:cs="Arial"/>
                <w:szCs w:val="36"/>
                <w:lang w:eastAsia="es-CO"/>
              </w:rPr>
            </w:pPr>
            <w:r>
              <w:rPr>
                <w:rFonts w:ascii="Calibri" w:eastAsia="Times New Roman" w:hAnsi="Calibri" w:cs="Arial"/>
                <w:color w:val="000000" w:themeColor="dark1"/>
                <w:kern w:val="24"/>
                <w:szCs w:val="48"/>
                <w:lang w:eastAsia="es-CO"/>
              </w:rPr>
              <w:t>Menos de 10,</w:t>
            </w:r>
            <w:r w:rsidRPr="00EA7A82">
              <w:rPr>
                <w:rFonts w:ascii="Calibri" w:eastAsia="Times New Roman" w:hAnsi="Calibri" w:cs="Arial"/>
                <w:color w:val="000000" w:themeColor="dark1"/>
                <w:kern w:val="24"/>
                <w:szCs w:val="48"/>
                <w:lang w:eastAsia="es-CO"/>
              </w:rPr>
              <w:t>000</w:t>
            </w:r>
          </w:p>
        </w:tc>
        <w:tc>
          <w:tcPr>
            <w:tcW w:w="2867" w:type="dxa"/>
            <w:tcBorders>
              <w:top w:val="single" w:sz="8" w:space="0" w:color="9BBB59"/>
              <w:left w:val="nil"/>
              <w:bottom w:val="single" w:sz="8" w:space="0" w:color="9BBB59"/>
              <w:right w:val="single" w:sz="8" w:space="0" w:color="9BBB59"/>
            </w:tcBorders>
            <w:shd w:val="clear" w:color="auto" w:fill="EFF3EA"/>
            <w:tcMar>
              <w:top w:w="72" w:type="dxa"/>
              <w:left w:w="144" w:type="dxa"/>
              <w:bottom w:w="72" w:type="dxa"/>
              <w:right w:w="144" w:type="dxa"/>
            </w:tcMar>
            <w:hideMark/>
          </w:tcPr>
          <w:p w:rsidR="000D772D" w:rsidRPr="00EA7A82" w:rsidRDefault="000D772D" w:rsidP="000D772D">
            <w:pPr>
              <w:spacing w:after="0" w:line="240" w:lineRule="auto"/>
              <w:jc w:val="center"/>
              <w:rPr>
                <w:rFonts w:ascii="Arial" w:eastAsia="Times New Roman" w:hAnsi="Arial" w:cs="Arial"/>
                <w:szCs w:val="36"/>
                <w:lang w:eastAsia="es-CO"/>
              </w:rPr>
            </w:pPr>
            <w:r>
              <w:rPr>
                <w:rFonts w:ascii="Calibri" w:eastAsia="Times New Roman" w:hAnsi="Calibri" w:cs="Arial"/>
                <w:color w:val="000000" w:themeColor="dark1"/>
                <w:kern w:val="24"/>
                <w:szCs w:val="48"/>
                <w:lang w:eastAsia="es-CO"/>
              </w:rPr>
              <w:t>Menos de 15,</w:t>
            </w:r>
            <w:r w:rsidRPr="00EA7A82">
              <w:rPr>
                <w:rFonts w:ascii="Calibri" w:eastAsia="Times New Roman" w:hAnsi="Calibri" w:cs="Arial"/>
                <w:color w:val="000000" w:themeColor="dark1"/>
                <w:kern w:val="24"/>
                <w:szCs w:val="48"/>
                <w:lang w:eastAsia="es-CO"/>
              </w:rPr>
              <w:t>000</w:t>
            </w:r>
          </w:p>
        </w:tc>
      </w:tr>
    </w:tbl>
    <w:p w:rsidR="000D772D" w:rsidRDefault="000D772D" w:rsidP="000D772D">
      <w:pPr>
        <w:jc w:val="right"/>
      </w:pPr>
      <w:r>
        <w:t>Fuente: Contaduría General de la Nación</w:t>
      </w:r>
    </w:p>
    <w:p w:rsidR="000D772D" w:rsidRDefault="000D772D" w:rsidP="000D772D">
      <w:pPr>
        <w:jc w:val="both"/>
      </w:pPr>
      <w:r>
        <w:lastRenderedPageBreak/>
        <w:t xml:space="preserve">Pese a lo anterior, la oferta de financiamiento en los últimos tiempos se concentra en los municipios con mayores ingresos. Como se puede apreciar en el </w:t>
      </w:r>
      <w:r>
        <w:fldChar w:fldCharType="begin"/>
      </w:r>
      <w:r>
        <w:instrText xml:space="preserve"> REF _Ref487589143 \h </w:instrText>
      </w:r>
      <w:r>
        <w:fldChar w:fldCharType="separate"/>
      </w:r>
      <w:r>
        <w:t xml:space="preserve">Cuadro </w:t>
      </w:r>
      <w:r>
        <w:rPr>
          <w:noProof/>
        </w:rPr>
        <w:t>3</w:t>
      </w:r>
      <w:r>
        <w:fldChar w:fldCharType="end"/>
      </w:r>
      <w:r>
        <w:t>, el 83% del crédito de FINDETER</w:t>
      </w:r>
      <w:r>
        <w:rPr>
          <w:rStyle w:val="Refdenotaalpie"/>
        </w:rPr>
        <w:footnoteReference w:id="10"/>
      </w:r>
      <w:r>
        <w:t xml:space="preserve"> se destinó a los Municipios en categoría 1, 2 o especial, a lo cual se debe agregar que FINAGRO no registró ningún crédito para </w:t>
      </w:r>
      <w:r w:rsidR="00AB3B7B">
        <w:t>entidades</w:t>
      </w:r>
      <w:r>
        <w:t xml:space="preserve"> territoriales en ese año ni en 2016. Adicionalmente, al revisar el destino de los créditos de FINDETER en el 2015 y en el 2016 (</w:t>
      </w:r>
      <w:r>
        <w:fldChar w:fldCharType="begin"/>
      </w:r>
      <w:r>
        <w:instrText xml:space="preserve"> REF _Ref487590265 \h </w:instrText>
      </w:r>
      <w:r>
        <w:fldChar w:fldCharType="separate"/>
      </w:r>
      <w:r>
        <w:t xml:space="preserve">Gráficos </w:t>
      </w:r>
      <w:r>
        <w:rPr>
          <w:noProof/>
        </w:rPr>
        <w:t>3</w:t>
      </w:r>
      <w:r>
        <w:fldChar w:fldCharType="end"/>
      </w:r>
      <w:r>
        <w:t xml:space="preserve"> y  </w:t>
      </w:r>
      <w:r>
        <w:fldChar w:fldCharType="begin"/>
      </w:r>
      <w:r>
        <w:instrText xml:space="preserve"> REF _Ref487590272 \h </w:instrText>
      </w:r>
      <w:r>
        <w:fldChar w:fldCharType="separate"/>
      </w:r>
      <w:r>
        <w:rPr>
          <w:noProof/>
        </w:rPr>
        <w:t>4</w:t>
      </w:r>
      <w:r>
        <w:fldChar w:fldCharType="end"/>
      </w:r>
      <w:r>
        <w:t>), se evidencia que ningún crédito se destinó al sector agropecuario.</w:t>
      </w:r>
    </w:p>
    <w:p w:rsidR="000D772D" w:rsidRDefault="000D772D" w:rsidP="000D772D">
      <w:pPr>
        <w:pStyle w:val="Descripcin"/>
        <w:keepNext/>
      </w:pPr>
      <w:bookmarkStart w:id="2" w:name="_Ref487589143"/>
      <w:r>
        <w:t xml:space="preserve">Cuadro </w:t>
      </w:r>
      <w:r w:rsidR="007566DC">
        <w:fldChar w:fldCharType="begin"/>
      </w:r>
      <w:r w:rsidR="007566DC">
        <w:instrText xml:space="preserve"> SEQ Tabla \* ARABIC </w:instrText>
      </w:r>
      <w:r w:rsidR="007566DC">
        <w:fldChar w:fldCharType="separate"/>
      </w:r>
      <w:r>
        <w:rPr>
          <w:noProof/>
        </w:rPr>
        <w:t>3</w:t>
      </w:r>
      <w:r w:rsidR="007566DC">
        <w:rPr>
          <w:noProof/>
        </w:rPr>
        <w:fldChar w:fldCharType="end"/>
      </w:r>
      <w:bookmarkEnd w:id="2"/>
      <w:r>
        <w:t>. Desembolsos FINDETER 2015. Cifras en Millones</w:t>
      </w:r>
    </w:p>
    <w:tbl>
      <w:tblPr>
        <w:tblStyle w:val="Tabladecuadrcula4-nfasis6"/>
        <w:tblW w:w="0" w:type="auto"/>
        <w:jc w:val="center"/>
        <w:tblLook w:val="04A0" w:firstRow="1" w:lastRow="0" w:firstColumn="1" w:lastColumn="0" w:noHBand="0" w:noVBand="1"/>
      </w:tblPr>
      <w:tblGrid>
        <w:gridCol w:w="2061"/>
        <w:gridCol w:w="1110"/>
        <w:gridCol w:w="807"/>
      </w:tblGrid>
      <w:tr w:rsidR="000D772D" w:rsidRPr="00A37434" w:rsidTr="000D772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0D772D" w:rsidRPr="00A37434" w:rsidRDefault="000D772D" w:rsidP="000D772D">
            <w:pPr>
              <w:jc w:val="center"/>
              <w:rPr>
                <w:rFonts w:ascii="Calibri" w:eastAsia="Times New Roman" w:hAnsi="Calibri" w:cs="Calibri"/>
                <w:szCs w:val="24"/>
                <w:lang w:eastAsia="es-CO"/>
              </w:rPr>
            </w:pPr>
            <w:r w:rsidRPr="00DE14D8">
              <w:rPr>
                <w:rFonts w:ascii="Calibri" w:eastAsia="Times New Roman" w:hAnsi="Calibri" w:cs="Calibri"/>
                <w:szCs w:val="24"/>
                <w:lang w:eastAsia="es-CO"/>
              </w:rPr>
              <w:t>Categoría</w:t>
            </w:r>
            <w:r w:rsidRPr="00A37434">
              <w:rPr>
                <w:rFonts w:ascii="Calibri" w:eastAsia="Times New Roman" w:hAnsi="Calibri" w:cs="Calibri"/>
                <w:szCs w:val="24"/>
                <w:lang w:eastAsia="es-CO"/>
              </w:rPr>
              <w:t xml:space="preserve"> Municipio</w:t>
            </w:r>
          </w:p>
        </w:tc>
        <w:tc>
          <w:tcPr>
            <w:tcW w:w="0" w:type="auto"/>
            <w:hideMark/>
          </w:tcPr>
          <w:p w:rsidR="000D772D" w:rsidRPr="00A37434" w:rsidRDefault="000D772D" w:rsidP="000D772D">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Cs w:val="24"/>
                <w:lang w:eastAsia="es-CO"/>
              </w:rPr>
            </w:pPr>
            <w:r w:rsidRPr="00A37434">
              <w:rPr>
                <w:rFonts w:ascii="Calibri" w:eastAsia="Times New Roman" w:hAnsi="Calibri" w:cs="Calibri"/>
                <w:szCs w:val="24"/>
                <w:lang w:eastAsia="es-CO"/>
              </w:rPr>
              <w:t>Monto</w:t>
            </w:r>
          </w:p>
        </w:tc>
        <w:tc>
          <w:tcPr>
            <w:tcW w:w="0" w:type="auto"/>
            <w:hideMark/>
          </w:tcPr>
          <w:p w:rsidR="000D772D" w:rsidRPr="00A37434" w:rsidRDefault="000D772D" w:rsidP="000D772D">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Cs w:val="24"/>
                <w:lang w:eastAsia="es-CO"/>
              </w:rPr>
            </w:pPr>
            <w:r w:rsidRPr="00A37434">
              <w:rPr>
                <w:rFonts w:ascii="Calibri" w:eastAsia="Times New Roman" w:hAnsi="Calibri" w:cs="Calibri"/>
                <w:szCs w:val="24"/>
                <w:lang w:eastAsia="es-CO"/>
              </w:rPr>
              <w:t>% Part</w:t>
            </w:r>
          </w:p>
        </w:tc>
      </w:tr>
      <w:tr w:rsidR="000D772D" w:rsidRPr="00A37434" w:rsidTr="000D772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0D772D" w:rsidRPr="00A37434" w:rsidRDefault="000D772D" w:rsidP="000D772D">
            <w:pPr>
              <w:rPr>
                <w:rFonts w:ascii="Calibri" w:eastAsia="Times New Roman" w:hAnsi="Calibri" w:cs="Calibri"/>
                <w:szCs w:val="24"/>
                <w:lang w:eastAsia="es-CO"/>
              </w:rPr>
            </w:pPr>
            <w:r w:rsidRPr="00A37434">
              <w:rPr>
                <w:rFonts w:ascii="Calibri" w:eastAsia="Times New Roman" w:hAnsi="Calibri" w:cs="Calibri"/>
                <w:szCs w:val="24"/>
                <w:lang w:eastAsia="es-CO"/>
              </w:rPr>
              <w:t>1</w:t>
            </w:r>
          </w:p>
        </w:tc>
        <w:tc>
          <w:tcPr>
            <w:tcW w:w="0" w:type="auto"/>
            <w:hideMark/>
          </w:tcPr>
          <w:p w:rsidR="000D772D" w:rsidRPr="00A37434" w:rsidRDefault="000D772D" w:rsidP="000D772D">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4"/>
                <w:lang w:eastAsia="es-CO"/>
              </w:rPr>
            </w:pPr>
            <w:r>
              <w:rPr>
                <w:rFonts w:ascii="Calibri" w:eastAsia="Times New Roman" w:hAnsi="Calibri" w:cs="Calibri"/>
                <w:szCs w:val="24"/>
                <w:lang w:eastAsia="es-CO"/>
              </w:rPr>
              <w:t>312,</w:t>
            </w:r>
            <w:r w:rsidRPr="00A37434">
              <w:rPr>
                <w:rFonts w:ascii="Calibri" w:eastAsia="Times New Roman" w:hAnsi="Calibri" w:cs="Calibri"/>
                <w:szCs w:val="24"/>
                <w:lang w:eastAsia="es-CO"/>
              </w:rPr>
              <w:t>440</w:t>
            </w:r>
          </w:p>
        </w:tc>
        <w:tc>
          <w:tcPr>
            <w:tcW w:w="0" w:type="auto"/>
            <w:hideMark/>
          </w:tcPr>
          <w:p w:rsidR="000D772D" w:rsidRPr="00A37434" w:rsidRDefault="000D772D" w:rsidP="000D772D">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4"/>
                <w:lang w:eastAsia="es-CO"/>
              </w:rPr>
            </w:pPr>
            <w:r w:rsidRPr="00A37434">
              <w:rPr>
                <w:rFonts w:ascii="Calibri" w:eastAsia="Times New Roman" w:hAnsi="Calibri" w:cs="Calibri"/>
                <w:szCs w:val="24"/>
                <w:lang w:eastAsia="es-CO"/>
              </w:rPr>
              <w:t>14%</w:t>
            </w:r>
          </w:p>
        </w:tc>
      </w:tr>
      <w:tr w:rsidR="000D772D" w:rsidRPr="00A37434" w:rsidTr="000D772D">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0D772D" w:rsidRPr="00A37434" w:rsidRDefault="000D772D" w:rsidP="000D772D">
            <w:pPr>
              <w:rPr>
                <w:rFonts w:ascii="Calibri" w:eastAsia="Times New Roman" w:hAnsi="Calibri" w:cs="Calibri"/>
                <w:szCs w:val="24"/>
                <w:lang w:eastAsia="es-CO"/>
              </w:rPr>
            </w:pPr>
            <w:r w:rsidRPr="00A37434">
              <w:rPr>
                <w:rFonts w:ascii="Calibri" w:eastAsia="Times New Roman" w:hAnsi="Calibri" w:cs="Calibri"/>
                <w:szCs w:val="24"/>
                <w:lang w:eastAsia="es-CO"/>
              </w:rPr>
              <w:t>2</w:t>
            </w:r>
          </w:p>
        </w:tc>
        <w:tc>
          <w:tcPr>
            <w:tcW w:w="0" w:type="auto"/>
            <w:hideMark/>
          </w:tcPr>
          <w:p w:rsidR="000D772D" w:rsidRPr="00A37434" w:rsidRDefault="000D772D" w:rsidP="000D772D">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4"/>
                <w:lang w:eastAsia="es-CO"/>
              </w:rPr>
            </w:pPr>
            <w:r>
              <w:rPr>
                <w:rFonts w:ascii="Calibri" w:eastAsia="Times New Roman" w:hAnsi="Calibri" w:cs="Calibri"/>
                <w:szCs w:val="24"/>
                <w:lang w:eastAsia="es-CO"/>
              </w:rPr>
              <w:t>127,</w:t>
            </w:r>
            <w:r w:rsidRPr="00A37434">
              <w:rPr>
                <w:rFonts w:ascii="Calibri" w:eastAsia="Times New Roman" w:hAnsi="Calibri" w:cs="Calibri"/>
                <w:szCs w:val="24"/>
                <w:lang w:eastAsia="es-CO"/>
              </w:rPr>
              <w:t>364</w:t>
            </w:r>
          </w:p>
        </w:tc>
        <w:tc>
          <w:tcPr>
            <w:tcW w:w="0" w:type="auto"/>
            <w:hideMark/>
          </w:tcPr>
          <w:p w:rsidR="000D772D" w:rsidRPr="00A37434" w:rsidRDefault="000D772D" w:rsidP="000D772D">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4"/>
                <w:lang w:eastAsia="es-CO"/>
              </w:rPr>
            </w:pPr>
            <w:r w:rsidRPr="00A37434">
              <w:rPr>
                <w:rFonts w:ascii="Calibri" w:eastAsia="Times New Roman" w:hAnsi="Calibri" w:cs="Calibri"/>
                <w:szCs w:val="24"/>
                <w:lang w:eastAsia="es-CO"/>
              </w:rPr>
              <w:t>6%</w:t>
            </w:r>
          </w:p>
        </w:tc>
      </w:tr>
      <w:tr w:rsidR="000D772D" w:rsidRPr="00A37434" w:rsidTr="000D772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0D772D" w:rsidRPr="00A37434" w:rsidRDefault="000D772D" w:rsidP="000D772D">
            <w:pPr>
              <w:rPr>
                <w:rFonts w:ascii="Calibri" w:eastAsia="Times New Roman" w:hAnsi="Calibri" w:cs="Calibri"/>
                <w:szCs w:val="24"/>
                <w:lang w:eastAsia="es-CO"/>
              </w:rPr>
            </w:pPr>
            <w:r w:rsidRPr="00A37434">
              <w:rPr>
                <w:rFonts w:ascii="Calibri" w:eastAsia="Times New Roman" w:hAnsi="Calibri" w:cs="Calibri"/>
                <w:szCs w:val="24"/>
                <w:lang w:eastAsia="es-CO"/>
              </w:rPr>
              <w:t>3</w:t>
            </w:r>
          </w:p>
        </w:tc>
        <w:tc>
          <w:tcPr>
            <w:tcW w:w="0" w:type="auto"/>
            <w:hideMark/>
          </w:tcPr>
          <w:p w:rsidR="000D772D" w:rsidRPr="00A37434" w:rsidRDefault="000D772D" w:rsidP="000D772D">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4"/>
                <w:lang w:eastAsia="es-CO"/>
              </w:rPr>
            </w:pPr>
            <w:r>
              <w:rPr>
                <w:rFonts w:ascii="Calibri" w:eastAsia="Times New Roman" w:hAnsi="Calibri" w:cs="Calibri"/>
                <w:szCs w:val="24"/>
                <w:lang w:eastAsia="es-CO"/>
              </w:rPr>
              <w:t>114,</w:t>
            </w:r>
            <w:r w:rsidRPr="00A37434">
              <w:rPr>
                <w:rFonts w:ascii="Calibri" w:eastAsia="Times New Roman" w:hAnsi="Calibri" w:cs="Calibri"/>
                <w:szCs w:val="24"/>
                <w:lang w:eastAsia="es-CO"/>
              </w:rPr>
              <w:t>904</w:t>
            </w:r>
          </w:p>
        </w:tc>
        <w:tc>
          <w:tcPr>
            <w:tcW w:w="0" w:type="auto"/>
            <w:hideMark/>
          </w:tcPr>
          <w:p w:rsidR="000D772D" w:rsidRPr="00A37434" w:rsidRDefault="000D772D" w:rsidP="000D772D">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4"/>
                <w:lang w:eastAsia="es-CO"/>
              </w:rPr>
            </w:pPr>
            <w:r w:rsidRPr="00A37434">
              <w:rPr>
                <w:rFonts w:ascii="Calibri" w:eastAsia="Times New Roman" w:hAnsi="Calibri" w:cs="Calibri"/>
                <w:szCs w:val="24"/>
                <w:lang w:eastAsia="es-CO"/>
              </w:rPr>
              <w:t>5%</w:t>
            </w:r>
          </w:p>
        </w:tc>
      </w:tr>
      <w:tr w:rsidR="000D772D" w:rsidRPr="00A37434" w:rsidTr="000D772D">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0D772D" w:rsidRPr="00A37434" w:rsidRDefault="000D772D" w:rsidP="000D772D">
            <w:pPr>
              <w:rPr>
                <w:rFonts w:ascii="Calibri" w:eastAsia="Times New Roman" w:hAnsi="Calibri" w:cs="Calibri"/>
                <w:szCs w:val="24"/>
                <w:lang w:eastAsia="es-CO"/>
              </w:rPr>
            </w:pPr>
            <w:r w:rsidRPr="00A37434">
              <w:rPr>
                <w:rFonts w:ascii="Calibri" w:eastAsia="Times New Roman" w:hAnsi="Calibri" w:cs="Calibri"/>
                <w:szCs w:val="24"/>
                <w:lang w:eastAsia="es-CO"/>
              </w:rPr>
              <w:t>4</w:t>
            </w:r>
          </w:p>
        </w:tc>
        <w:tc>
          <w:tcPr>
            <w:tcW w:w="0" w:type="auto"/>
            <w:hideMark/>
          </w:tcPr>
          <w:p w:rsidR="000D772D" w:rsidRPr="00A37434" w:rsidRDefault="000D772D" w:rsidP="000D772D">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4"/>
                <w:lang w:eastAsia="es-CO"/>
              </w:rPr>
            </w:pPr>
            <w:r>
              <w:rPr>
                <w:rFonts w:ascii="Calibri" w:eastAsia="Times New Roman" w:hAnsi="Calibri" w:cs="Calibri"/>
                <w:szCs w:val="24"/>
                <w:lang w:eastAsia="es-CO"/>
              </w:rPr>
              <w:t>13,</w:t>
            </w:r>
            <w:r w:rsidRPr="00A37434">
              <w:rPr>
                <w:rFonts w:ascii="Calibri" w:eastAsia="Times New Roman" w:hAnsi="Calibri" w:cs="Calibri"/>
                <w:szCs w:val="24"/>
                <w:lang w:eastAsia="es-CO"/>
              </w:rPr>
              <w:t>274</w:t>
            </w:r>
          </w:p>
        </w:tc>
        <w:tc>
          <w:tcPr>
            <w:tcW w:w="0" w:type="auto"/>
            <w:hideMark/>
          </w:tcPr>
          <w:p w:rsidR="000D772D" w:rsidRPr="00A37434" w:rsidRDefault="000D772D" w:rsidP="000D772D">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4"/>
                <w:lang w:eastAsia="es-CO"/>
              </w:rPr>
            </w:pPr>
            <w:r w:rsidRPr="00A37434">
              <w:rPr>
                <w:rFonts w:ascii="Calibri" w:eastAsia="Times New Roman" w:hAnsi="Calibri" w:cs="Calibri"/>
                <w:szCs w:val="24"/>
                <w:lang w:eastAsia="es-CO"/>
              </w:rPr>
              <w:t>1%</w:t>
            </w:r>
          </w:p>
        </w:tc>
      </w:tr>
      <w:tr w:rsidR="000D772D" w:rsidRPr="00A37434" w:rsidTr="000D772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0D772D" w:rsidRPr="00A37434" w:rsidRDefault="000D772D" w:rsidP="000D772D">
            <w:pPr>
              <w:rPr>
                <w:rFonts w:ascii="Calibri" w:eastAsia="Times New Roman" w:hAnsi="Calibri" w:cs="Calibri"/>
                <w:szCs w:val="24"/>
                <w:lang w:eastAsia="es-CO"/>
              </w:rPr>
            </w:pPr>
            <w:r w:rsidRPr="00A37434">
              <w:rPr>
                <w:rFonts w:ascii="Calibri" w:eastAsia="Times New Roman" w:hAnsi="Calibri" w:cs="Calibri"/>
                <w:szCs w:val="24"/>
                <w:lang w:eastAsia="es-CO"/>
              </w:rPr>
              <w:t>5</w:t>
            </w:r>
          </w:p>
        </w:tc>
        <w:tc>
          <w:tcPr>
            <w:tcW w:w="0" w:type="auto"/>
            <w:hideMark/>
          </w:tcPr>
          <w:p w:rsidR="000D772D" w:rsidRPr="00A37434" w:rsidRDefault="000D772D" w:rsidP="000D772D">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4"/>
                <w:lang w:eastAsia="es-CO"/>
              </w:rPr>
            </w:pPr>
            <w:r>
              <w:rPr>
                <w:rFonts w:ascii="Calibri" w:eastAsia="Times New Roman" w:hAnsi="Calibri" w:cs="Calibri"/>
                <w:szCs w:val="24"/>
                <w:lang w:eastAsia="es-CO"/>
              </w:rPr>
              <w:t>28,</w:t>
            </w:r>
            <w:r w:rsidRPr="00A37434">
              <w:rPr>
                <w:rFonts w:ascii="Calibri" w:eastAsia="Times New Roman" w:hAnsi="Calibri" w:cs="Calibri"/>
                <w:szCs w:val="24"/>
                <w:lang w:eastAsia="es-CO"/>
              </w:rPr>
              <w:t>605</w:t>
            </w:r>
          </w:p>
        </w:tc>
        <w:tc>
          <w:tcPr>
            <w:tcW w:w="0" w:type="auto"/>
            <w:hideMark/>
          </w:tcPr>
          <w:p w:rsidR="000D772D" w:rsidRPr="00A37434" w:rsidRDefault="000D772D" w:rsidP="000D772D">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4"/>
                <w:lang w:eastAsia="es-CO"/>
              </w:rPr>
            </w:pPr>
            <w:r w:rsidRPr="00A37434">
              <w:rPr>
                <w:rFonts w:ascii="Calibri" w:eastAsia="Times New Roman" w:hAnsi="Calibri" w:cs="Calibri"/>
                <w:szCs w:val="24"/>
                <w:lang w:eastAsia="es-CO"/>
              </w:rPr>
              <w:t>1%</w:t>
            </w:r>
          </w:p>
        </w:tc>
      </w:tr>
      <w:tr w:rsidR="000D772D" w:rsidRPr="00A37434" w:rsidTr="000D772D">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0D772D" w:rsidRPr="00A37434" w:rsidRDefault="000D772D" w:rsidP="000D772D">
            <w:pPr>
              <w:rPr>
                <w:rFonts w:ascii="Calibri" w:eastAsia="Times New Roman" w:hAnsi="Calibri" w:cs="Calibri"/>
                <w:szCs w:val="24"/>
                <w:lang w:eastAsia="es-CO"/>
              </w:rPr>
            </w:pPr>
            <w:r w:rsidRPr="00A37434">
              <w:rPr>
                <w:rFonts w:ascii="Calibri" w:eastAsia="Times New Roman" w:hAnsi="Calibri" w:cs="Calibri"/>
                <w:szCs w:val="24"/>
                <w:lang w:eastAsia="es-CO"/>
              </w:rPr>
              <w:t>6</w:t>
            </w:r>
          </w:p>
        </w:tc>
        <w:tc>
          <w:tcPr>
            <w:tcW w:w="0" w:type="auto"/>
            <w:hideMark/>
          </w:tcPr>
          <w:p w:rsidR="000D772D" w:rsidRPr="00A37434" w:rsidRDefault="000D772D" w:rsidP="000D772D">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4"/>
                <w:lang w:eastAsia="es-CO"/>
              </w:rPr>
            </w:pPr>
            <w:r>
              <w:rPr>
                <w:rFonts w:ascii="Calibri" w:eastAsia="Times New Roman" w:hAnsi="Calibri" w:cs="Calibri"/>
                <w:szCs w:val="24"/>
                <w:lang w:eastAsia="es-CO"/>
              </w:rPr>
              <w:t>243,</w:t>
            </w:r>
            <w:r w:rsidRPr="00A37434">
              <w:rPr>
                <w:rFonts w:ascii="Calibri" w:eastAsia="Times New Roman" w:hAnsi="Calibri" w:cs="Calibri"/>
                <w:szCs w:val="24"/>
                <w:lang w:eastAsia="es-CO"/>
              </w:rPr>
              <w:t>029</w:t>
            </w:r>
          </w:p>
        </w:tc>
        <w:tc>
          <w:tcPr>
            <w:tcW w:w="0" w:type="auto"/>
            <w:hideMark/>
          </w:tcPr>
          <w:p w:rsidR="000D772D" w:rsidRPr="00A37434" w:rsidRDefault="000D772D" w:rsidP="000D772D">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4"/>
                <w:lang w:eastAsia="es-CO"/>
              </w:rPr>
            </w:pPr>
            <w:r w:rsidRPr="00A37434">
              <w:rPr>
                <w:rFonts w:ascii="Calibri" w:eastAsia="Times New Roman" w:hAnsi="Calibri" w:cs="Calibri"/>
                <w:szCs w:val="24"/>
                <w:lang w:eastAsia="es-CO"/>
              </w:rPr>
              <w:t>11%</w:t>
            </w:r>
          </w:p>
        </w:tc>
      </w:tr>
      <w:tr w:rsidR="000D772D" w:rsidRPr="00A37434" w:rsidTr="000D772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0D772D" w:rsidRPr="00A37434" w:rsidRDefault="000D772D" w:rsidP="000D772D">
            <w:pPr>
              <w:rPr>
                <w:rFonts w:ascii="Calibri" w:eastAsia="Times New Roman" w:hAnsi="Calibri" w:cs="Calibri"/>
                <w:szCs w:val="24"/>
                <w:lang w:eastAsia="es-CO"/>
              </w:rPr>
            </w:pPr>
            <w:r w:rsidRPr="00A37434">
              <w:rPr>
                <w:rFonts w:ascii="Calibri" w:eastAsia="Times New Roman" w:hAnsi="Calibri" w:cs="Calibri"/>
                <w:szCs w:val="24"/>
                <w:lang w:eastAsia="es-CO"/>
              </w:rPr>
              <w:t>Especial</w:t>
            </w:r>
          </w:p>
        </w:tc>
        <w:tc>
          <w:tcPr>
            <w:tcW w:w="0" w:type="auto"/>
            <w:hideMark/>
          </w:tcPr>
          <w:p w:rsidR="000D772D" w:rsidRPr="00A37434" w:rsidRDefault="000D772D" w:rsidP="000D772D">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4"/>
                <w:lang w:eastAsia="es-CO"/>
              </w:rPr>
            </w:pPr>
            <w:r>
              <w:rPr>
                <w:rFonts w:ascii="Calibri" w:eastAsia="Times New Roman" w:hAnsi="Calibri" w:cs="Calibri"/>
                <w:szCs w:val="24"/>
                <w:lang w:eastAsia="es-CO"/>
              </w:rPr>
              <w:t>1,458,</w:t>
            </w:r>
            <w:r w:rsidRPr="00A37434">
              <w:rPr>
                <w:rFonts w:ascii="Calibri" w:eastAsia="Times New Roman" w:hAnsi="Calibri" w:cs="Calibri"/>
                <w:szCs w:val="24"/>
                <w:lang w:eastAsia="es-CO"/>
              </w:rPr>
              <w:t>718</w:t>
            </w:r>
          </w:p>
        </w:tc>
        <w:tc>
          <w:tcPr>
            <w:tcW w:w="0" w:type="auto"/>
            <w:hideMark/>
          </w:tcPr>
          <w:p w:rsidR="000D772D" w:rsidRPr="00A37434" w:rsidRDefault="000D772D" w:rsidP="000D772D">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4"/>
                <w:lang w:eastAsia="es-CO"/>
              </w:rPr>
            </w:pPr>
            <w:r w:rsidRPr="00A37434">
              <w:rPr>
                <w:rFonts w:ascii="Calibri" w:eastAsia="Times New Roman" w:hAnsi="Calibri" w:cs="Calibri"/>
                <w:szCs w:val="24"/>
                <w:lang w:eastAsia="es-CO"/>
              </w:rPr>
              <w:t>63%</w:t>
            </w:r>
          </w:p>
        </w:tc>
      </w:tr>
      <w:tr w:rsidR="000D772D" w:rsidRPr="00A37434" w:rsidTr="000D772D">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0D772D" w:rsidRPr="00A37434" w:rsidRDefault="000D772D" w:rsidP="000D772D">
            <w:pPr>
              <w:spacing w:before="100" w:beforeAutospacing="1" w:after="100" w:afterAutospacing="1"/>
              <w:rPr>
                <w:rFonts w:ascii="Calibri" w:eastAsia="Times New Roman" w:hAnsi="Calibri" w:cs="Calibri"/>
                <w:szCs w:val="24"/>
                <w:lang w:eastAsia="es-CO"/>
              </w:rPr>
            </w:pPr>
            <w:r w:rsidRPr="00DE14D8">
              <w:rPr>
                <w:rFonts w:ascii="Calibri" w:eastAsia="Times New Roman" w:hAnsi="Calibri" w:cs="Calibri"/>
                <w:szCs w:val="24"/>
                <w:lang w:eastAsia="es-CO"/>
              </w:rPr>
              <w:t>Total General</w:t>
            </w:r>
          </w:p>
        </w:tc>
        <w:tc>
          <w:tcPr>
            <w:tcW w:w="0" w:type="auto"/>
            <w:hideMark/>
          </w:tcPr>
          <w:p w:rsidR="000D772D" w:rsidRPr="00A37434" w:rsidRDefault="000D772D" w:rsidP="000D772D">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4"/>
                <w:lang w:eastAsia="es-CO"/>
              </w:rPr>
            </w:pPr>
            <w:r>
              <w:rPr>
                <w:rFonts w:ascii="Calibri" w:eastAsia="Times New Roman" w:hAnsi="Calibri" w:cs="Calibri"/>
                <w:b/>
                <w:bCs/>
                <w:szCs w:val="24"/>
                <w:lang w:eastAsia="es-CO"/>
              </w:rPr>
              <w:t>2,298,</w:t>
            </w:r>
            <w:r w:rsidRPr="00DE14D8">
              <w:rPr>
                <w:rFonts w:ascii="Calibri" w:eastAsia="Times New Roman" w:hAnsi="Calibri" w:cs="Calibri"/>
                <w:b/>
                <w:bCs/>
                <w:szCs w:val="24"/>
                <w:lang w:eastAsia="es-CO"/>
              </w:rPr>
              <w:t>334</w:t>
            </w:r>
          </w:p>
        </w:tc>
        <w:tc>
          <w:tcPr>
            <w:tcW w:w="0" w:type="auto"/>
            <w:hideMark/>
          </w:tcPr>
          <w:p w:rsidR="000D772D" w:rsidRPr="00A37434" w:rsidRDefault="000D772D" w:rsidP="000D772D">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4"/>
                <w:lang w:eastAsia="es-CO"/>
              </w:rPr>
            </w:pPr>
            <w:r w:rsidRPr="00DE14D8">
              <w:rPr>
                <w:rFonts w:ascii="Calibri" w:eastAsia="Times New Roman" w:hAnsi="Calibri" w:cs="Calibri"/>
                <w:b/>
                <w:bCs/>
                <w:szCs w:val="24"/>
                <w:lang w:eastAsia="es-CO"/>
              </w:rPr>
              <w:t>100%</w:t>
            </w:r>
          </w:p>
        </w:tc>
      </w:tr>
    </w:tbl>
    <w:p w:rsidR="000D772D" w:rsidRDefault="000D772D" w:rsidP="000D772D">
      <w:pPr>
        <w:jc w:val="right"/>
      </w:pPr>
    </w:p>
    <w:p w:rsidR="000D772D" w:rsidRDefault="000D772D" w:rsidP="000D772D">
      <w:pPr>
        <w:jc w:val="right"/>
      </w:pPr>
      <w:r>
        <w:t>Fuente: Informe de Gestión 2015 FINDETER</w:t>
      </w:r>
    </w:p>
    <w:p w:rsidR="000D772D" w:rsidRPr="00487361" w:rsidRDefault="000D772D" w:rsidP="000D772D">
      <w:pPr>
        <w:pStyle w:val="Descripcin"/>
        <w:keepNext/>
        <w:rPr>
          <w:i w:val="0"/>
        </w:rPr>
      </w:pPr>
      <w:bookmarkStart w:id="3" w:name="_Ref487590265"/>
      <w:r>
        <w:t xml:space="preserve">Gráfico </w:t>
      </w:r>
      <w:r w:rsidR="007566DC">
        <w:fldChar w:fldCharType="begin"/>
      </w:r>
      <w:r w:rsidR="007566DC">
        <w:instrText xml:space="preserve"> SEQ Ilustración \* ARABIC </w:instrText>
      </w:r>
      <w:r w:rsidR="007566DC">
        <w:fldChar w:fldCharType="separate"/>
      </w:r>
      <w:r>
        <w:rPr>
          <w:noProof/>
        </w:rPr>
        <w:t>3</w:t>
      </w:r>
      <w:r w:rsidR="007566DC">
        <w:rPr>
          <w:noProof/>
        </w:rPr>
        <w:fldChar w:fldCharType="end"/>
      </w:r>
      <w:bookmarkEnd w:id="3"/>
      <w:r>
        <w:t xml:space="preserve">. </w:t>
      </w:r>
      <w:r>
        <w:rPr>
          <w:i w:val="0"/>
        </w:rPr>
        <w:t>Desembolsos FINDETER 2015. Valor total: 2,3 billones de pesos</w:t>
      </w:r>
    </w:p>
    <w:p w:rsidR="000D772D" w:rsidRDefault="000D772D" w:rsidP="000D772D">
      <w:pPr>
        <w:jc w:val="right"/>
      </w:pPr>
      <w:r>
        <w:rPr>
          <w:noProof/>
          <w:lang w:val="es-ES" w:eastAsia="es-ES"/>
        </w:rPr>
        <w:drawing>
          <wp:inline distT="0" distB="0" distL="0" distR="0" wp14:anchorId="67B9804F" wp14:editId="527C437F">
            <wp:extent cx="5077290" cy="29527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50747" t="29885" r="1392" b="20608"/>
                    <a:stretch/>
                  </pic:blipFill>
                  <pic:spPr bwMode="auto">
                    <a:xfrm>
                      <a:off x="0" y="0"/>
                      <a:ext cx="5092069" cy="2961345"/>
                    </a:xfrm>
                    <a:prstGeom prst="rect">
                      <a:avLst/>
                    </a:prstGeom>
                    <a:ln>
                      <a:noFill/>
                    </a:ln>
                    <a:extLst>
                      <a:ext uri="{53640926-AAD7-44D8-BBD7-CCE9431645EC}">
                        <a14:shadowObscured xmlns:a14="http://schemas.microsoft.com/office/drawing/2010/main"/>
                      </a:ext>
                    </a:extLst>
                  </pic:spPr>
                </pic:pic>
              </a:graphicData>
            </a:graphic>
          </wp:inline>
        </w:drawing>
      </w:r>
    </w:p>
    <w:p w:rsidR="000D772D" w:rsidRDefault="000D772D" w:rsidP="000D772D">
      <w:pPr>
        <w:jc w:val="right"/>
      </w:pPr>
      <w:r>
        <w:t>Fuente: Informe de Gestión 2015 FINDETER</w:t>
      </w:r>
    </w:p>
    <w:p w:rsidR="000D772D" w:rsidRDefault="000D772D" w:rsidP="000D772D">
      <w:pPr>
        <w:pStyle w:val="Descripcin"/>
        <w:keepNext/>
      </w:pPr>
      <w:bookmarkStart w:id="4" w:name="_Ref487590272"/>
      <w:r>
        <w:lastRenderedPageBreak/>
        <w:t xml:space="preserve">Gráfico </w:t>
      </w:r>
      <w:r w:rsidR="007566DC">
        <w:fldChar w:fldCharType="begin"/>
      </w:r>
      <w:r w:rsidR="007566DC">
        <w:instrText xml:space="preserve"> SEQ Ilustración \* ARABIC </w:instrText>
      </w:r>
      <w:r w:rsidR="007566DC">
        <w:fldChar w:fldCharType="separate"/>
      </w:r>
      <w:r>
        <w:rPr>
          <w:noProof/>
        </w:rPr>
        <w:t>4</w:t>
      </w:r>
      <w:r w:rsidR="007566DC">
        <w:rPr>
          <w:noProof/>
        </w:rPr>
        <w:fldChar w:fldCharType="end"/>
      </w:r>
      <w:bookmarkEnd w:id="4"/>
      <w:r>
        <w:t>. Desembolsos FINDETER 2016. Valor total 2,3 billones de pesos</w:t>
      </w:r>
    </w:p>
    <w:p w:rsidR="000D772D" w:rsidRDefault="000D772D" w:rsidP="000D772D">
      <w:pPr>
        <w:jc w:val="right"/>
      </w:pPr>
      <w:r>
        <w:rPr>
          <w:noProof/>
          <w:lang w:val="es-ES" w:eastAsia="es-ES"/>
        </w:rPr>
        <w:drawing>
          <wp:inline distT="0" distB="0" distL="0" distR="0" wp14:anchorId="04362F17" wp14:editId="2DB93191">
            <wp:extent cx="5334000" cy="3403054"/>
            <wp:effectExtent l="0" t="0" r="0" b="698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38527" t="37432" r="14121" b="8834"/>
                    <a:stretch/>
                  </pic:blipFill>
                  <pic:spPr bwMode="auto">
                    <a:xfrm>
                      <a:off x="0" y="0"/>
                      <a:ext cx="5347350" cy="3411571"/>
                    </a:xfrm>
                    <a:prstGeom prst="rect">
                      <a:avLst/>
                    </a:prstGeom>
                    <a:ln>
                      <a:noFill/>
                    </a:ln>
                    <a:extLst>
                      <a:ext uri="{53640926-AAD7-44D8-BBD7-CCE9431645EC}">
                        <a14:shadowObscured xmlns:a14="http://schemas.microsoft.com/office/drawing/2010/main"/>
                      </a:ext>
                    </a:extLst>
                  </pic:spPr>
                </pic:pic>
              </a:graphicData>
            </a:graphic>
          </wp:inline>
        </w:drawing>
      </w:r>
    </w:p>
    <w:p w:rsidR="000D772D" w:rsidRDefault="000D772D" w:rsidP="000D772D">
      <w:pPr>
        <w:jc w:val="right"/>
      </w:pPr>
      <w:r>
        <w:t>Fuente: Informe de Gestión FINDETER 2016</w:t>
      </w:r>
    </w:p>
    <w:p w:rsidR="000D772D" w:rsidRDefault="000D772D" w:rsidP="000D772D">
      <w:pPr>
        <w:jc w:val="both"/>
      </w:pPr>
      <w:r>
        <w:t xml:space="preserve">Lo anterior demuestra que es necesario generar un mecanismo de financiamiento que permita el desarrollo de proyectos que potencien la actividad agropecuaria por parte de </w:t>
      </w:r>
      <w:r w:rsidR="00AB3B7B">
        <w:t>las entidades</w:t>
      </w:r>
      <w:r>
        <w:t xml:space="preserve"> territoriales. Proyectos de alta envergadura como son sistemas </w:t>
      </w:r>
      <w:r w:rsidR="00832204">
        <w:t xml:space="preserve">para el manejo racional del recurso hídrico (distrititos de riego y/o drenaje de pequeña y mediana escala, obras para el control de inundaciones, acueductos veredales para multiuso), </w:t>
      </w:r>
      <w:r>
        <w:t>plantas de sacrificio,</w:t>
      </w:r>
      <w:r w:rsidR="00832204">
        <w:t xml:space="preserve"> cadenas de frío,</w:t>
      </w:r>
      <w:r>
        <w:t xml:space="preserve"> bancos de maquinaria</w:t>
      </w:r>
      <w:r w:rsidR="00832204">
        <w:t>,</w:t>
      </w:r>
      <w:r>
        <w:t xml:space="preserve"> infraestructura de transformación</w:t>
      </w:r>
      <w:r w:rsidR="00832204">
        <w:t>, o programas de asistencia técnica integral</w:t>
      </w:r>
      <w:r>
        <w:t xml:space="preserve"> pueden fomentar la competitividad en las diversas zonas rurales de acuerdo con la</w:t>
      </w:r>
      <w:r w:rsidR="008859EF">
        <w:t xml:space="preserve">s condiciones agroecológicas </w:t>
      </w:r>
      <w:r>
        <w:t xml:space="preserve"> </w:t>
      </w:r>
      <w:r w:rsidR="008859EF">
        <w:t xml:space="preserve">de la región (suelos, clima, sistemas de producción agropecuaria, saberes y conocimientos ancestrales, rasgos culturales, entre otros) </w:t>
      </w:r>
      <w:r>
        <w:t xml:space="preserve">. Como se mostró en la sección de antecedentes, los recursos con que se puede contar para llevar a cabo estas inversiones de acuerdo a la disponibilidad presupuestal de </w:t>
      </w:r>
      <w:r w:rsidR="00C80FA2">
        <w:t>una entidad</w:t>
      </w:r>
      <w:r>
        <w:t xml:space="preserve"> territorial son bajos, especialmente cuando se debe velar por proveer los servicios que son fundamentales en el corto plazo. Sin embargo, dado el potencial que tiene el sector agropecuario colombiano, si no se cuenta con estos implementos se estaría limitando el crecimiento potencial de la región, generando un estancamiento de la región que llevaría no solo a la profundización de la brecha urbano-rural, sino que también promovería el desplazamiento de las personas a otras regiones, limitando el potencial de crecimiento del país. </w:t>
      </w:r>
    </w:p>
    <w:p w:rsidR="000D772D" w:rsidRDefault="000D772D" w:rsidP="000D772D">
      <w:pPr>
        <w:keepNext/>
        <w:jc w:val="both"/>
      </w:pPr>
      <w:r>
        <w:t xml:space="preserve">Pese a estas dificultades presupuestales, </w:t>
      </w:r>
      <w:r w:rsidR="00AB3B7B">
        <w:t>las entidades</w:t>
      </w:r>
      <w:r>
        <w:t xml:space="preserve"> territoriales son los llamados a realizar obras de gran impacto para su comunidad relacionadas con el sector agropecuario. Ejemplo de esto son las inversiones asociadas con el Decreto 1500 de 2007, sobre las plantas de beneficio que se deben llevar a cabo por temas de salubridad. De las plantas identificadas una proporción significativa corresponde a mataderos de carácter municipal (292), y donde el acceso a financiamiento ha sido </w:t>
      </w:r>
      <w:r>
        <w:lastRenderedPageBreak/>
        <w:t xml:space="preserve">una de las principales barreras para la implementación del mismo, ya que las líneas de crédito existentes para atender sus necesidades presentan unas condiciones que no les son atractivas. </w:t>
      </w:r>
    </w:p>
    <w:p w:rsidR="000D772D" w:rsidRDefault="000D772D" w:rsidP="000D772D">
      <w:pPr>
        <w:keepNext/>
        <w:jc w:val="both"/>
      </w:pPr>
      <w:r>
        <w:t xml:space="preserve">Debido a que </w:t>
      </w:r>
      <w:r w:rsidR="00AB3B7B">
        <w:t>las entidades</w:t>
      </w:r>
      <w:r>
        <w:t xml:space="preserve"> territoriales deben seguir un proceso estricto, bajo el cual las inversiones que realicen con recursos de crédito se tienen que articular con su Plan de Desarrollo, y que el tema agropecuario es uno de los ejes de crecimiento fundamentales en el marco del posconflicto, es necesario que estos puedan contar con los recursos suficientes para poder atender las necesidades de su región. Adicionalmente, los municipios donde el aspecto agropecuario es uno de los pilares de crecimiento de su región se caracterizan porque la mayoría de su población presenta altos niveles de pobreza, como lo refleja que la incidencia del Índice de Pobreza Multidimencional a 2015 en zonas rurales fuera del 80%, contra uno del 39% en zonas urbanas.</w:t>
      </w:r>
    </w:p>
    <w:p w:rsidR="000D772D" w:rsidRDefault="000D772D" w:rsidP="000D772D">
      <w:pPr>
        <w:keepNext/>
        <w:jc w:val="both"/>
      </w:pPr>
      <w:r>
        <w:t xml:space="preserve">Por todo lo anterior, se hace necesario modificar la oferta de financiamiento a </w:t>
      </w:r>
      <w:r w:rsidR="00AB3B7B">
        <w:t>entidades</w:t>
      </w:r>
      <w:r>
        <w:t xml:space="preserve"> territoriales por parte de FINAGRO, de tal modo que estos puedan acceder en unas condiciones que sean competitivas para ellos pero que a la vez fomenten al intermediario financiero a financiar a estos agentes.</w:t>
      </w:r>
    </w:p>
    <w:p w:rsidR="000D772D" w:rsidRDefault="000D772D" w:rsidP="000D772D">
      <w:pPr>
        <w:pStyle w:val="Prrafodelista"/>
        <w:numPr>
          <w:ilvl w:val="0"/>
          <w:numId w:val="10"/>
        </w:numPr>
        <w:jc w:val="both"/>
        <w:rPr>
          <w:b/>
        </w:rPr>
      </w:pPr>
      <w:r>
        <w:rPr>
          <w:b/>
        </w:rPr>
        <w:t>Propuesta</w:t>
      </w:r>
    </w:p>
    <w:p w:rsidR="000D772D" w:rsidRDefault="000D772D" w:rsidP="000D772D">
      <w:pPr>
        <w:keepNext/>
        <w:jc w:val="both"/>
      </w:pPr>
      <w:r>
        <w:t xml:space="preserve">Se propone a la Comisión Nacional de Crédito Agropecuario que </w:t>
      </w:r>
      <w:r w:rsidR="00C80FA2">
        <w:t>una entidad</w:t>
      </w:r>
      <w:r>
        <w:t xml:space="preserve"> territorial pueda acceder al crédito en condiciones FINAGRO con las mismas condiciones financieras de un crédito asociativo</w:t>
      </w:r>
      <w:r w:rsidR="008859EF">
        <w:t>, entendiendo que la provisión de bienes públicos</w:t>
      </w:r>
      <w:r w:rsidR="00296FBE">
        <w:t xml:space="preserve"> para el desarrollo del sector agropecuario en una región o territorio determinado es constituyen en los pilares fundamentales para fomentar la asociatividad y hacer el sector competitivo y sostenible</w:t>
      </w:r>
      <w:r w:rsidR="008859EF">
        <w:t xml:space="preserve"> </w:t>
      </w:r>
      <w:r>
        <w:t xml:space="preserve">. Uno de los pilares bajo el cual se constituyó el esquema asociativo actual de FINAGRO era que la mayoría de los beneficiarios fueran pequeños productores, hecho que se ratifica en un proyecto que </w:t>
      </w:r>
      <w:r w:rsidR="00C80FA2">
        <w:t>una entidad</w:t>
      </w:r>
      <w:r>
        <w:t xml:space="preserve"> territorial presente para beneficiar a su región debido a la composición poblacional </w:t>
      </w:r>
      <w:r w:rsidR="00296FBE">
        <w:t xml:space="preserve">del sector rural </w:t>
      </w:r>
      <w:r>
        <w:t xml:space="preserve">de cualquiera de los municipios del país. De igual forma, un proyecto bajo el marco de esquema asociativo tiene un fin comunal, hecho que también se ratifica en un proyecto de </w:t>
      </w:r>
      <w:r w:rsidR="00C80FA2">
        <w:t>una entidad</w:t>
      </w:r>
      <w:r>
        <w:t xml:space="preserve"> territorial, ya que este al final del día fomenta la cadena de valor y promueve un trabajo colectivo al interior de su región, lo cual será la base de su competitividad.</w:t>
      </w:r>
    </w:p>
    <w:p w:rsidR="000D772D" w:rsidRDefault="000D772D" w:rsidP="000D772D">
      <w:pPr>
        <w:keepNext/>
        <w:jc w:val="both"/>
      </w:pPr>
      <w:r>
        <w:t>De ofrecer estas condiciones</w:t>
      </w:r>
      <w:r w:rsidR="00E56304">
        <w:t xml:space="preserve"> de crédito</w:t>
      </w:r>
      <w:r>
        <w:t xml:space="preserve">, </w:t>
      </w:r>
      <w:r w:rsidR="003F5D54">
        <w:t xml:space="preserve">se mejorará </w:t>
      </w:r>
      <w:r w:rsidR="00E56304">
        <w:t xml:space="preserve">el atractivo </w:t>
      </w:r>
      <w:r>
        <w:t>tanto</w:t>
      </w:r>
      <w:r w:rsidR="003F5D54">
        <w:t xml:space="preserve"> de</w:t>
      </w:r>
      <w:r>
        <w:t xml:space="preserve"> </w:t>
      </w:r>
      <w:r w:rsidR="00AB3B7B">
        <w:t>las entidades</w:t>
      </w:r>
      <w:r>
        <w:t xml:space="preserve"> territoriales como los Intermediarios Financieros </w:t>
      </w:r>
      <w:r w:rsidR="003F5D54">
        <w:t xml:space="preserve">para la utilización del </w:t>
      </w:r>
      <w:r>
        <w:t xml:space="preserve">producto. Con estas condiciones, FINAGRO estaría ofreciendo una de las tasas de redescuento más bajas del mercado, facilitando un recurso a los intermediarios financieros para que estos puedan ofrecer un recurso en condiciones competitivas </w:t>
      </w:r>
      <w:r w:rsidR="003F5D54">
        <w:t>para el desarrollo del</w:t>
      </w:r>
      <w:r>
        <w:t xml:space="preserve"> sector agropecuario, de tal modo que los entes regionales que quieran acceder a la misma puedan contar con unas condiciones blandas sin la necesidad de un subsidio por parte del Gobierno Nacional</w:t>
      </w:r>
      <w:r w:rsidR="003F5D54">
        <w:t xml:space="preserve">, dejando de presente que se cuenta con la disponibilidad de recursos para fondear </w:t>
      </w:r>
      <w:r w:rsidR="001C7E75">
        <w:t>la demanda sin que se afecte la sostenibilidad financiera del Fondo</w:t>
      </w:r>
      <w:r>
        <w:t xml:space="preserve">. De igual forma, un tope a la tasa del DTF+5% </w:t>
      </w:r>
      <w:r w:rsidR="001C7E75">
        <w:t xml:space="preserve">permiten disponer de un </w:t>
      </w:r>
      <w:r>
        <w:t xml:space="preserve">margen </w:t>
      </w:r>
      <w:r w:rsidR="001C7E75">
        <w:t xml:space="preserve">razonable de 8.5% que por los montos esperados de </w:t>
      </w:r>
      <w:r>
        <w:t>las operaciones</w:t>
      </w:r>
      <w:r w:rsidR="001C7E75">
        <w:t xml:space="preserve"> y un menor riesgo asociado a las mismas</w:t>
      </w:r>
      <w:r>
        <w:t xml:space="preserve">, </w:t>
      </w:r>
      <w:r w:rsidR="001C7E75">
        <w:t>se podrán negociar tasas en</w:t>
      </w:r>
      <w:r>
        <w:t xml:space="preserve"> condiciones aún más favorables</w:t>
      </w:r>
      <w:r w:rsidR="001C7E75">
        <w:t xml:space="preserve"> para </w:t>
      </w:r>
      <w:r w:rsidR="00AB3B7B">
        <w:t>las entidades</w:t>
      </w:r>
      <w:r w:rsidR="001C7E75">
        <w:t xml:space="preserve"> territoriales</w:t>
      </w:r>
      <w:r>
        <w:t>.</w:t>
      </w:r>
    </w:p>
    <w:p w:rsidR="000D772D" w:rsidRDefault="000D772D" w:rsidP="000D772D">
      <w:pPr>
        <w:keepNext/>
        <w:jc w:val="both"/>
      </w:pPr>
      <w:r>
        <w:t xml:space="preserve">Ahora, como se ha expuesto, estas condiciones se otorgarían </w:t>
      </w:r>
      <w:r w:rsidR="001C7E75">
        <w:t xml:space="preserve">para financiar actividades </w:t>
      </w:r>
      <w:r>
        <w:t>específicas</w:t>
      </w:r>
      <w:r w:rsidR="001C7E75">
        <w:t xml:space="preserve"> que beneficien a los productores agropecuarios de una región o territorio determinado, y que sea incluyente para los pequeños productores, además que estarán articulados con las actividades que </w:t>
      </w:r>
      <w:r w:rsidR="001C7E75">
        <w:lastRenderedPageBreak/>
        <w:t xml:space="preserve">sean priorizadas por </w:t>
      </w:r>
      <w:r w:rsidR="00AB3B7B">
        <w:t>las entidades</w:t>
      </w:r>
      <w:r w:rsidR="001C7E75">
        <w:t xml:space="preserve"> territoriales en los PDET para la implementación del acuerdo para la terminación del conflicto y establecimiento de una paz estable y duradera específicamente para el Desarrollo Rural Integral</w:t>
      </w:r>
      <w:r>
        <w:t xml:space="preserve">. Como se ha argumentado, el objetivo de clasificar a </w:t>
      </w:r>
      <w:r w:rsidR="00AB3B7B">
        <w:t>las entidades</w:t>
      </w:r>
      <w:r>
        <w:t xml:space="preserve"> territoriales como un beneficiario del crédito en condiciones FINAGRO es promover las acciones que permitan el desarrollo de la actividad agropecuaria en la región. Por este motivo, </w:t>
      </w:r>
      <w:r w:rsidR="00AB3B7B">
        <w:t>las entidades</w:t>
      </w:r>
      <w:r>
        <w:t xml:space="preserve"> territoriales solo podrían acceder a financiamiento en los campos de Adecuación de Tierras</w:t>
      </w:r>
      <w:r w:rsidR="00B810A5">
        <w:t xml:space="preserve"> para el manejo racional del recurso hídrico</w:t>
      </w:r>
      <w:r>
        <w:t>, Adquisición de Maquinaria y Equipo</w:t>
      </w:r>
      <w:r w:rsidR="001C7E75">
        <w:t xml:space="preserve">, </w:t>
      </w:r>
      <w:r>
        <w:t>ya se</w:t>
      </w:r>
      <w:r w:rsidR="00B810A5">
        <w:t>a</w:t>
      </w:r>
      <w:r>
        <w:t xml:space="preserve"> está para la Producción</w:t>
      </w:r>
      <w:r w:rsidR="00B810A5">
        <w:t xml:space="preserve"> primaria</w:t>
      </w:r>
      <w:r w:rsidR="001C7E75">
        <w:t xml:space="preserve"> o para la construcción de bienes</w:t>
      </w:r>
      <w:r w:rsidR="00B810A5">
        <w:t xml:space="preserve"> </w:t>
      </w:r>
      <w:r w:rsidR="001C7E75">
        <w:t xml:space="preserve">públicos </w:t>
      </w:r>
      <w:r w:rsidR="00B810A5">
        <w:t>y su mantenimiento</w:t>
      </w:r>
      <w:r>
        <w:t xml:space="preserve">, </w:t>
      </w:r>
      <w:r w:rsidR="00B810A5">
        <w:t xml:space="preserve">Infraestructura para la </w:t>
      </w:r>
      <w:r>
        <w:t>Transformación, Comercialización</w:t>
      </w:r>
      <w:r w:rsidR="00B810A5">
        <w:t>,</w:t>
      </w:r>
      <w:r>
        <w:t xml:space="preserve"> </w:t>
      </w:r>
      <w:r w:rsidR="00B810A5">
        <w:t xml:space="preserve">y </w:t>
      </w:r>
      <w:r>
        <w:t xml:space="preserve">Servicios de Apoyo </w:t>
      </w:r>
      <w:r w:rsidR="00B810A5">
        <w:t xml:space="preserve">como la asistencia técnica integral </w:t>
      </w:r>
      <w:r>
        <w:t>(se adjunta una hoja de Excel donde se exponen las actividades que componen cada uno de estos campos).</w:t>
      </w:r>
    </w:p>
    <w:p w:rsidR="000D772D" w:rsidRDefault="000D772D" w:rsidP="000D772D">
      <w:pPr>
        <w:keepNext/>
        <w:jc w:val="both"/>
      </w:pPr>
      <w:r>
        <w:t xml:space="preserve">En materia de garantías, como se expuso en la sección de antecedentes, </w:t>
      </w:r>
      <w:r w:rsidR="00AB3B7B">
        <w:t>las entidades</w:t>
      </w:r>
      <w:r>
        <w:t xml:space="preserve"> territoriales ya han accedido previamente a una garantía del FAG. Sin embargo, dado el proceso de pignoración de ingresos a que está sujeto un crédito para los entes de acuerdo a los procesos establecidos por ley, no se ve necesario que estos créditos cuenten con una garantía diferente del FAG a la que se les defina según su tipo de activos. Es decir, si por su nivel de activos </w:t>
      </w:r>
      <w:r w:rsidR="00C80FA2">
        <w:t>una entidad</w:t>
      </w:r>
      <w:r>
        <w:t xml:space="preserve"> territorial sería clasificado como mediano o grande productor, las condiciones (cobertura y comisión) se deben asemejar a la de este tipo de productor.</w:t>
      </w:r>
    </w:p>
    <w:p w:rsidR="000D772D" w:rsidRDefault="000D772D" w:rsidP="000D772D">
      <w:pPr>
        <w:keepNext/>
        <w:jc w:val="both"/>
      </w:pPr>
      <w:r>
        <w:t xml:space="preserve">En resumen, las condiciones de un crédito para </w:t>
      </w:r>
      <w:r w:rsidR="00C80FA2">
        <w:t>una entidad</w:t>
      </w:r>
      <w:r>
        <w:t xml:space="preserve"> territorial serían:</w:t>
      </w:r>
    </w:p>
    <w:p w:rsidR="000D772D" w:rsidRDefault="000D772D" w:rsidP="000D772D">
      <w:pPr>
        <w:pStyle w:val="Prrafodelista"/>
        <w:numPr>
          <w:ilvl w:val="0"/>
          <w:numId w:val="8"/>
        </w:numPr>
        <w:jc w:val="both"/>
      </w:pPr>
      <w:r>
        <w:t xml:space="preserve">Tasa de redescuento: DTF-3.5% EA </w:t>
      </w:r>
    </w:p>
    <w:p w:rsidR="000D772D" w:rsidRDefault="000D772D" w:rsidP="000D772D">
      <w:pPr>
        <w:pStyle w:val="Prrafodelista"/>
        <w:numPr>
          <w:ilvl w:val="0"/>
          <w:numId w:val="8"/>
        </w:numPr>
        <w:jc w:val="both"/>
      </w:pPr>
      <w:r>
        <w:t xml:space="preserve">Tasa de interés: hasta DTF+5% EA </w:t>
      </w:r>
    </w:p>
    <w:p w:rsidR="000D772D" w:rsidRDefault="000D772D" w:rsidP="000D772D">
      <w:pPr>
        <w:pStyle w:val="Prrafodelista"/>
        <w:numPr>
          <w:ilvl w:val="0"/>
          <w:numId w:val="8"/>
        </w:numPr>
        <w:jc w:val="both"/>
      </w:pPr>
      <w:r>
        <w:t>Las demás condiciones establecidas en concordancia con el crédito agropecuario, de acuerdo a lo definido en la Resolución 1 de 2017.</w:t>
      </w:r>
    </w:p>
    <w:p w:rsidR="000D772D" w:rsidRDefault="000D772D" w:rsidP="000D772D">
      <w:pPr>
        <w:pStyle w:val="Prrafodelista"/>
        <w:numPr>
          <w:ilvl w:val="0"/>
          <w:numId w:val="8"/>
        </w:numPr>
        <w:jc w:val="both"/>
      </w:pPr>
      <w:r>
        <w:t>Cobertura y comisión del FAG: semejante a la clasificación que se le diera de tamaño de productor según su nivel de activos.</w:t>
      </w:r>
    </w:p>
    <w:p w:rsidR="000D772D" w:rsidRDefault="000D772D" w:rsidP="000D772D">
      <w:pPr>
        <w:keepNext/>
        <w:jc w:val="both"/>
      </w:pPr>
    </w:p>
    <w:p w:rsidR="000D772D" w:rsidRPr="00706E64" w:rsidRDefault="000D772D" w:rsidP="000D772D">
      <w:pPr>
        <w:jc w:val="both"/>
      </w:pPr>
    </w:p>
    <w:p w:rsidR="000D772D" w:rsidRDefault="000D772D" w:rsidP="000D772D">
      <w:pPr>
        <w:pStyle w:val="Prrafodelista"/>
        <w:numPr>
          <w:ilvl w:val="0"/>
          <w:numId w:val="10"/>
        </w:numPr>
        <w:rPr>
          <w:b/>
        </w:rPr>
      </w:pPr>
      <w:r>
        <w:rPr>
          <w:b/>
        </w:rPr>
        <w:t>Referencias</w:t>
      </w:r>
    </w:p>
    <w:p w:rsidR="000D772D" w:rsidRPr="00B10B27" w:rsidRDefault="000D772D" w:rsidP="000D772D">
      <w:pPr>
        <w:rPr>
          <w:lang w:val="en-GB"/>
        </w:rPr>
      </w:pPr>
      <w:r>
        <w:t xml:space="preserve">Acemoglu, D., Johnson, S. y Robinson, J. (2004). </w:t>
      </w:r>
      <w:r w:rsidRPr="0006321C">
        <w:rPr>
          <w:i/>
          <w:lang w:val="en-US"/>
        </w:rPr>
        <w:t>“Institutions as the fundamental cause of long-ru</w:t>
      </w:r>
      <w:r w:rsidRPr="00B10B27">
        <w:rPr>
          <w:i/>
          <w:lang w:val="en-GB"/>
        </w:rPr>
        <w:t xml:space="preserve">n growth”. </w:t>
      </w:r>
      <w:r w:rsidRPr="00B10B27">
        <w:rPr>
          <w:lang w:val="en-GB"/>
        </w:rPr>
        <w:t>Working Paper 10481, National Bureu of Economic Research. Cambridge.</w:t>
      </w:r>
    </w:p>
    <w:p w:rsidR="000D772D" w:rsidRPr="00B10B27" w:rsidRDefault="000D772D" w:rsidP="000D772D">
      <w:pPr>
        <w:jc w:val="both"/>
        <w:rPr>
          <w:lang w:val="en-GB"/>
        </w:rPr>
      </w:pPr>
      <w:r w:rsidRPr="00B10B27">
        <w:rPr>
          <w:lang w:val="en-GB"/>
        </w:rPr>
        <w:t xml:space="preserve">Bardhan, P. (2002). </w:t>
      </w:r>
      <w:r w:rsidRPr="00B10B27">
        <w:rPr>
          <w:i/>
          <w:lang w:val="en-GB"/>
        </w:rPr>
        <w:t xml:space="preserve">“Decentralization of Governance and Development”. </w:t>
      </w:r>
      <w:r w:rsidRPr="00B10B27">
        <w:rPr>
          <w:lang w:val="en-GB"/>
        </w:rPr>
        <w:t>Journal of Economic Perspective, Vol. 16, No 4, pp 185-205. University of California, California.</w:t>
      </w:r>
    </w:p>
    <w:p w:rsidR="000D772D" w:rsidRPr="00B10B27" w:rsidRDefault="000D772D" w:rsidP="000D772D">
      <w:pPr>
        <w:jc w:val="both"/>
        <w:rPr>
          <w:lang w:val="en-GB"/>
        </w:rPr>
      </w:pPr>
      <w:r>
        <w:t xml:space="preserve">Bardhan, P. y Mookherjee, D. (2005). </w:t>
      </w:r>
      <w:r w:rsidRPr="00B10B27">
        <w:rPr>
          <w:i/>
          <w:lang w:val="en-GB"/>
        </w:rPr>
        <w:t xml:space="preserve">“Decentralization, corruption and government accountability: an overview”. </w:t>
      </w:r>
      <w:r w:rsidRPr="00B10B27">
        <w:rPr>
          <w:lang w:val="en-GB"/>
        </w:rPr>
        <w:t>International Handbook on the Economics of Economic Corruption. Edward Elgar Publishing.</w:t>
      </w:r>
    </w:p>
    <w:p w:rsidR="000D772D" w:rsidRPr="004A5D3E" w:rsidRDefault="000D772D" w:rsidP="000D772D">
      <w:pPr>
        <w:jc w:val="both"/>
        <w:rPr>
          <w:i/>
        </w:rPr>
      </w:pPr>
      <w:r>
        <w:t xml:space="preserve">Caraveli, H. y Chardas, A. (2013). </w:t>
      </w:r>
      <w:r w:rsidRPr="00B10B27">
        <w:rPr>
          <w:i/>
          <w:lang w:val="en-GB"/>
        </w:rPr>
        <w:t xml:space="preserve">“Rural development policy and local governance: implementing the LEADER axis in South-eastern Peloponnese-Greece”. </w:t>
      </w:r>
      <w:r>
        <w:t>Athens University of Economics and Business, Greece</w:t>
      </w:r>
      <w:r>
        <w:rPr>
          <w:i/>
        </w:rPr>
        <w:t xml:space="preserve"> </w:t>
      </w:r>
    </w:p>
    <w:p w:rsidR="000D772D" w:rsidRPr="0078738A" w:rsidRDefault="000D772D" w:rsidP="000D772D">
      <w:pPr>
        <w:jc w:val="both"/>
      </w:pPr>
      <w:r>
        <w:lastRenderedPageBreak/>
        <w:t xml:space="preserve">Dirección de Desarrollo Territorial, DDT. (2004). </w:t>
      </w:r>
      <w:r>
        <w:rPr>
          <w:i/>
        </w:rPr>
        <w:t>“Oferta de financiación a entidades territoriales”</w:t>
      </w:r>
      <w:r>
        <w:t>. Departamento Nacional de Planeación, Bogotá.</w:t>
      </w:r>
    </w:p>
    <w:p w:rsidR="000D772D" w:rsidRPr="00976073" w:rsidRDefault="000D772D" w:rsidP="000D772D">
      <w:pPr>
        <w:jc w:val="both"/>
      </w:pPr>
      <w:r>
        <w:t xml:space="preserve">Dirección General de Apoyo Fiscal. (2016). </w:t>
      </w:r>
      <w:r>
        <w:rPr>
          <w:i/>
        </w:rPr>
        <w:t xml:space="preserve">“ Deuda Pública Territorial, Cuatrienio 2012-2015”. </w:t>
      </w:r>
      <w:r>
        <w:t>Ministerio de Hacienda y Crédito Público.</w:t>
      </w:r>
    </w:p>
    <w:p w:rsidR="000D772D" w:rsidRPr="008434CD" w:rsidRDefault="000D772D" w:rsidP="000D772D">
      <w:pPr>
        <w:jc w:val="both"/>
        <w:rPr>
          <w:i/>
        </w:rPr>
      </w:pPr>
      <w:r>
        <w:t xml:space="preserve">Gutierrez, F. (2010). </w:t>
      </w:r>
      <w:r>
        <w:rPr>
          <w:i/>
        </w:rPr>
        <w:t xml:space="preserve">“Instituciones y territorio: la Descentralización en Colombia”. </w:t>
      </w:r>
      <w:r>
        <w:t xml:space="preserve">En </w:t>
      </w:r>
      <w:r>
        <w:rPr>
          <w:i/>
        </w:rPr>
        <w:t>“25 años de la descentralización en Colombia”</w:t>
      </w:r>
      <w:r>
        <w:t>. Konrad Adenauer Stiftung</w:t>
      </w:r>
      <w:r>
        <w:rPr>
          <w:i/>
        </w:rPr>
        <w:t xml:space="preserve"> </w:t>
      </w:r>
    </w:p>
    <w:p w:rsidR="000D772D" w:rsidRPr="001C2A12" w:rsidRDefault="000D772D" w:rsidP="000D772D">
      <w:pPr>
        <w:jc w:val="both"/>
      </w:pPr>
      <w:r>
        <w:t xml:space="preserve">IDEA. (2013). </w:t>
      </w:r>
      <w:r>
        <w:rPr>
          <w:i/>
        </w:rPr>
        <w:t xml:space="preserve">“Normatividad de crédito público en las entidades territoriales y sus descentralizadas”. </w:t>
      </w:r>
      <w:r>
        <w:t>Instituto para el Desarrollo de Antioquia, Medellín.</w:t>
      </w:r>
    </w:p>
    <w:p w:rsidR="000D772D" w:rsidRPr="00B10B27" w:rsidRDefault="000D772D" w:rsidP="000D772D">
      <w:pPr>
        <w:jc w:val="both"/>
        <w:rPr>
          <w:lang w:val="en-GB"/>
        </w:rPr>
      </w:pPr>
      <w:r w:rsidRPr="0006321C">
        <w:t xml:space="preserve">Iimi, A. (2005). </w:t>
      </w:r>
      <w:r w:rsidRPr="0006321C">
        <w:rPr>
          <w:i/>
        </w:rPr>
        <w:t xml:space="preserve">“Descentralization and economic growth revisited: an empirical note” </w:t>
      </w:r>
      <w:r w:rsidRPr="0006321C">
        <w:t xml:space="preserve">Journal of Urban Economics, Vol. 57, No. 3. </w:t>
      </w:r>
      <w:r w:rsidRPr="00B10B27">
        <w:rPr>
          <w:lang w:val="en-GB"/>
        </w:rPr>
        <w:t>Amsterdam.</w:t>
      </w:r>
    </w:p>
    <w:p w:rsidR="000D772D" w:rsidRDefault="000D772D" w:rsidP="000D772D">
      <w:pPr>
        <w:jc w:val="both"/>
      </w:pPr>
      <w:r w:rsidRPr="00B10B27">
        <w:rPr>
          <w:lang w:val="en-GB"/>
        </w:rPr>
        <w:t xml:space="preserve">Kettl, D. (2000). </w:t>
      </w:r>
      <w:r w:rsidRPr="00B10B27">
        <w:rPr>
          <w:i/>
          <w:lang w:val="en-GB"/>
        </w:rPr>
        <w:t xml:space="preserve">“The transformation of Governance: Globalization, Devolution, and the role of Government”. </w:t>
      </w:r>
      <w:r w:rsidRPr="00B10B27">
        <w:rPr>
          <w:lang w:val="en-GB"/>
        </w:rPr>
        <w:t xml:space="preserve">Discussion Paper Prepared for Spring Meeting National Academy of Public Administration, University of Wisconsin-Madison. </w:t>
      </w:r>
      <w:r>
        <w:t>Albuquerque.</w:t>
      </w:r>
    </w:p>
    <w:p w:rsidR="000D772D" w:rsidRPr="00B10B27" w:rsidRDefault="000D772D" w:rsidP="000D772D">
      <w:pPr>
        <w:jc w:val="both"/>
        <w:rPr>
          <w:lang w:val="en-GB"/>
        </w:rPr>
      </w:pPr>
      <w:r>
        <w:t xml:space="preserve">Lozano, I. y Julio, J. (2016). </w:t>
      </w:r>
      <w:r>
        <w:rPr>
          <w:i/>
        </w:rPr>
        <w:t xml:space="preserve">“Descentralización fiscal y crecimiento económico en Colombia: evidencia de datos de panel a nivel regional”. </w:t>
      </w:r>
      <w:r w:rsidRPr="00B10B27">
        <w:rPr>
          <w:lang w:val="en-GB"/>
        </w:rPr>
        <w:t>Revista CEPAL 119</w:t>
      </w:r>
    </w:p>
    <w:p w:rsidR="000D772D" w:rsidRPr="00B10B27" w:rsidRDefault="000D772D" w:rsidP="000D772D">
      <w:pPr>
        <w:jc w:val="both"/>
        <w:rPr>
          <w:lang w:val="en-GB"/>
        </w:rPr>
      </w:pPr>
      <w:bookmarkStart w:id="5" w:name="_GoBack"/>
      <w:r w:rsidRPr="00F83202">
        <w:rPr>
          <w:lang w:val="en-US"/>
        </w:rPr>
        <w:t xml:space="preserve">Obaji, N. y Olugu, M. (2014). </w:t>
      </w:r>
      <w:bookmarkEnd w:id="5"/>
      <w:r w:rsidRPr="00B10B27">
        <w:rPr>
          <w:i/>
          <w:lang w:val="en-GB"/>
        </w:rPr>
        <w:t xml:space="preserve">“The role of government policy in entreprenuership development”. </w:t>
      </w:r>
      <w:r w:rsidRPr="00B10B27">
        <w:rPr>
          <w:lang w:val="en-GB"/>
        </w:rPr>
        <w:t>Science Journal of Business and Management. Vol 2, No. 4,  pp 109-115, doi: 10.11648/j.sjbm.20140204.12</w:t>
      </w:r>
    </w:p>
    <w:p w:rsidR="000D772D" w:rsidRPr="00B10B27" w:rsidRDefault="000D772D" w:rsidP="000D772D">
      <w:pPr>
        <w:jc w:val="both"/>
        <w:rPr>
          <w:lang w:val="en-GB"/>
        </w:rPr>
      </w:pPr>
      <w:r w:rsidRPr="00B10B27">
        <w:rPr>
          <w:lang w:val="en-GB"/>
        </w:rPr>
        <w:t xml:space="preserve">OECD. (2006). </w:t>
      </w:r>
      <w:r w:rsidRPr="00B10B27">
        <w:rPr>
          <w:i/>
          <w:lang w:val="en-GB"/>
        </w:rPr>
        <w:t>“Investment priorities for rural development”</w:t>
      </w:r>
      <w:r w:rsidRPr="00B10B27">
        <w:rPr>
          <w:lang w:val="en-GB"/>
        </w:rPr>
        <w:t>. Scottish executive, Scotland.</w:t>
      </w:r>
    </w:p>
    <w:p w:rsidR="000D772D" w:rsidRPr="009F4CC6" w:rsidRDefault="000D772D" w:rsidP="000D772D">
      <w:pPr>
        <w:jc w:val="both"/>
      </w:pPr>
      <w:r w:rsidRPr="0006321C">
        <w:rPr>
          <w:lang w:val="en-US"/>
        </w:rPr>
        <w:t xml:space="preserve">Parra-Peña, R., Ordoñez, L y Acosta, C. (2013). </w:t>
      </w:r>
      <w:r>
        <w:rPr>
          <w:i/>
        </w:rPr>
        <w:t>“Pobreza, brechas y ruralidad en Colombia”</w:t>
      </w:r>
      <w:r>
        <w:t xml:space="preserve">. Coyuntura económica: investigación económica y social, Vol XLIII, pp 15-36. FEDESARROLLO </w:t>
      </w:r>
    </w:p>
    <w:p w:rsidR="000D772D" w:rsidRPr="00E376D1" w:rsidRDefault="000D772D" w:rsidP="000D772D">
      <w:pPr>
        <w:jc w:val="both"/>
      </w:pPr>
      <w:r>
        <w:t xml:space="preserve">Restrepo, M. (2006). </w:t>
      </w:r>
      <w:r>
        <w:rPr>
          <w:i/>
        </w:rPr>
        <w:t>“Impacto social de los Planes de Desarrollo: Análisis de inversión social en Bogotá 1995-2004”</w:t>
      </w:r>
      <w:r>
        <w:t>. Colección textos de Jurisprudencia, Universidad del Rosario, Bogotá.</w:t>
      </w:r>
    </w:p>
    <w:p w:rsidR="000D772D" w:rsidRPr="00FF7703" w:rsidRDefault="000D772D" w:rsidP="000D772D">
      <w:pPr>
        <w:jc w:val="both"/>
      </w:pPr>
      <w:r>
        <w:t xml:space="preserve">Sánchez, F. (2001). </w:t>
      </w:r>
      <w:r>
        <w:rPr>
          <w:i/>
        </w:rPr>
        <w:t xml:space="preserve">“Evaluación de la descentralización municipal en Colombia: Descentralización y macroeconomía”. </w:t>
      </w:r>
      <w:r>
        <w:t xml:space="preserve">Documento 160, Dirección de Estudios Económicos, Departamento Nacional de Planeación. </w:t>
      </w:r>
    </w:p>
    <w:p w:rsidR="000D772D" w:rsidRPr="00B10B27" w:rsidRDefault="000D772D" w:rsidP="000D772D">
      <w:pPr>
        <w:jc w:val="both"/>
        <w:rPr>
          <w:lang w:val="en-GB"/>
        </w:rPr>
      </w:pPr>
      <w:r>
        <w:t xml:space="preserve">Smallbone, D. y Welter, F. (2012). </w:t>
      </w:r>
      <w:r w:rsidRPr="00B10B27">
        <w:rPr>
          <w:i/>
          <w:lang w:val="en-GB"/>
        </w:rPr>
        <w:t xml:space="preserve">“The role of Government in SME development in transitions economies”. </w:t>
      </w:r>
      <w:r w:rsidRPr="00B10B27">
        <w:rPr>
          <w:lang w:val="en-GB"/>
        </w:rPr>
        <w:t>International Small Business Journal 19, 4. Descargado de isb.sagepub.com</w:t>
      </w:r>
    </w:p>
    <w:p w:rsidR="000D772D" w:rsidRPr="008434CD" w:rsidRDefault="000D772D" w:rsidP="000D772D">
      <w:pPr>
        <w:jc w:val="both"/>
        <w:rPr>
          <w:i/>
        </w:rPr>
      </w:pPr>
      <w:r w:rsidRPr="00B10B27">
        <w:rPr>
          <w:lang w:val="en-GB"/>
        </w:rPr>
        <w:t xml:space="preserve">Stein, E. (1998) </w:t>
      </w:r>
      <w:r w:rsidRPr="00B10B27">
        <w:rPr>
          <w:i/>
          <w:lang w:val="en-GB"/>
        </w:rPr>
        <w:t xml:space="preserve">“Fiscal decentralization and government size in Latin America”. </w:t>
      </w:r>
      <w:r>
        <w:t xml:space="preserve">Working Paper Series No. 368. Banco Interamericano de Desarrollo, Washington. </w:t>
      </w:r>
      <w:r>
        <w:rPr>
          <w:i/>
        </w:rPr>
        <w:t xml:space="preserve"> </w:t>
      </w:r>
    </w:p>
    <w:p w:rsidR="000D772D" w:rsidRPr="007C3488" w:rsidRDefault="000D772D" w:rsidP="000D772D">
      <w:pPr>
        <w:pStyle w:val="Prrafodelista"/>
        <w:jc w:val="both"/>
        <w:rPr>
          <w:b/>
        </w:rPr>
      </w:pPr>
    </w:p>
    <w:p w:rsidR="00B07E92" w:rsidRDefault="00B07E92" w:rsidP="00B07E92">
      <w:pPr>
        <w:jc w:val="both"/>
        <w:rPr>
          <w:rFonts w:ascii="Arial" w:hAnsi="Arial" w:cs="Arial"/>
          <w:b/>
        </w:rPr>
      </w:pPr>
    </w:p>
    <w:p w:rsidR="00B07E92" w:rsidRDefault="00B07E92" w:rsidP="00B07E92">
      <w:pPr>
        <w:jc w:val="both"/>
        <w:rPr>
          <w:rFonts w:ascii="Arial" w:hAnsi="Arial" w:cs="Arial"/>
        </w:rPr>
      </w:pPr>
      <w:r>
        <w:rPr>
          <w:rFonts w:ascii="Arial" w:hAnsi="Arial" w:cs="Arial"/>
          <w:b/>
        </w:rPr>
        <w:t>Justificación Jurídica</w:t>
      </w:r>
    </w:p>
    <w:p w:rsidR="00B07E92" w:rsidRDefault="00B07E92" w:rsidP="00B07E92">
      <w:pPr>
        <w:jc w:val="both"/>
        <w:rPr>
          <w:rFonts w:ascii="Arial" w:hAnsi="Arial" w:cs="Arial"/>
        </w:rPr>
      </w:pPr>
      <w:r w:rsidRPr="00EC2F71">
        <w:rPr>
          <w:rFonts w:ascii="Arial" w:hAnsi="Arial" w:cs="Arial"/>
        </w:rPr>
        <w:t>De conformidad con el</w:t>
      </w:r>
      <w:r>
        <w:rPr>
          <w:rFonts w:ascii="Arial" w:hAnsi="Arial" w:cs="Arial"/>
        </w:rPr>
        <w:t xml:space="preserve"> EOSF y el Decreto 2371 de 2015, el objeto de Finagro consiste en la promoción del desarrollo agropecuario y rural mediante instrumentos financieros y de </w:t>
      </w:r>
      <w:r>
        <w:rPr>
          <w:rFonts w:ascii="Arial" w:hAnsi="Arial" w:cs="Arial"/>
        </w:rPr>
        <w:lastRenderedPageBreak/>
        <w:t>inversión a través del redescuento de las operaciones que adelanten las entidades vigiladas por la Superintendencia Financiera o por la Superintendencia de Economía Solidaria.</w:t>
      </w:r>
    </w:p>
    <w:p w:rsidR="00B07E92" w:rsidRDefault="00B07E92" w:rsidP="00B07E92">
      <w:pPr>
        <w:jc w:val="both"/>
        <w:rPr>
          <w:rFonts w:ascii="Arial" w:hAnsi="Arial" w:cs="Arial"/>
        </w:rPr>
      </w:pPr>
      <w:r>
        <w:rPr>
          <w:rFonts w:ascii="Arial" w:hAnsi="Arial" w:cs="Arial"/>
        </w:rPr>
        <w:t>Las mismas normas definen que la Comisión Nacional de Crédito Agropecuario</w:t>
      </w:r>
      <w:r w:rsidRPr="006C0B33">
        <w:rPr>
          <w:rFonts w:ascii="Arial" w:hAnsi="Arial" w:cs="Arial"/>
        </w:rPr>
        <w:t xml:space="preserve"> </w:t>
      </w:r>
      <w:r>
        <w:rPr>
          <w:rFonts w:ascii="Arial" w:hAnsi="Arial" w:cs="Arial"/>
        </w:rPr>
        <w:t>CNCA, como organismo rector del financiamiento y  del manejo de riesgos del sector  agropecuario, determinará anualmente el plan indicativo de crédito agropecuario y rural en el cual se establecen los beneficiarios y las condiciones financieras para el acceso al crédito agropecuario y rural.</w:t>
      </w:r>
    </w:p>
    <w:p w:rsidR="00B07E92" w:rsidRDefault="00B07E92" w:rsidP="00B07E92">
      <w:pPr>
        <w:jc w:val="both"/>
        <w:rPr>
          <w:rFonts w:ascii="Arial" w:hAnsi="Arial" w:cs="Arial"/>
          <w:b/>
        </w:rPr>
      </w:pPr>
      <w:r>
        <w:rPr>
          <w:rFonts w:ascii="Arial" w:hAnsi="Arial" w:cs="Arial"/>
        </w:rPr>
        <w:t>En virtud de lo anterior, en la Resolución N° 1 de 2016, la CNCA define a los beneficiarios del crédito como aquellas personas que pueden acceder al financiamiento de las actividades agropecuarias y rurales y las clasifica en diez tipos teniendo en cuenta una serie de características propias para cada rango.</w:t>
      </w:r>
    </w:p>
    <w:p w:rsidR="00B07E92" w:rsidRDefault="00B07E92" w:rsidP="00B07E92">
      <w:pPr>
        <w:jc w:val="both"/>
        <w:rPr>
          <w:rFonts w:ascii="Arial" w:hAnsi="Arial" w:cs="Arial"/>
        </w:rPr>
      </w:pPr>
      <w:r>
        <w:rPr>
          <w:rFonts w:ascii="Arial" w:hAnsi="Arial" w:cs="Arial"/>
        </w:rPr>
        <w:t>El artículo 221 del EOSF señala que los beneficiarios del crédito que se otorgue a través del sistema nacional de crédito agropecuario, serán las personas naturales o jurídicas que desarrollen actividades de producción y comercialización de bienes originados directamente o en forma conexa o complementaria, se otorgará para la financiación de capital de trabajo, la inversión nueva o los ensanches requeridos por estas actividades. El crédito buscará entre otras cosas mejorar las condiciones sociales y económicas del sector rural del país.</w:t>
      </w:r>
    </w:p>
    <w:p w:rsidR="00B07E92" w:rsidRDefault="00B07E92" w:rsidP="00B07E92">
      <w:pPr>
        <w:jc w:val="both"/>
        <w:rPr>
          <w:rFonts w:ascii="Arial" w:hAnsi="Arial" w:cs="Arial"/>
        </w:rPr>
      </w:pPr>
      <w:r>
        <w:rPr>
          <w:rFonts w:ascii="Arial" w:hAnsi="Arial" w:cs="Arial"/>
        </w:rPr>
        <w:t>Así las cosas, con el fin de incluir a las Entidades Territoriales en la Resolución N° 1 de 2016 como un nuevo beneficiario de crédito,  se analiza entonces la capacidad jurídica de estas Entidades para ser sujetos de crédito:</w:t>
      </w:r>
    </w:p>
    <w:p w:rsidR="00B07E92" w:rsidRPr="00D16B82" w:rsidRDefault="00B07E92" w:rsidP="00B07E92">
      <w:pPr>
        <w:jc w:val="both"/>
        <w:rPr>
          <w:rFonts w:ascii="Arial" w:hAnsi="Arial" w:cs="Arial"/>
          <w:b/>
        </w:rPr>
      </w:pPr>
      <w:r w:rsidRPr="00D16B82">
        <w:rPr>
          <w:rFonts w:ascii="Arial" w:hAnsi="Arial" w:cs="Arial"/>
          <w:b/>
        </w:rPr>
        <w:t>ENTIDADES TERRITORIALES COMO SUJETOS DE CREDITO</w:t>
      </w:r>
    </w:p>
    <w:p w:rsidR="00B07E92" w:rsidRPr="007C7E14" w:rsidRDefault="00B07E92" w:rsidP="00B07E92">
      <w:pPr>
        <w:jc w:val="both"/>
        <w:rPr>
          <w:rFonts w:ascii="Arial" w:hAnsi="Arial" w:cs="Arial"/>
        </w:rPr>
      </w:pPr>
      <w:r w:rsidRPr="00F27537">
        <w:rPr>
          <w:rFonts w:ascii="Arial" w:hAnsi="Arial" w:cs="Arial"/>
        </w:rPr>
        <w:t>El artículo 41 de la Ley 80 de 1993 (Estatuto General de Contratación de la Administración Pública) determina que las operaciones de crédito que tienen por objeto dotar a la entidad pública de recursos con plazo para su pago, se considerarán operaciones de</w:t>
      </w:r>
      <w:r w:rsidRPr="007C7E14">
        <w:rPr>
          <w:rFonts w:ascii="Arial" w:hAnsi="Arial" w:cs="Arial"/>
        </w:rPr>
        <w:t xml:space="preserve"> crédito público. En este sentido el Decreto Reglamentario 2681 de 1993 </w:t>
      </w:r>
      <w:r>
        <w:rPr>
          <w:rFonts w:ascii="Arial" w:hAnsi="Arial" w:cs="Arial"/>
        </w:rPr>
        <w:t>establece</w:t>
      </w:r>
      <w:r w:rsidRPr="007C7E14">
        <w:rPr>
          <w:rFonts w:ascii="Arial" w:hAnsi="Arial" w:cs="Arial"/>
        </w:rPr>
        <w:t xml:space="preserve"> que las operaciones de crédito público, así como </w:t>
      </w:r>
      <w:r>
        <w:rPr>
          <w:rFonts w:ascii="Arial" w:hAnsi="Arial" w:cs="Arial"/>
        </w:rPr>
        <w:t>las</w:t>
      </w:r>
      <w:r w:rsidRPr="007C7E14">
        <w:rPr>
          <w:rFonts w:ascii="Arial" w:hAnsi="Arial" w:cs="Arial"/>
        </w:rPr>
        <w:t xml:space="preserve"> obligaciones jurídicas que de ella se derivan, nacen en virtud del acuerdo entre dos o más sujetos con el objeto de dotar a las entidades del Estado de una serie de recursos, bienes o servicios</w:t>
      </w:r>
      <w:r>
        <w:rPr>
          <w:rFonts w:ascii="Arial" w:hAnsi="Arial" w:cs="Arial"/>
        </w:rPr>
        <w:t>,</w:t>
      </w:r>
      <w:r w:rsidRPr="007C7E14">
        <w:rPr>
          <w:rFonts w:ascii="Arial" w:hAnsi="Arial" w:cs="Arial"/>
        </w:rPr>
        <w:t xml:space="preserve"> cuyo pago se realiza a plazo. </w:t>
      </w:r>
      <w:r>
        <w:rPr>
          <w:rFonts w:ascii="Arial" w:hAnsi="Arial" w:cs="Arial"/>
        </w:rPr>
        <w:t>En esta definición se contemplan</w:t>
      </w:r>
      <w:r w:rsidRPr="007C7E14">
        <w:rPr>
          <w:rFonts w:ascii="Arial" w:hAnsi="Arial" w:cs="Arial"/>
        </w:rPr>
        <w:t xml:space="preserve"> las obligaciones solidarias y el otorgamiento de las garantías que respalden dichas obligaciones.</w:t>
      </w:r>
    </w:p>
    <w:p w:rsidR="00B07E92" w:rsidRPr="007C7E14" w:rsidRDefault="00B07E92" w:rsidP="00B07E92">
      <w:pPr>
        <w:jc w:val="both"/>
        <w:rPr>
          <w:rFonts w:ascii="Arial" w:hAnsi="Arial" w:cs="Arial"/>
        </w:rPr>
      </w:pPr>
      <w:r w:rsidRPr="007C7E14">
        <w:rPr>
          <w:rFonts w:ascii="Arial" w:hAnsi="Arial" w:cs="Arial"/>
        </w:rPr>
        <w:t xml:space="preserve">Ahora bien, el Decreto </w:t>
      </w:r>
      <w:r>
        <w:rPr>
          <w:rFonts w:ascii="Arial" w:hAnsi="Arial" w:cs="Arial"/>
        </w:rPr>
        <w:t xml:space="preserve">contempla como una de estas operaciones de crédito a </w:t>
      </w:r>
      <w:r w:rsidRPr="007C7E14">
        <w:rPr>
          <w:rFonts w:ascii="Arial" w:hAnsi="Arial" w:cs="Arial"/>
        </w:rPr>
        <w:t xml:space="preserve">los contratos de empréstito, que son aquellos contratos mediante los cuales la entidad estatal contratante recibe en calidad de préstamo unos recursos en moneda legal o extranjera, obligándose la entidad a su pago y cancelación al momento del vencimiento del plazo. </w:t>
      </w:r>
    </w:p>
    <w:p w:rsidR="00B07E92" w:rsidRDefault="00B07E92" w:rsidP="00B07E92">
      <w:pPr>
        <w:jc w:val="both"/>
        <w:rPr>
          <w:rFonts w:ascii="Arial" w:hAnsi="Arial" w:cs="Arial"/>
          <w:i/>
        </w:rPr>
      </w:pPr>
    </w:p>
    <w:p w:rsidR="00B07E92" w:rsidRPr="00EE2432" w:rsidRDefault="00B07E92" w:rsidP="00B07E92">
      <w:pPr>
        <w:jc w:val="both"/>
        <w:rPr>
          <w:rFonts w:ascii="Arial" w:hAnsi="Arial" w:cs="Arial"/>
        </w:rPr>
      </w:pPr>
      <w:r>
        <w:rPr>
          <w:rFonts w:ascii="Arial" w:hAnsi="Arial" w:cs="Arial"/>
        </w:rPr>
        <w:t>La</w:t>
      </w:r>
      <w:r w:rsidRPr="00EE2432">
        <w:rPr>
          <w:rFonts w:ascii="Arial" w:hAnsi="Arial" w:cs="Arial"/>
        </w:rPr>
        <w:t xml:space="preserve"> contratación de empréstitos internos </w:t>
      </w:r>
      <w:r>
        <w:rPr>
          <w:rFonts w:ascii="Arial" w:hAnsi="Arial" w:cs="Arial"/>
        </w:rPr>
        <w:t>de</w:t>
      </w:r>
      <w:r w:rsidRPr="00EE2432">
        <w:rPr>
          <w:rFonts w:ascii="Arial" w:hAnsi="Arial" w:cs="Arial"/>
        </w:rPr>
        <w:t xml:space="preserve"> las </w:t>
      </w:r>
      <w:r>
        <w:rPr>
          <w:rFonts w:ascii="Arial" w:hAnsi="Arial" w:cs="Arial"/>
        </w:rPr>
        <w:t>E</w:t>
      </w:r>
      <w:r w:rsidRPr="00EE2432">
        <w:rPr>
          <w:rFonts w:ascii="Arial" w:hAnsi="Arial" w:cs="Arial"/>
        </w:rPr>
        <w:t>ntidades</w:t>
      </w:r>
      <w:r>
        <w:rPr>
          <w:rFonts w:ascii="Arial" w:hAnsi="Arial" w:cs="Arial"/>
        </w:rPr>
        <w:t xml:space="preserve"> T</w:t>
      </w:r>
      <w:r w:rsidRPr="00EE2432">
        <w:rPr>
          <w:rFonts w:ascii="Arial" w:hAnsi="Arial" w:cs="Arial"/>
        </w:rPr>
        <w:t>erritoriales</w:t>
      </w:r>
      <w:r>
        <w:rPr>
          <w:rFonts w:ascii="Arial" w:hAnsi="Arial" w:cs="Arial"/>
        </w:rPr>
        <w:t>,</w:t>
      </w:r>
      <w:r w:rsidRPr="00EE2432">
        <w:rPr>
          <w:rFonts w:ascii="Arial" w:hAnsi="Arial" w:cs="Arial"/>
        </w:rPr>
        <w:t xml:space="preserve"> </w:t>
      </w:r>
      <w:r>
        <w:rPr>
          <w:rFonts w:ascii="Arial" w:hAnsi="Arial" w:cs="Arial"/>
        </w:rPr>
        <w:t xml:space="preserve">se rige de manera particular </w:t>
      </w:r>
      <w:r w:rsidRPr="00EE2432">
        <w:rPr>
          <w:rFonts w:ascii="Arial" w:hAnsi="Arial" w:cs="Arial"/>
        </w:rPr>
        <w:t>por los Decretos 1222</w:t>
      </w:r>
      <w:r>
        <w:rPr>
          <w:rFonts w:ascii="Arial" w:hAnsi="Arial" w:cs="Arial"/>
        </w:rPr>
        <w:t xml:space="preserve">  de 1986 para los departamentos</w:t>
      </w:r>
      <w:r w:rsidRPr="00EE2432">
        <w:rPr>
          <w:rFonts w:ascii="Arial" w:hAnsi="Arial" w:cs="Arial"/>
        </w:rPr>
        <w:t xml:space="preserve"> y 1333</w:t>
      </w:r>
      <w:r>
        <w:rPr>
          <w:rFonts w:ascii="Arial" w:hAnsi="Arial" w:cs="Arial"/>
        </w:rPr>
        <w:t xml:space="preserve"> </w:t>
      </w:r>
      <w:r w:rsidRPr="00EE2432">
        <w:rPr>
          <w:rFonts w:ascii="Arial" w:hAnsi="Arial" w:cs="Arial"/>
        </w:rPr>
        <w:t xml:space="preserve">de 1986 </w:t>
      </w:r>
      <w:r>
        <w:rPr>
          <w:rFonts w:ascii="Arial" w:hAnsi="Arial" w:cs="Arial"/>
        </w:rPr>
        <w:t>para los municipios</w:t>
      </w:r>
      <w:r w:rsidRPr="00EE2432">
        <w:rPr>
          <w:rFonts w:ascii="Arial" w:hAnsi="Arial" w:cs="Arial"/>
        </w:rPr>
        <w:t xml:space="preserve"> y sus normas complementarias, según el caso</w:t>
      </w:r>
      <w:r>
        <w:rPr>
          <w:rFonts w:ascii="Arial" w:hAnsi="Arial" w:cs="Arial"/>
        </w:rPr>
        <w:t xml:space="preserve">, en donde la Asamblea o el Consejo deben autorizar el cupo de endeudamiento de acuerdo con la solicitud formulada por el Gobernador o el Alcalde y los planes y programas de desarrollo que se presenten, </w:t>
      </w:r>
      <w:r w:rsidRPr="00EE2432">
        <w:rPr>
          <w:rFonts w:ascii="Arial" w:hAnsi="Arial" w:cs="Arial"/>
        </w:rPr>
        <w:lastRenderedPageBreak/>
        <w:t>sin perjuicio de la obligación de registro de los mismos en la Dirección General de Crédito Público del Ministerio de Hacienda y Crédito Público.</w:t>
      </w:r>
    </w:p>
    <w:p w:rsidR="00B07E92" w:rsidRPr="00EE2432" w:rsidRDefault="00B07E92" w:rsidP="00B07E92">
      <w:pPr>
        <w:jc w:val="both"/>
        <w:rPr>
          <w:rFonts w:ascii="Arial" w:hAnsi="Arial" w:cs="Arial"/>
          <w:kern w:val="16"/>
          <w:lang w:val="es-ES"/>
        </w:rPr>
      </w:pPr>
      <w:r>
        <w:rPr>
          <w:rFonts w:ascii="Arial" w:hAnsi="Arial" w:cs="Arial"/>
        </w:rPr>
        <w:t xml:space="preserve">Conforme con la Circular Básica Jurídica expedida por la Superintendencia Financiera, el </w:t>
      </w:r>
      <w:r w:rsidRPr="00EE2432">
        <w:rPr>
          <w:rFonts w:ascii="Arial" w:hAnsi="Arial" w:cs="Arial"/>
          <w:kern w:val="16"/>
          <w:lang w:val="es-ES"/>
        </w:rPr>
        <w:t xml:space="preserve">otorgamiento de créditos a entidades públicas territoriales </w:t>
      </w:r>
      <w:r>
        <w:rPr>
          <w:rFonts w:ascii="Arial" w:hAnsi="Arial" w:cs="Arial"/>
          <w:kern w:val="16"/>
          <w:lang w:val="es-ES"/>
        </w:rPr>
        <w:t>debe atender adicionalmente los reglamentos</w:t>
      </w:r>
      <w:r w:rsidRPr="00EE2432">
        <w:rPr>
          <w:rFonts w:ascii="Arial" w:hAnsi="Arial" w:cs="Arial"/>
          <w:kern w:val="16"/>
          <w:lang w:val="es-ES"/>
        </w:rPr>
        <w:t xml:space="preserve"> que </w:t>
      </w:r>
      <w:r>
        <w:rPr>
          <w:rFonts w:ascii="Arial" w:hAnsi="Arial" w:cs="Arial"/>
          <w:kern w:val="16"/>
          <w:lang w:val="es-ES"/>
        </w:rPr>
        <w:t>tienen dispuestos</w:t>
      </w:r>
      <w:r w:rsidRPr="00EE2432">
        <w:rPr>
          <w:rFonts w:ascii="Arial" w:hAnsi="Arial" w:cs="Arial"/>
          <w:kern w:val="16"/>
          <w:lang w:val="es-ES"/>
        </w:rPr>
        <w:t xml:space="preserve"> las entidades</w:t>
      </w:r>
      <w:r>
        <w:rPr>
          <w:rFonts w:ascii="Arial" w:hAnsi="Arial" w:cs="Arial"/>
          <w:kern w:val="16"/>
          <w:lang w:val="es-ES"/>
        </w:rPr>
        <w:t xml:space="preserve"> financieras </w:t>
      </w:r>
      <w:r w:rsidRPr="00EE2432">
        <w:rPr>
          <w:rFonts w:ascii="Arial" w:hAnsi="Arial" w:cs="Arial"/>
          <w:kern w:val="16"/>
          <w:lang w:val="es-ES"/>
        </w:rPr>
        <w:t>vigiladas</w:t>
      </w:r>
      <w:r>
        <w:rPr>
          <w:rFonts w:ascii="Arial" w:hAnsi="Arial" w:cs="Arial"/>
          <w:kern w:val="16"/>
          <w:lang w:val="es-ES"/>
        </w:rPr>
        <w:t xml:space="preserve"> en sus políticas internas de crédito,</w:t>
      </w:r>
      <w:r w:rsidRPr="00EE2432">
        <w:rPr>
          <w:rFonts w:ascii="Arial" w:hAnsi="Arial" w:cs="Arial"/>
          <w:kern w:val="16"/>
          <w:lang w:val="es-ES"/>
        </w:rPr>
        <w:t xml:space="preserve"> </w:t>
      </w:r>
      <w:r>
        <w:rPr>
          <w:rFonts w:ascii="Arial" w:hAnsi="Arial" w:cs="Arial"/>
          <w:kern w:val="16"/>
          <w:lang w:val="es-ES"/>
        </w:rPr>
        <w:t>referidas al</w:t>
      </w:r>
      <w:r w:rsidRPr="00EE2432">
        <w:rPr>
          <w:rFonts w:ascii="Arial" w:hAnsi="Arial" w:cs="Arial"/>
          <w:kern w:val="16"/>
          <w:lang w:val="es-ES"/>
        </w:rPr>
        <w:t xml:space="preserve"> análisis de la capacidad de pago y endeudamiento de los potenciales deudores.</w:t>
      </w:r>
    </w:p>
    <w:p w:rsidR="00B07E92" w:rsidRPr="00BD1C57" w:rsidRDefault="00B07E92" w:rsidP="00B07E92">
      <w:pPr>
        <w:jc w:val="both"/>
        <w:rPr>
          <w:rFonts w:ascii="Arial" w:hAnsi="Arial" w:cs="Arial"/>
          <w:kern w:val="16"/>
          <w:lang w:val="es-ES"/>
        </w:rPr>
      </w:pPr>
      <w:r w:rsidRPr="00BD1C57">
        <w:rPr>
          <w:rFonts w:ascii="Arial" w:hAnsi="Arial" w:cs="Arial"/>
          <w:kern w:val="16"/>
          <w:lang w:val="es-ES"/>
        </w:rPr>
        <w:t>Las Instituciones Financieras de acuerdo con lo señalado en el parágrafo del art. 2 de la Ley 358</w:t>
      </w:r>
      <w:r>
        <w:rPr>
          <w:rFonts w:ascii="Arial" w:hAnsi="Arial" w:cs="Arial"/>
          <w:kern w:val="16"/>
          <w:lang w:val="es-ES"/>
        </w:rPr>
        <w:t xml:space="preserve"> de 1997, </w:t>
      </w:r>
      <w:r w:rsidRPr="00BD1C57">
        <w:rPr>
          <w:rFonts w:ascii="Arial" w:hAnsi="Arial" w:cs="Arial"/>
          <w:kern w:val="16"/>
          <w:lang w:val="es-ES"/>
        </w:rPr>
        <w:t>deben verificar que los recursos otorgados sean destinados a financiar gastos de inversión, salvo aquellos créditos de corto plazo, los de refinanciación de deuda vigente o los adquiridos para pago de indemnizaciones de personal en procesos de reducción de planta.</w:t>
      </w:r>
    </w:p>
    <w:p w:rsidR="00B07E92" w:rsidRPr="0010563E" w:rsidRDefault="00B07E92" w:rsidP="00B07E92">
      <w:pPr>
        <w:jc w:val="both"/>
        <w:rPr>
          <w:rFonts w:ascii="Arial" w:hAnsi="Arial" w:cs="Arial"/>
          <w:lang w:val="es-ES"/>
        </w:rPr>
      </w:pPr>
      <w:r>
        <w:rPr>
          <w:rFonts w:ascii="Arial" w:hAnsi="Arial" w:cs="Arial"/>
          <w:bCs/>
          <w:shd w:val="clear" w:color="auto" w:fill="FFFFFF"/>
        </w:rPr>
        <w:t>En virtud de lo expuesto es necesario tener en cuenta lo que se entiende legalmente como gastos de inversión: el</w:t>
      </w:r>
      <w:r w:rsidRPr="00EC6805">
        <w:rPr>
          <w:rFonts w:ascii="Arial" w:hAnsi="Arial" w:cs="Arial"/>
          <w:bCs/>
          <w:shd w:val="clear" w:color="auto" w:fill="FFFFFF"/>
        </w:rPr>
        <w:t xml:space="preserve"> Decreto 111 de 1996</w:t>
      </w:r>
      <w:r>
        <w:rPr>
          <w:rFonts w:ascii="Arial" w:hAnsi="Arial" w:cs="Arial"/>
          <w:bCs/>
          <w:shd w:val="clear" w:color="auto" w:fill="FFFFFF"/>
        </w:rPr>
        <w:t xml:space="preserve"> que conforma el Estatuto Orgánico del Presupuesto, define en el artículo 36 que el presupuesto de gastos se compondrá por los gastos de funcionamiento, del servicio de la deuda pública y de los gastos de inversión. </w:t>
      </w:r>
    </w:p>
    <w:p w:rsidR="00B07E92" w:rsidRPr="00BD1C57" w:rsidRDefault="00B07E92" w:rsidP="00B07E92">
      <w:pPr>
        <w:jc w:val="both"/>
        <w:rPr>
          <w:rFonts w:ascii="Arial" w:hAnsi="Arial" w:cs="Arial"/>
        </w:rPr>
      </w:pPr>
      <w:r>
        <w:rPr>
          <w:rFonts w:ascii="Arial" w:hAnsi="Arial" w:cs="Arial"/>
        </w:rPr>
        <w:t>En desarrollo de estos supuestos, el</w:t>
      </w:r>
      <w:r w:rsidRPr="00BD1C57">
        <w:rPr>
          <w:rFonts w:ascii="Arial" w:hAnsi="Arial" w:cs="Arial"/>
        </w:rPr>
        <w:t xml:space="preserve"> Consejo de Estado en un concepto emitido en febrero de 2014, señaló que </w:t>
      </w:r>
      <w:r w:rsidRPr="00BD1C57">
        <w:rPr>
          <w:rFonts w:ascii="Arial" w:hAnsi="Arial" w:cs="Arial"/>
          <w:bCs/>
          <w:shd w:val="clear" w:color="auto" w:fill="FFFFFF"/>
        </w:rPr>
        <w:t xml:space="preserve">las </w:t>
      </w:r>
      <w:r w:rsidRPr="00BD1C57">
        <w:rPr>
          <w:rFonts w:ascii="Arial" w:hAnsi="Arial" w:cs="Arial"/>
        </w:rPr>
        <w:t xml:space="preserve">leyes sobre presupuesto en Colombia mantienen la clasificación clásica que diferencia entre gastos de funcionamiento (u operativos) y gastos de inversión (o de capital). </w:t>
      </w:r>
      <w:r>
        <w:rPr>
          <w:rFonts w:ascii="Arial" w:hAnsi="Arial" w:cs="Arial"/>
        </w:rPr>
        <w:t>“..</w:t>
      </w:r>
      <w:r w:rsidRPr="007D3934">
        <w:rPr>
          <w:rFonts w:ascii="Arial" w:hAnsi="Arial" w:cs="Arial"/>
          <w:i/>
        </w:rPr>
        <w:t>Los gastos de inversión se refieren a las erogaciones del Estado que significan un incremento directo del patrimonio público. Pueden consistir en los emanados de la adquisición de bienes de producción como el caso de maquinarias, equipos, etc. o, en inversiones en obras públicas de infraestructura (presas hidroeléctricas; viaductos, carreteras, puentes) o en inversiones destinadas a industrias claves (siderurgia, petroquímica, fabricación de equipo pesado, etc.). Según se observa, mientras que los gastos de funcionamiento retribuyen bienes de consumo o prestaciones de servicios, los gastos de inversión retribuyen bienes de capital y, por consiguiente, contribuyen a aumentar el capital del sector público de la economía</w:t>
      </w:r>
      <w:r>
        <w:rPr>
          <w:rFonts w:ascii="Arial" w:hAnsi="Arial" w:cs="Arial"/>
        </w:rPr>
        <w:t>..”</w:t>
      </w:r>
    </w:p>
    <w:p w:rsidR="00B07E92" w:rsidRPr="007D3934" w:rsidRDefault="00B07E92" w:rsidP="00B07E92">
      <w:pPr>
        <w:jc w:val="both"/>
        <w:rPr>
          <w:rFonts w:ascii="Arial" w:hAnsi="Arial" w:cs="Arial"/>
          <w:i/>
        </w:rPr>
      </w:pPr>
      <w:r w:rsidRPr="00BD1C57">
        <w:rPr>
          <w:rFonts w:ascii="Arial" w:hAnsi="Arial" w:cs="Arial"/>
        </w:rPr>
        <w:t>De igual manera, indica el Consejo de Estado que sirve de referencia el artículo 39 del Decreto 2517 de 2012 que liquidó el presupuesto general de la Nación para la vigencia fiscal 2013, en donde se definió los gastos de inversión como “</w:t>
      </w:r>
      <w:r w:rsidRPr="007D3934">
        <w:rPr>
          <w:rFonts w:ascii="Arial" w:hAnsi="Arial" w:cs="Arial"/>
          <w:i/>
        </w:rPr>
        <w:t>aquellas erogaciones susceptibles de causar réditos o de ser de algún modo económicamente productivas, o que tengan cuerpo de bienes de utilización perdurable, llamados también de capital por oposición a los de funcionamiento, que se hayan destinado por lo común a extinguirse con su empleo. Asimismo, aquellos gastos destinados a crear infraestructura social. La característica fundamental de este gasto debe ser que su asignación permita acrecentar la capacidad de producción y productividad en el campo de la estructura física, económica y social.”</w:t>
      </w:r>
    </w:p>
    <w:p w:rsidR="00B07E92" w:rsidRPr="00AA2BEF" w:rsidRDefault="00B07E92" w:rsidP="00B07E92">
      <w:pPr>
        <w:jc w:val="both"/>
        <w:rPr>
          <w:rFonts w:ascii="Arial" w:hAnsi="Arial" w:cs="Arial"/>
        </w:rPr>
      </w:pPr>
      <w:r>
        <w:rPr>
          <w:rFonts w:ascii="Arial" w:hAnsi="Arial" w:cs="Arial"/>
        </w:rPr>
        <w:t xml:space="preserve">Ahora bien, la Circular Básica Jurídica también ordena que en el otorgamiento de crédito a las Entidades Territoriales se verifique en todos los casos que no se superen los límites de </w:t>
      </w:r>
      <w:r w:rsidRPr="00AA2BEF">
        <w:rPr>
          <w:rFonts w:ascii="Arial" w:hAnsi="Arial" w:cs="Arial"/>
        </w:rPr>
        <w:t xml:space="preserve">endeudamientos fijados para estas en </w:t>
      </w:r>
      <w:r w:rsidRPr="00AA2BEF">
        <w:rPr>
          <w:rFonts w:ascii="Arial" w:hAnsi="Arial" w:cs="Arial"/>
          <w:kern w:val="16"/>
        </w:rPr>
        <w:t>la Ley 358 de 1997, 617 de 2000 y 819 de 2013.</w:t>
      </w:r>
    </w:p>
    <w:p w:rsidR="00B07E92" w:rsidRPr="0015534F" w:rsidRDefault="00B07E92" w:rsidP="00B07E92">
      <w:pPr>
        <w:jc w:val="both"/>
        <w:rPr>
          <w:rFonts w:ascii="Arial" w:hAnsi="Arial" w:cs="Arial"/>
          <w:kern w:val="16"/>
        </w:rPr>
      </w:pPr>
      <w:r w:rsidRPr="0015534F">
        <w:rPr>
          <w:rFonts w:ascii="Arial" w:hAnsi="Arial" w:cs="Arial"/>
          <w:kern w:val="16"/>
        </w:rPr>
        <w:t xml:space="preserve">Para estos efectos la Circular compila en la  </w:t>
      </w:r>
      <w:r w:rsidRPr="0015534F">
        <w:rPr>
          <w:rFonts w:ascii="Arial" w:hAnsi="Arial" w:cs="Arial"/>
        </w:rPr>
        <w:t>PARTE II – TÍTULO I – CAPÍTULO I</w:t>
      </w:r>
      <w:r w:rsidRPr="0015534F">
        <w:rPr>
          <w:rFonts w:ascii="Arial" w:hAnsi="Arial" w:cs="Arial"/>
          <w:kern w:val="16"/>
        </w:rPr>
        <w:t xml:space="preserve"> las siguientes reglas</w:t>
      </w:r>
      <w:r w:rsidRPr="0015534F">
        <w:rPr>
          <w:rFonts w:ascii="Arial" w:hAnsi="Arial" w:cs="Arial"/>
        </w:rPr>
        <w:t>:</w:t>
      </w:r>
      <w:r w:rsidRPr="0015534F">
        <w:rPr>
          <w:rFonts w:ascii="Arial" w:hAnsi="Arial" w:cs="Arial"/>
          <w:kern w:val="16"/>
        </w:rPr>
        <w:t xml:space="preserve"> </w:t>
      </w:r>
    </w:p>
    <w:p w:rsidR="00B07E92" w:rsidRPr="008766F3" w:rsidRDefault="00B07E92" w:rsidP="00B07E92">
      <w:pPr>
        <w:ind w:left="708" w:right="616"/>
        <w:jc w:val="both"/>
        <w:rPr>
          <w:rFonts w:ascii="Arial" w:hAnsi="Arial" w:cs="Arial"/>
          <w:i/>
          <w:kern w:val="16"/>
        </w:rPr>
      </w:pPr>
      <w:r w:rsidRPr="008766F3">
        <w:rPr>
          <w:rFonts w:ascii="Arial" w:hAnsi="Arial" w:cs="Arial"/>
          <w:i/>
          <w:kern w:val="16"/>
        </w:rPr>
        <w:lastRenderedPageBreak/>
        <w:t>2.1.5.1. En virtud de lo previsto en el art. 1 de la Ley 358 de 1997, el endeudamiento de las entidades territoriales no puede exceder su capacidad de pago, la cual se presume que existe cuando los intereses de la deuda al momento de celebrar una nueva operación de crédito, no superan el 40% del ahorro operacional. El ahorro operacional se calcula conforme la regla señalada en el parágrafo del art. 2 de la Ley 358 de 1997, en cuyo caso, cuando se registren niveles de endeudamiento inferiores o iguales al 40%, no se requiere de autorización.</w:t>
      </w:r>
    </w:p>
    <w:p w:rsidR="00B07E92" w:rsidRPr="008766F3" w:rsidRDefault="00B07E92" w:rsidP="00B07E92">
      <w:pPr>
        <w:ind w:left="708" w:right="616"/>
        <w:jc w:val="both"/>
        <w:rPr>
          <w:rFonts w:ascii="Arial" w:hAnsi="Arial" w:cs="Arial"/>
          <w:i/>
          <w:kern w:val="16"/>
        </w:rPr>
      </w:pPr>
      <w:r w:rsidRPr="008766F3">
        <w:rPr>
          <w:rFonts w:ascii="Arial" w:hAnsi="Arial" w:cs="Arial"/>
          <w:i/>
          <w:kern w:val="16"/>
        </w:rPr>
        <w:t>2.1.5.2. Los establecimientos de crédito deben abstenerse de otorgar financiación a cualquier entidad territorial que, presentando una relación intereses/ahorro operacional superior al 60% o una relación saldo de la deuda/ingresos corrientes superior al 80%, no haya suscrito un plan de desempeño -el cual debe contar con la conformidad previa de la Dirección de Apoyo Fiscal del Ministerio de Hacienda y Crédito Público- y tenga la autorización de endeudamiento correspondiente, en los términos establecidos en la Ley 358 de 1997 y sus disposiciones complementarias.</w:t>
      </w:r>
    </w:p>
    <w:p w:rsidR="00B07E92" w:rsidRPr="008766F3" w:rsidRDefault="00B07E92" w:rsidP="00B07E92">
      <w:pPr>
        <w:ind w:left="708" w:right="616"/>
        <w:jc w:val="both"/>
        <w:rPr>
          <w:rFonts w:ascii="Arial" w:hAnsi="Arial" w:cs="Arial"/>
          <w:i/>
          <w:kern w:val="16"/>
        </w:rPr>
      </w:pPr>
      <w:r w:rsidRPr="008766F3">
        <w:rPr>
          <w:rFonts w:ascii="Arial" w:hAnsi="Arial" w:cs="Arial"/>
          <w:i/>
          <w:kern w:val="16"/>
        </w:rPr>
        <w:t xml:space="preserve">2.1.5.3. Tratándose de departamentos, distritos y municipios, adicionalmente debe acreditarse el cumplimiento de los indicadores de gastos de funcionamiento a que se refieren los arts. 4, 6, 8 y 10 de la Ley 617 de 2000. </w:t>
      </w:r>
    </w:p>
    <w:p w:rsidR="00B07E92" w:rsidRPr="008766F3" w:rsidRDefault="00B07E92" w:rsidP="00B07E92">
      <w:pPr>
        <w:ind w:left="708" w:right="616"/>
        <w:jc w:val="both"/>
        <w:rPr>
          <w:rFonts w:ascii="Arial" w:hAnsi="Arial" w:cs="Arial"/>
          <w:i/>
          <w:kern w:val="16"/>
        </w:rPr>
      </w:pPr>
      <w:r w:rsidRPr="008766F3">
        <w:rPr>
          <w:rFonts w:ascii="Arial" w:hAnsi="Arial" w:cs="Arial"/>
          <w:i/>
          <w:kern w:val="16"/>
        </w:rPr>
        <w:t xml:space="preserve">La SFC impondrá las sanciones a que haya lugar por el otorgamiento de créditos a las entidades territoriales sin la verificación de la capacidad de pago de que trata la Ley 358 de 1997.  </w:t>
      </w:r>
    </w:p>
    <w:p w:rsidR="00B07E92" w:rsidRDefault="00B07E92" w:rsidP="00B07E92">
      <w:pPr>
        <w:tabs>
          <w:tab w:val="left" w:pos="2145"/>
        </w:tabs>
        <w:jc w:val="both"/>
        <w:rPr>
          <w:rFonts w:ascii="Arial" w:hAnsi="Arial" w:cs="Arial"/>
        </w:rPr>
      </w:pPr>
    </w:p>
    <w:p w:rsidR="00B07E92" w:rsidRDefault="00B07E92" w:rsidP="00B07E92">
      <w:pPr>
        <w:tabs>
          <w:tab w:val="left" w:pos="2145"/>
        </w:tabs>
        <w:jc w:val="both"/>
        <w:rPr>
          <w:rFonts w:ascii="Arial" w:hAnsi="Arial" w:cs="Arial"/>
        </w:rPr>
      </w:pPr>
      <w:r>
        <w:rPr>
          <w:rFonts w:ascii="Arial" w:hAnsi="Arial" w:cs="Arial"/>
        </w:rPr>
        <w:t>En conclusión, analizadas las disposiciones que regulan la materia, la normatividad vigente permite a las Entidades Territoriales celebrar operaciones de crédito a plazo con las instituciones financieras, independientemente de la figura jurídica que se instrumente para el efecto.</w:t>
      </w:r>
    </w:p>
    <w:p w:rsidR="00C0706D" w:rsidRPr="008738A4" w:rsidRDefault="00B07E92" w:rsidP="005D3B59">
      <w:pPr>
        <w:tabs>
          <w:tab w:val="left" w:pos="2145"/>
        </w:tabs>
        <w:jc w:val="both"/>
        <w:rPr>
          <w:rFonts w:ascii="Arial" w:hAnsi="Arial" w:cs="Arial"/>
        </w:rPr>
      </w:pPr>
      <w:r>
        <w:rPr>
          <w:rFonts w:ascii="Arial" w:hAnsi="Arial" w:cs="Arial"/>
        </w:rPr>
        <w:t>Esto significa que la CNCA está facultada legalmente para reglamentar un nuevo tipo de Beneficiario de crédito y las Entidades Territoriales</w:t>
      </w:r>
      <w:r>
        <w:rPr>
          <w:rFonts w:ascii="Arial" w:hAnsi="Arial" w:cs="Arial"/>
          <w:i/>
        </w:rPr>
        <w:tab/>
      </w:r>
      <w:r>
        <w:rPr>
          <w:rFonts w:ascii="Arial" w:hAnsi="Arial" w:cs="Arial"/>
        </w:rPr>
        <w:t xml:space="preserve"> a su vez, tienen la capacidad legal para ser sujetos de crédito y por ende celebrar estas operaciones utilizando las líneas de redescuento que para el efecto reglamente o tenga reglamentadas Finagro.</w:t>
      </w:r>
    </w:p>
    <w:sectPr w:rsidR="00C0706D" w:rsidRPr="008738A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6DC" w:rsidRDefault="007566DC" w:rsidP="008738A4">
      <w:pPr>
        <w:spacing w:after="0" w:line="240" w:lineRule="auto"/>
      </w:pPr>
      <w:r>
        <w:separator/>
      </w:r>
    </w:p>
  </w:endnote>
  <w:endnote w:type="continuationSeparator" w:id="0">
    <w:p w:rsidR="007566DC" w:rsidRDefault="007566DC" w:rsidP="00873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6DC" w:rsidRDefault="007566DC" w:rsidP="008738A4">
      <w:pPr>
        <w:spacing w:after="0" w:line="240" w:lineRule="auto"/>
      </w:pPr>
      <w:r>
        <w:separator/>
      </w:r>
    </w:p>
  </w:footnote>
  <w:footnote w:type="continuationSeparator" w:id="0">
    <w:p w:rsidR="007566DC" w:rsidRDefault="007566DC" w:rsidP="008738A4">
      <w:pPr>
        <w:spacing w:after="0" w:line="240" w:lineRule="auto"/>
      </w:pPr>
      <w:r>
        <w:continuationSeparator/>
      </w:r>
    </w:p>
  </w:footnote>
  <w:footnote w:id="1">
    <w:p w:rsidR="000329A6" w:rsidRDefault="000329A6" w:rsidP="000D772D">
      <w:pPr>
        <w:pStyle w:val="Textonotapie"/>
        <w:jc w:val="both"/>
      </w:pPr>
      <w:r>
        <w:rPr>
          <w:rStyle w:val="Refdenotaalpie"/>
        </w:rPr>
        <w:footnoteRef/>
      </w:r>
      <w:r>
        <w:t xml:space="preserve"> En temas agropecuarios, la Ley 60 estableció que los municipios debían promover y participar en proyectos de desarrollo del área rural campesina y prestar la asistencia técnica agropecuaria a los pequeños productores de la jurisdicción. De forma concreta, se estableció que parte de los recursos que recibieran los municipios se irían al </w:t>
      </w:r>
      <w:r w:rsidRPr="0005701C">
        <w:t>otorgamiento de subsidios para la cofinanciación de compra de tierras por los campesinos pobres en zonas de reforma agraria; creación, dotación, mantenimiento y operación de las Unidades Municipales de Asistencia Técnica Agropecuaria (Umatas), y capacitación de personal, conforme a las disposiciones legales vigentes; subsidios para la construcción de distritos de riego; construcción y mantenimiento de caminos vecinales; y construcción y mantenimiento de centros de acopio de productos agrícolas.</w:t>
      </w:r>
    </w:p>
    <w:p w:rsidR="000329A6" w:rsidRDefault="000329A6" w:rsidP="000D772D">
      <w:pPr>
        <w:pStyle w:val="Textonotapie"/>
        <w:jc w:val="both"/>
      </w:pPr>
    </w:p>
  </w:footnote>
  <w:footnote w:id="2">
    <w:p w:rsidR="000329A6" w:rsidRDefault="000329A6" w:rsidP="000D772D">
      <w:pPr>
        <w:pStyle w:val="Textonotapie"/>
        <w:jc w:val="both"/>
      </w:pPr>
      <w:r>
        <w:rPr>
          <w:rStyle w:val="Refdenotaalpie"/>
        </w:rPr>
        <w:footnoteRef/>
      </w:r>
      <w:r>
        <w:t xml:space="preserve"> Sánchez (2001) muestra los efectos negativos de las finanzas públicas por el proceso de descentralización, siendo unas de sus principales conclusiones que el modelo no estimulaba el esfuerzo fiscal ni por parte del Gobierno Nacional ni por parte de las entidades territoriales; que el gasto central no se disminuyó de la forma esperada; y que el nivel de endeudamiento de los entes sin un control suficiente generó un problema de solvencia en 1998.</w:t>
      </w:r>
    </w:p>
    <w:p w:rsidR="000329A6" w:rsidRDefault="000329A6" w:rsidP="000D772D">
      <w:pPr>
        <w:pStyle w:val="Textonotapie"/>
        <w:jc w:val="both"/>
      </w:pPr>
    </w:p>
  </w:footnote>
  <w:footnote w:id="3">
    <w:p w:rsidR="000329A6" w:rsidRDefault="000329A6" w:rsidP="000D772D">
      <w:pPr>
        <w:pStyle w:val="Textonotapie"/>
        <w:jc w:val="both"/>
      </w:pPr>
      <w:r>
        <w:rPr>
          <w:rStyle w:val="Refdenotaalpie"/>
        </w:rPr>
        <w:footnoteRef/>
      </w:r>
      <w:r>
        <w:t xml:space="preserve"> En materia agropecuaria, les corresponde a los municipios: promover, participar y/o financiar proyectos de desarrollo del área rural; prestar</w:t>
      </w:r>
      <w:r w:rsidRPr="00E43EA4">
        <w:t xml:space="preserve">, directa o indirectamente el servicio de </w:t>
      </w:r>
      <w:r>
        <w:t>asistencia técnica agropecuaria; p</w:t>
      </w:r>
      <w:r w:rsidRPr="00E43EA4">
        <w:t>romover mecanismos de asociación y de alianzas de pequeños y medianos productores.</w:t>
      </w:r>
    </w:p>
  </w:footnote>
  <w:footnote w:id="4">
    <w:p w:rsidR="000329A6" w:rsidRDefault="000329A6" w:rsidP="000D772D">
      <w:pPr>
        <w:pStyle w:val="Textonotapie"/>
        <w:jc w:val="both"/>
      </w:pPr>
      <w:r>
        <w:rPr>
          <w:rStyle w:val="Refdenotaalpie"/>
        </w:rPr>
        <w:footnoteRef/>
      </w:r>
      <w:r>
        <w:t xml:space="preserve"> Las asignaciones directas se realizan a los departamentos, municipios o </w:t>
      </w:r>
      <w:r w:rsidRPr="00460574">
        <w:t>distritos en cuyo territorio se adelanten explotaciones de recursos naturales no renovables, así como los municipios y distritos con puertos marítimos y fluviales por donde se transporten dichos recursos o pro</w:t>
      </w:r>
      <w:r>
        <w:t>ductos derivados de los mismos.</w:t>
      </w:r>
    </w:p>
    <w:p w:rsidR="000329A6" w:rsidRDefault="000329A6" w:rsidP="000D772D">
      <w:pPr>
        <w:pStyle w:val="Textonotapie"/>
        <w:jc w:val="both"/>
      </w:pPr>
    </w:p>
  </w:footnote>
  <w:footnote w:id="5">
    <w:p w:rsidR="000329A6" w:rsidRDefault="000329A6" w:rsidP="000D772D">
      <w:pPr>
        <w:pStyle w:val="Textonotapie"/>
        <w:jc w:val="both"/>
      </w:pPr>
      <w:r>
        <w:rPr>
          <w:rStyle w:val="Refdenotaalpie"/>
        </w:rPr>
        <w:footnoteRef/>
      </w:r>
      <w:r>
        <w:t xml:space="preserve"> Estos</w:t>
      </w:r>
      <w:r w:rsidRPr="00460574">
        <w:t xml:space="preserve"> recursos </w:t>
      </w:r>
      <w:r>
        <w:t xml:space="preserve">también </w:t>
      </w:r>
      <w:r w:rsidRPr="00460574">
        <w:t>podrán ser objeto de pignoración o servir de fuente de pago para operaciones de crédito público adquiridas por las entidades territoriales, cuando se trate de proyectos de inversión aprobados por los Órganos Colegiados de Administración y Decisión, según las reglas y condiciones que establezcan las normas vigentes.</w:t>
      </w:r>
    </w:p>
  </w:footnote>
  <w:footnote w:id="6">
    <w:p w:rsidR="000329A6" w:rsidRDefault="000329A6" w:rsidP="000D772D">
      <w:pPr>
        <w:pStyle w:val="Textonotapie"/>
        <w:jc w:val="both"/>
      </w:pPr>
      <w:r>
        <w:rPr>
          <w:rStyle w:val="Refdenotaalpie"/>
        </w:rPr>
        <w:footnoteRef/>
      </w:r>
      <w:r>
        <w:t xml:space="preserve"> La capacidad de pago definida de acuerdo a la Ley 358 de 1997 es </w:t>
      </w:r>
      <w:r w:rsidRPr="00E835C0">
        <w:t>el flujo mínimo de ahorro operacional que permite efectuar cumplidamente el servicio de la deuda en todos los años, dejando un remanente para financiar inversiones.</w:t>
      </w:r>
    </w:p>
    <w:p w:rsidR="000329A6" w:rsidRDefault="000329A6" w:rsidP="000D772D">
      <w:pPr>
        <w:pStyle w:val="Textonotapie"/>
        <w:jc w:val="both"/>
      </w:pPr>
    </w:p>
  </w:footnote>
  <w:footnote w:id="7">
    <w:p w:rsidR="000329A6" w:rsidRDefault="000329A6" w:rsidP="000D772D">
      <w:pPr>
        <w:pStyle w:val="Textonotapie"/>
        <w:jc w:val="both"/>
      </w:pPr>
      <w:r>
        <w:rPr>
          <w:rStyle w:val="Refdenotaalpie"/>
        </w:rPr>
        <w:footnoteRef/>
      </w:r>
      <w:r>
        <w:t xml:space="preserve"> </w:t>
      </w:r>
      <w:r w:rsidRPr="00BD1AFA">
        <w:t>El ahorro operacional será el resultado de restar los ingresos corrientes, los gastos de funcionamiento y las transferencias pagadas por las entidades territoriales. Se consideran ingresos corrientes los tributarios, no tributarios, las regalías y compensaciones monetarias efectivamente recibidas, las transferencias nacionales, las participaciones en las rentas de la nación, los recursos del balance y los rendimientos financieros. Para estos efectos, los salarios, honorarios, prestaciones sociales y aportes a la seguridad social se considerarán como gastos de funcionamiento, aunque se encuentren presupuestados como gastos de inversión.</w:t>
      </w:r>
    </w:p>
  </w:footnote>
  <w:footnote w:id="8">
    <w:p w:rsidR="000329A6" w:rsidRDefault="000329A6" w:rsidP="000D772D">
      <w:pPr>
        <w:pStyle w:val="Textonotapie"/>
        <w:jc w:val="both"/>
      </w:pPr>
      <w:r>
        <w:rPr>
          <w:rStyle w:val="Refdenotaalpie"/>
        </w:rPr>
        <w:footnoteRef/>
      </w:r>
      <w:r>
        <w:t xml:space="preserve">  Los planes de desempeño de que trata la Ley 358 de 1997 y Decreto 1068 de 2015 contendrán un diagnóstico financiero e institucional de las respectivas entidades territoriales, incluido el cálculo de los indicadores de capacidad de pago. Contendrán, así mismo, las acciones, medidas y metas que se comprometen a instaurar o lograr en un período determinado, con base en las capacidades, instrumentos y restricciones con que cuenten las entidades territoriales, y deberán estar orientados a restablecer su solidez económica y financiera. </w:t>
      </w:r>
    </w:p>
    <w:p w:rsidR="000329A6" w:rsidRDefault="000329A6" w:rsidP="000D772D">
      <w:pPr>
        <w:pStyle w:val="Textonotapie"/>
      </w:pPr>
    </w:p>
    <w:p w:rsidR="000329A6" w:rsidRDefault="000329A6" w:rsidP="000D772D">
      <w:pPr>
        <w:pStyle w:val="Textonotapie"/>
        <w:jc w:val="both"/>
      </w:pPr>
      <w:r>
        <w:t>El contenido de los planes de desempeño deberá ser acordado entre la entidad territorial y la entidad prestamista, teniendo en cuenta, para el efecto, su viabilidad e incidencia fiscal y financiera, así como la correspondencia entre el uso previsto de los recursos del crédito y el uso legalmente autorizado.</w:t>
      </w:r>
    </w:p>
  </w:footnote>
  <w:footnote w:id="9">
    <w:p w:rsidR="000329A6" w:rsidRDefault="000329A6" w:rsidP="000D772D">
      <w:pPr>
        <w:pStyle w:val="Textonotapie"/>
        <w:jc w:val="both"/>
      </w:pPr>
      <w:r>
        <w:rPr>
          <w:rStyle w:val="Refdenotaalpie"/>
        </w:rPr>
        <w:footnoteRef/>
      </w:r>
      <w:r>
        <w:t xml:space="preserve"> Entre el año 2000 y 2004 FINAGRO registró 6 créditos para departamentos, pero desde esa fecha estos no se han vuelto a presentar.</w:t>
      </w:r>
    </w:p>
  </w:footnote>
  <w:footnote w:id="10">
    <w:p w:rsidR="000329A6" w:rsidRDefault="000329A6" w:rsidP="000D772D">
      <w:pPr>
        <w:pStyle w:val="Textonotapie"/>
        <w:jc w:val="both"/>
      </w:pPr>
      <w:r>
        <w:rPr>
          <w:rStyle w:val="Refdenotaalpie"/>
        </w:rPr>
        <w:footnoteRef/>
      </w:r>
      <w:r>
        <w:t xml:space="preserve"> Se toma en consideración todo el crédito de FINDETER, así este no haya sido tomado por un actor público. Lo anterior para mostrar la dinámica de las inversiones en los sectores que atiende esta entidad. Cabe destacar que de todo el crédito que otorgó FINDETER en el 2015, el 34% fue para actores públicos.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0689"/>
    <w:multiLevelType w:val="hybridMultilevel"/>
    <w:tmpl w:val="B81CAAAA"/>
    <w:lvl w:ilvl="0" w:tplc="808E4FF6">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1AE1F91"/>
    <w:multiLevelType w:val="hybridMultilevel"/>
    <w:tmpl w:val="453C655E"/>
    <w:lvl w:ilvl="0" w:tplc="756E5BC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CF9240A"/>
    <w:multiLevelType w:val="hybridMultilevel"/>
    <w:tmpl w:val="8D7A1A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D416423"/>
    <w:multiLevelType w:val="hybridMultilevel"/>
    <w:tmpl w:val="B1580738"/>
    <w:lvl w:ilvl="0" w:tplc="808E4FF6">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53A4174"/>
    <w:multiLevelType w:val="hybridMultilevel"/>
    <w:tmpl w:val="115417B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3CF01697"/>
    <w:multiLevelType w:val="hybridMultilevel"/>
    <w:tmpl w:val="4B160D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B414BE5"/>
    <w:multiLevelType w:val="hybridMultilevel"/>
    <w:tmpl w:val="C43CA9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BA66F36"/>
    <w:multiLevelType w:val="hybridMultilevel"/>
    <w:tmpl w:val="3766B9B8"/>
    <w:lvl w:ilvl="0" w:tplc="1A709BAA">
      <w:start w:val="3"/>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5F72527C"/>
    <w:multiLevelType w:val="hybridMultilevel"/>
    <w:tmpl w:val="6A3E65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5FB20DF"/>
    <w:multiLevelType w:val="hybridMultilevel"/>
    <w:tmpl w:val="FBF69EBC"/>
    <w:lvl w:ilvl="0" w:tplc="808E4FF6">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7DC6617F"/>
    <w:multiLevelType w:val="hybridMultilevel"/>
    <w:tmpl w:val="BBA0738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8"/>
  </w:num>
  <w:num w:numId="5">
    <w:abstractNumId w:val="10"/>
  </w:num>
  <w:num w:numId="6">
    <w:abstractNumId w:val="9"/>
  </w:num>
  <w:num w:numId="7">
    <w:abstractNumId w:val="0"/>
  </w:num>
  <w:num w:numId="8">
    <w:abstractNumId w:val="3"/>
  </w:num>
  <w:num w:numId="9">
    <w:abstractNumId w:val="2"/>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06D"/>
    <w:rsid w:val="000329A6"/>
    <w:rsid w:val="0006321C"/>
    <w:rsid w:val="000C5AAF"/>
    <w:rsid w:val="000D772D"/>
    <w:rsid w:val="001C7E75"/>
    <w:rsid w:val="00296FBE"/>
    <w:rsid w:val="002D6ED8"/>
    <w:rsid w:val="00314E57"/>
    <w:rsid w:val="003B40FA"/>
    <w:rsid w:val="003F5D54"/>
    <w:rsid w:val="00457215"/>
    <w:rsid w:val="00461C8C"/>
    <w:rsid w:val="004B2409"/>
    <w:rsid w:val="00514683"/>
    <w:rsid w:val="00545DBA"/>
    <w:rsid w:val="005D3B59"/>
    <w:rsid w:val="006644BB"/>
    <w:rsid w:val="006777CF"/>
    <w:rsid w:val="006806C4"/>
    <w:rsid w:val="006A3F93"/>
    <w:rsid w:val="007566DC"/>
    <w:rsid w:val="007E367C"/>
    <w:rsid w:val="00832204"/>
    <w:rsid w:val="008738A4"/>
    <w:rsid w:val="008859EF"/>
    <w:rsid w:val="008B2DAF"/>
    <w:rsid w:val="009128D6"/>
    <w:rsid w:val="009709C4"/>
    <w:rsid w:val="009A2103"/>
    <w:rsid w:val="009D183F"/>
    <w:rsid w:val="00AA3C02"/>
    <w:rsid w:val="00AB3B7B"/>
    <w:rsid w:val="00AE5A61"/>
    <w:rsid w:val="00B07E92"/>
    <w:rsid w:val="00B70109"/>
    <w:rsid w:val="00B810A5"/>
    <w:rsid w:val="00C0706D"/>
    <w:rsid w:val="00C80FA2"/>
    <w:rsid w:val="00D22CAE"/>
    <w:rsid w:val="00D4011E"/>
    <w:rsid w:val="00DB6669"/>
    <w:rsid w:val="00DF798F"/>
    <w:rsid w:val="00E56304"/>
    <w:rsid w:val="00EB6153"/>
    <w:rsid w:val="00F76F7E"/>
    <w:rsid w:val="00F8320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22974D-F7C1-4E6D-82DE-DC2D75915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2">
    <w:name w:val="p2"/>
    <w:basedOn w:val="Normal"/>
    <w:rsid w:val="004B2409"/>
    <w:pPr>
      <w:widowControl w:val="0"/>
      <w:tabs>
        <w:tab w:val="left" w:pos="170"/>
      </w:tabs>
      <w:autoSpaceDE w:val="0"/>
      <w:autoSpaceDN w:val="0"/>
      <w:adjustRightInd w:val="0"/>
      <w:spacing w:after="0" w:line="240" w:lineRule="atLeast"/>
      <w:ind w:left="754"/>
      <w:jc w:val="both"/>
    </w:pPr>
    <w:rPr>
      <w:rFonts w:ascii="Times New Roman" w:eastAsia="Times New Roman" w:hAnsi="Times New Roman" w:cs="Times New Roman"/>
      <w:sz w:val="24"/>
      <w:szCs w:val="24"/>
      <w:lang w:val="en-US" w:eastAsia="es-ES"/>
    </w:rPr>
  </w:style>
  <w:style w:type="paragraph" w:styleId="Prrafodelista">
    <w:name w:val="List Paragraph"/>
    <w:aliases w:val="Segundo nivel de viñetas"/>
    <w:basedOn w:val="Normal"/>
    <w:uiPriority w:val="34"/>
    <w:qFormat/>
    <w:rsid w:val="00D22CAE"/>
    <w:pPr>
      <w:ind w:left="720"/>
      <w:contextualSpacing/>
    </w:pPr>
  </w:style>
  <w:style w:type="paragraph" w:styleId="Textoindependiente3">
    <w:name w:val="Body Text 3"/>
    <w:basedOn w:val="Normal"/>
    <w:link w:val="Textoindependiente3Car"/>
    <w:uiPriority w:val="99"/>
    <w:semiHidden/>
    <w:unhideWhenUsed/>
    <w:rsid w:val="00D22CAE"/>
    <w:pPr>
      <w:spacing w:after="120" w:line="276" w:lineRule="auto"/>
      <w:jc w:val="both"/>
    </w:pPr>
    <w:rPr>
      <w:rFonts w:ascii="Arial" w:hAnsi="Arial" w:cs="Arial"/>
      <w:sz w:val="16"/>
      <w:szCs w:val="16"/>
      <w:lang w:eastAsia="x-none"/>
    </w:rPr>
  </w:style>
  <w:style w:type="character" w:customStyle="1" w:styleId="Textoindependiente3Car">
    <w:name w:val="Texto independiente 3 Car"/>
    <w:basedOn w:val="Fuentedeprrafopredeter"/>
    <w:link w:val="Textoindependiente3"/>
    <w:uiPriority w:val="99"/>
    <w:semiHidden/>
    <w:rsid w:val="00D22CAE"/>
    <w:rPr>
      <w:rFonts w:ascii="Arial" w:hAnsi="Arial" w:cs="Arial"/>
      <w:sz w:val="16"/>
      <w:szCs w:val="16"/>
      <w:lang w:eastAsia="x-none"/>
    </w:rPr>
  </w:style>
  <w:style w:type="paragraph" w:customStyle="1" w:styleId="Cuerpo">
    <w:name w:val="Cuerpo"/>
    <w:rsid w:val="00D22CAE"/>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eastAsia="es-CO"/>
    </w:rPr>
  </w:style>
  <w:style w:type="paragraph" w:styleId="Textonotapie">
    <w:name w:val="footnote text"/>
    <w:basedOn w:val="Normal"/>
    <w:link w:val="TextonotapieCar"/>
    <w:uiPriority w:val="99"/>
    <w:semiHidden/>
    <w:unhideWhenUsed/>
    <w:rsid w:val="008738A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738A4"/>
    <w:rPr>
      <w:sz w:val="20"/>
      <w:szCs w:val="20"/>
    </w:rPr>
  </w:style>
  <w:style w:type="character" w:styleId="Refdenotaalpie">
    <w:name w:val="footnote reference"/>
    <w:basedOn w:val="Fuentedeprrafopredeter"/>
    <w:uiPriority w:val="99"/>
    <w:semiHidden/>
    <w:unhideWhenUsed/>
    <w:rsid w:val="008738A4"/>
    <w:rPr>
      <w:vertAlign w:val="superscript"/>
    </w:rPr>
  </w:style>
  <w:style w:type="paragraph" w:styleId="Descripcin">
    <w:name w:val="caption"/>
    <w:basedOn w:val="Normal"/>
    <w:next w:val="Normal"/>
    <w:uiPriority w:val="35"/>
    <w:unhideWhenUsed/>
    <w:qFormat/>
    <w:rsid w:val="008738A4"/>
    <w:pPr>
      <w:spacing w:after="200" w:line="240" w:lineRule="auto"/>
    </w:pPr>
    <w:rPr>
      <w:i/>
      <w:iCs/>
      <w:color w:val="44546A" w:themeColor="text2"/>
      <w:sz w:val="18"/>
      <w:szCs w:val="18"/>
    </w:rPr>
  </w:style>
  <w:style w:type="table" w:styleId="Tabladecuadrcula4-nfasis6">
    <w:name w:val="Grid Table 4 Accent 6"/>
    <w:basedOn w:val="Tablanormal"/>
    <w:uiPriority w:val="49"/>
    <w:rsid w:val="000D772D"/>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Revisin">
    <w:name w:val="Revision"/>
    <w:hidden/>
    <w:uiPriority w:val="99"/>
    <w:semiHidden/>
    <w:rsid w:val="0006321C"/>
    <w:pPr>
      <w:spacing w:after="0" w:line="240" w:lineRule="auto"/>
    </w:pPr>
  </w:style>
  <w:style w:type="paragraph" w:styleId="Textodeglobo">
    <w:name w:val="Balloon Text"/>
    <w:basedOn w:val="Normal"/>
    <w:link w:val="TextodegloboCar"/>
    <w:uiPriority w:val="99"/>
    <w:semiHidden/>
    <w:unhideWhenUsed/>
    <w:rsid w:val="000632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632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Libro2"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tx>
            <c:v>Valor</c:v>
          </c:tx>
          <c:spPr>
            <a:solidFill>
              <a:schemeClr val="accent2"/>
            </a:solidFill>
            <a:ln>
              <a:noFill/>
            </a:ln>
            <a:effectLst/>
          </c:spPr>
          <c:invertIfNegative val="0"/>
          <c:val>
            <c:numRef>
              <c:f>Hoja3!$C$1:$C$13</c:f>
              <c:numCache>
                <c:formatCode>0</c:formatCode>
                <c:ptCount val="13"/>
                <c:pt idx="0">
                  <c:v>3198.3</c:v>
                </c:pt>
                <c:pt idx="1">
                  <c:v>3960.3598339999999</c:v>
                </c:pt>
                <c:pt idx="2">
                  <c:v>2816.3</c:v>
                </c:pt>
                <c:pt idx="3">
                  <c:v>5751.3947770000004</c:v>
                </c:pt>
                <c:pt idx="4">
                  <c:v>3690.4569000000001</c:v>
                </c:pt>
                <c:pt idx="5">
                  <c:v>2224.0239999999999</c:v>
                </c:pt>
                <c:pt idx="6">
                  <c:v>6031.1126510000004</c:v>
                </c:pt>
                <c:pt idx="7">
                  <c:v>4561.1796000000004</c:v>
                </c:pt>
                <c:pt idx="8">
                  <c:v>3414.225582</c:v>
                </c:pt>
                <c:pt idx="9">
                  <c:v>1824.0409999999999</c:v>
                </c:pt>
                <c:pt idx="10">
                  <c:v>3613.7037019999998</c:v>
                </c:pt>
                <c:pt idx="11">
                  <c:v>516.84799999999996</c:v>
                </c:pt>
                <c:pt idx="12">
                  <c:v>764.62639999999999</c:v>
                </c:pt>
              </c:numCache>
            </c:numRef>
          </c:val>
          <c:extLst>
            <c:ext xmlns:c16="http://schemas.microsoft.com/office/drawing/2014/chart" uri="{C3380CC4-5D6E-409C-BE32-E72D297353CC}">
              <c16:uniqueId val="{00000000-CA73-4FF1-8908-553D58133B7A}"/>
            </c:ext>
          </c:extLst>
        </c:ser>
        <c:dLbls>
          <c:showLegendKey val="0"/>
          <c:showVal val="0"/>
          <c:showCatName val="0"/>
          <c:showSerName val="0"/>
          <c:showPercent val="0"/>
          <c:showBubbleSize val="0"/>
        </c:dLbls>
        <c:gapWidth val="219"/>
        <c:overlap val="-27"/>
        <c:axId val="-809143328"/>
        <c:axId val="-809149312"/>
      </c:barChart>
      <c:lineChart>
        <c:grouping val="standard"/>
        <c:varyColors val="0"/>
        <c:ser>
          <c:idx val="0"/>
          <c:order val="0"/>
          <c:tx>
            <c:v>Cantidad</c:v>
          </c:tx>
          <c:spPr>
            <a:ln w="28575" cap="rnd">
              <a:solidFill>
                <a:schemeClr val="accent1"/>
              </a:solidFill>
              <a:round/>
            </a:ln>
            <a:effectLst/>
          </c:spPr>
          <c:marker>
            <c:symbol val="none"/>
          </c:marker>
          <c:cat>
            <c:numRef>
              <c:f>Hoja3!$A$1:$A$13</c:f>
              <c:numCache>
                <c:formatCode>General</c:formatCode>
                <c:ptCount val="1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numCache>
            </c:numRef>
          </c:cat>
          <c:val>
            <c:numRef>
              <c:f>Hoja3!$B$1:$B$13</c:f>
              <c:numCache>
                <c:formatCode>General</c:formatCode>
                <c:ptCount val="13"/>
                <c:pt idx="0">
                  <c:v>12</c:v>
                </c:pt>
                <c:pt idx="1">
                  <c:v>22</c:v>
                </c:pt>
                <c:pt idx="2">
                  <c:v>10</c:v>
                </c:pt>
                <c:pt idx="3">
                  <c:v>19</c:v>
                </c:pt>
                <c:pt idx="4">
                  <c:v>17</c:v>
                </c:pt>
                <c:pt idx="5">
                  <c:v>14</c:v>
                </c:pt>
                <c:pt idx="6">
                  <c:v>16</c:v>
                </c:pt>
                <c:pt idx="7">
                  <c:v>16</c:v>
                </c:pt>
                <c:pt idx="8">
                  <c:v>13</c:v>
                </c:pt>
                <c:pt idx="9">
                  <c:v>9</c:v>
                </c:pt>
                <c:pt idx="10">
                  <c:v>9</c:v>
                </c:pt>
                <c:pt idx="11">
                  <c:v>2</c:v>
                </c:pt>
                <c:pt idx="12">
                  <c:v>2</c:v>
                </c:pt>
              </c:numCache>
            </c:numRef>
          </c:val>
          <c:smooth val="0"/>
          <c:extLst>
            <c:ext xmlns:c16="http://schemas.microsoft.com/office/drawing/2014/chart" uri="{C3380CC4-5D6E-409C-BE32-E72D297353CC}">
              <c16:uniqueId val="{00000001-CA73-4FF1-8908-553D58133B7A}"/>
            </c:ext>
          </c:extLst>
        </c:ser>
        <c:dLbls>
          <c:showLegendKey val="0"/>
          <c:showVal val="0"/>
          <c:showCatName val="0"/>
          <c:showSerName val="0"/>
          <c:showPercent val="0"/>
          <c:showBubbleSize val="0"/>
        </c:dLbls>
        <c:marker val="1"/>
        <c:smooth val="0"/>
        <c:axId val="-809147680"/>
        <c:axId val="-809143872"/>
      </c:lineChart>
      <c:catAx>
        <c:axId val="-809147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809143872"/>
        <c:crosses val="autoZero"/>
        <c:auto val="1"/>
        <c:lblAlgn val="ctr"/>
        <c:lblOffset val="100"/>
        <c:noMultiLvlLbl val="0"/>
      </c:catAx>
      <c:valAx>
        <c:axId val="-80914387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accent5">
                    <a:lumMod val="75000"/>
                  </a:schemeClr>
                </a:solidFill>
                <a:latin typeface="+mn-lt"/>
                <a:ea typeface="+mn-ea"/>
                <a:cs typeface="+mn-cs"/>
              </a:defRPr>
            </a:pPr>
            <a:endParaRPr lang="es-ES"/>
          </a:p>
        </c:txPr>
        <c:crossAx val="-809147680"/>
        <c:crosses val="autoZero"/>
        <c:crossBetween val="between"/>
      </c:valAx>
      <c:valAx>
        <c:axId val="-809149312"/>
        <c:scaling>
          <c:orientation val="minMax"/>
        </c:scaling>
        <c:delete val="0"/>
        <c:axPos val="r"/>
        <c:title>
          <c:tx>
            <c:rich>
              <a:bodyPr rot="-5400000" spcFirstLastPara="1" vertOverflow="ellipsis" vert="horz" wrap="square" anchor="ctr" anchorCtr="1"/>
              <a:lstStyle/>
              <a:p>
                <a:pPr>
                  <a:defRPr sz="1000" b="1" i="0" u="none" strike="noStrike" kern="1200" baseline="0">
                    <a:solidFill>
                      <a:schemeClr val="accent2">
                        <a:lumMod val="75000"/>
                      </a:schemeClr>
                    </a:solidFill>
                    <a:latin typeface="+mn-lt"/>
                    <a:ea typeface="+mn-ea"/>
                    <a:cs typeface="+mn-cs"/>
                  </a:defRPr>
                </a:pPr>
                <a:r>
                  <a:rPr lang="en-US" b="1">
                    <a:solidFill>
                      <a:schemeClr val="accent2">
                        <a:lumMod val="75000"/>
                      </a:schemeClr>
                    </a:solidFill>
                  </a:rPr>
                  <a:t>Millones de pesos</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accent2">
                      <a:lumMod val="75000"/>
                    </a:schemeClr>
                  </a:solidFill>
                  <a:latin typeface="+mn-lt"/>
                  <a:ea typeface="+mn-ea"/>
                  <a:cs typeface="+mn-cs"/>
                </a:defRPr>
              </a:pPr>
              <a:endParaRPr lang="es-ES"/>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accent2">
                    <a:lumMod val="75000"/>
                  </a:schemeClr>
                </a:solidFill>
                <a:latin typeface="+mn-lt"/>
                <a:ea typeface="+mn-ea"/>
                <a:cs typeface="+mn-cs"/>
              </a:defRPr>
            </a:pPr>
            <a:endParaRPr lang="es-ES"/>
          </a:p>
        </c:txPr>
        <c:crossAx val="-809143328"/>
        <c:crosses val="max"/>
        <c:crossBetween val="between"/>
      </c:valAx>
      <c:catAx>
        <c:axId val="-809143328"/>
        <c:scaling>
          <c:orientation val="minMax"/>
        </c:scaling>
        <c:delete val="1"/>
        <c:axPos val="b"/>
        <c:majorTickMark val="out"/>
        <c:minorTickMark val="none"/>
        <c:tickLblPos val="nextTo"/>
        <c:crossAx val="-80914931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noFill/>
      <a:round/>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A7D41D8-1296-46E3-9644-5E26173A087F}" type="doc">
      <dgm:prSet loTypeId="urn:microsoft.com/office/officeart/2005/8/layout/hierarchy5" loCatId="hierarchy" qsTypeId="urn:microsoft.com/office/officeart/2005/8/quickstyle/simple3" qsCatId="simple" csTypeId="urn:microsoft.com/office/officeart/2005/8/colors/accent6_1" csCatId="accent6" phldr="1"/>
      <dgm:spPr/>
      <dgm:t>
        <a:bodyPr/>
        <a:lstStyle/>
        <a:p>
          <a:endParaRPr lang="es-ES"/>
        </a:p>
      </dgm:t>
    </dgm:pt>
    <dgm:pt modelId="{907908BC-948C-4CA8-81BD-E89288BA644C}">
      <dgm:prSet phldrT="[Texto]" custT="1"/>
      <dgm:spPr/>
      <dgm:t>
        <a:bodyPr/>
        <a:lstStyle/>
        <a:p>
          <a:pPr algn="ctr"/>
          <a:r>
            <a:rPr lang="es-ES" sz="900" b="1"/>
            <a:t>Sistema General de Participaciones</a:t>
          </a:r>
        </a:p>
      </dgm:t>
    </dgm:pt>
    <dgm:pt modelId="{E99244AD-D7FB-4885-862D-B415D96501FA}" type="parTrans" cxnId="{744E5EA5-13A2-4307-8EAA-730038F92265}">
      <dgm:prSet/>
      <dgm:spPr/>
      <dgm:t>
        <a:bodyPr/>
        <a:lstStyle/>
        <a:p>
          <a:pPr algn="ctr"/>
          <a:endParaRPr lang="es-ES" sz="800"/>
        </a:p>
      </dgm:t>
    </dgm:pt>
    <dgm:pt modelId="{854FC7D5-0FD0-471A-96DA-50618EE28E73}" type="sibTrans" cxnId="{744E5EA5-13A2-4307-8EAA-730038F92265}">
      <dgm:prSet/>
      <dgm:spPr/>
      <dgm:t>
        <a:bodyPr/>
        <a:lstStyle/>
        <a:p>
          <a:pPr algn="ctr"/>
          <a:endParaRPr lang="es-ES" sz="800"/>
        </a:p>
      </dgm:t>
    </dgm:pt>
    <dgm:pt modelId="{0EB3E79A-7347-4336-96EB-74CBB1BBAFDD}">
      <dgm:prSet phldrT="[Texto]" custT="1"/>
      <dgm:spPr/>
      <dgm:t>
        <a:bodyPr/>
        <a:lstStyle/>
        <a:p>
          <a:pPr algn="ctr"/>
          <a:r>
            <a:rPr lang="es-ES" sz="800" b="1"/>
            <a:t>Asignaciones Especiales</a:t>
          </a:r>
        </a:p>
        <a:p>
          <a:pPr algn="ctr"/>
          <a:r>
            <a:rPr lang="es-ES" sz="800" b="1"/>
            <a:t>(4%)</a:t>
          </a:r>
        </a:p>
      </dgm:t>
    </dgm:pt>
    <dgm:pt modelId="{B8F8AE1B-8168-4F72-B5EC-1329A329F100}" type="parTrans" cxnId="{754C210C-F845-43A4-B495-4172616DE656}">
      <dgm:prSet custT="1"/>
      <dgm:spPr/>
      <dgm:t>
        <a:bodyPr/>
        <a:lstStyle/>
        <a:p>
          <a:pPr algn="ctr"/>
          <a:endParaRPr lang="es-ES" sz="800"/>
        </a:p>
      </dgm:t>
    </dgm:pt>
    <dgm:pt modelId="{4D97396F-E1DE-4B1B-9B91-D251DB70BF99}" type="sibTrans" cxnId="{754C210C-F845-43A4-B495-4172616DE656}">
      <dgm:prSet/>
      <dgm:spPr/>
      <dgm:t>
        <a:bodyPr/>
        <a:lstStyle/>
        <a:p>
          <a:pPr algn="ctr"/>
          <a:endParaRPr lang="es-ES" sz="800"/>
        </a:p>
      </dgm:t>
    </dgm:pt>
    <dgm:pt modelId="{1DF380C0-6B94-418F-BE4A-33498DA79382}">
      <dgm:prSet phldrT="[Texto]" custT="1"/>
      <dgm:spPr/>
      <dgm:t>
        <a:bodyPr/>
        <a:lstStyle/>
        <a:p>
          <a:pPr algn="ctr"/>
          <a:r>
            <a:rPr lang="es-ES" sz="800"/>
            <a:t>Resguardos Indígenas (0.52%)</a:t>
          </a:r>
        </a:p>
      </dgm:t>
    </dgm:pt>
    <dgm:pt modelId="{374FA40F-266A-402E-9080-F133F1E68A9E}" type="parTrans" cxnId="{116F36D4-AEDA-433E-90CE-A3B96D618E51}">
      <dgm:prSet custT="1"/>
      <dgm:spPr/>
      <dgm:t>
        <a:bodyPr/>
        <a:lstStyle/>
        <a:p>
          <a:pPr algn="ctr"/>
          <a:endParaRPr lang="es-ES" sz="800"/>
        </a:p>
      </dgm:t>
    </dgm:pt>
    <dgm:pt modelId="{96F7AEC4-0039-4FE6-9CE7-C81DF5F63762}" type="sibTrans" cxnId="{116F36D4-AEDA-433E-90CE-A3B96D618E51}">
      <dgm:prSet/>
      <dgm:spPr/>
      <dgm:t>
        <a:bodyPr/>
        <a:lstStyle/>
        <a:p>
          <a:pPr algn="ctr"/>
          <a:endParaRPr lang="es-ES" sz="800"/>
        </a:p>
      </dgm:t>
    </dgm:pt>
    <dgm:pt modelId="{7138501E-4CA4-4348-A38F-9D187849D929}">
      <dgm:prSet phldrT="[Texto]" custT="1"/>
      <dgm:spPr/>
      <dgm:t>
        <a:bodyPr/>
        <a:lstStyle/>
        <a:p>
          <a:pPr algn="ctr"/>
          <a:r>
            <a:rPr lang="es-ES" sz="800"/>
            <a:t>Territorios que limiten con Río Grande de la Magdalena (0.08%)</a:t>
          </a:r>
        </a:p>
      </dgm:t>
    </dgm:pt>
    <dgm:pt modelId="{A70E6341-1270-4B1A-A418-DC5CF52139DB}" type="parTrans" cxnId="{8E4C3834-0C2E-493F-AFC7-E7400CB2BF7D}">
      <dgm:prSet custT="1"/>
      <dgm:spPr/>
      <dgm:t>
        <a:bodyPr/>
        <a:lstStyle/>
        <a:p>
          <a:pPr algn="ctr"/>
          <a:endParaRPr lang="es-ES" sz="800"/>
        </a:p>
      </dgm:t>
    </dgm:pt>
    <dgm:pt modelId="{32B6DB26-7892-4C2B-99DF-902216D299EA}" type="sibTrans" cxnId="{8E4C3834-0C2E-493F-AFC7-E7400CB2BF7D}">
      <dgm:prSet/>
      <dgm:spPr/>
      <dgm:t>
        <a:bodyPr/>
        <a:lstStyle/>
        <a:p>
          <a:pPr algn="ctr"/>
          <a:endParaRPr lang="es-ES" sz="800"/>
        </a:p>
      </dgm:t>
    </dgm:pt>
    <dgm:pt modelId="{DF661A00-E707-4E11-B494-E5B3EC86CFE6}">
      <dgm:prSet phldrT="[Texto]" custT="1"/>
      <dgm:spPr/>
      <dgm:t>
        <a:bodyPr/>
        <a:lstStyle/>
        <a:p>
          <a:pPr algn="ctr"/>
          <a:r>
            <a:rPr lang="es-ES" sz="800"/>
            <a:t>Programas de alimentación escolar (0.5%)</a:t>
          </a:r>
        </a:p>
      </dgm:t>
    </dgm:pt>
    <dgm:pt modelId="{E0AABC69-78D0-4247-9A90-3DA6352CF6F2}" type="parTrans" cxnId="{38A15835-A0B0-4F30-B0DA-56FA776BDF20}">
      <dgm:prSet custT="1"/>
      <dgm:spPr/>
      <dgm:t>
        <a:bodyPr/>
        <a:lstStyle/>
        <a:p>
          <a:pPr algn="ctr"/>
          <a:endParaRPr lang="es-ES" sz="800"/>
        </a:p>
      </dgm:t>
    </dgm:pt>
    <dgm:pt modelId="{1C4A85FB-0430-4D52-A9CA-4197FD6EE656}" type="sibTrans" cxnId="{38A15835-A0B0-4F30-B0DA-56FA776BDF20}">
      <dgm:prSet/>
      <dgm:spPr/>
      <dgm:t>
        <a:bodyPr/>
        <a:lstStyle/>
        <a:p>
          <a:pPr algn="ctr"/>
          <a:endParaRPr lang="es-ES" sz="800"/>
        </a:p>
      </dgm:t>
    </dgm:pt>
    <dgm:pt modelId="{1F3E4CF4-AE91-4057-8D84-82F57793B85D}">
      <dgm:prSet phldrT="[Texto]" custT="1"/>
      <dgm:spPr/>
      <dgm:t>
        <a:bodyPr/>
        <a:lstStyle/>
        <a:p>
          <a:pPr algn="ctr"/>
          <a:r>
            <a:rPr lang="es-ES" sz="800"/>
            <a:t>Fondo Nacional de Pensiones de las Entidades Territoriales (2.9%)</a:t>
          </a:r>
        </a:p>
      </dgm:t>
    </dgm:pt>
    <dgm:pt modelId="{C1780CEE-76C8-4E2B-A067-8B6EED89AACC}" type="parTrans" cxnId="{7C71F9A5-FCF6-41F8-A465-450F9365DFEF}">
      <dgm:prSet custT="1"/>
      <dgm:spPr/>
      <dgm:t>
        <a:bodyPr/>
        <a:lstStyle/>
        <a:p>
          <a:pPr algn="ctr"/>
          <a:endParaRPr lang="es-ES" sz="800"/>
        </a:p>
      </dgm:t>
    </dgm:pt>
    <dgm:pt modelId="{757EF83A-2FC4-423D-9C0D-95C65FCA1605}" type="sibTrans" cxnId="{7C71F9A5-FCF6-41F8-A465-450F9365DFEF}">
      <dgm:prSet/>
      <dgm:spPr/>
      <dgm:t>
        <a:bodyPr/>
        <a:lstStyle/>
        <a:p>
          <a:pPr algn="ctr"/>
          <a:endParaRPr lang="es-ES" sz="800"/>
        </a:p>
      </dgm:t>
    </dgm:pt>
    <dgm:pt modelId="{CAFA23C7-AAD3-49BD-A99C-CC8C32A76CB2}">
      <dgm:prSet phldrT="[Texto]" custT="1"/>
      <dgm:spPr/>
      <dgm:t>
        <a:bodyPr/>
        <a:lstStyle/>
        <a:p>
          <a:pPr algn="ctr"/>
          <a:r>
            <a:rPr lang="es-ES" sz="800" b="1"/>
            <a:t>Distribución Sectorial (96%)</a:t>
          </a:r>
        </a:p>
      </dgm:t>
    </dgm:pt>
    <dgm:pt modelId="{997EFC56-B37F-4B4C-92E6-29C473919DBD}" type="parTrans" cxnId="{AE92BCCE-12B5-497D-BF66-E80DDBE7C008}">
      <dgm:prSet custT="1"/>
      <dgm:spPr/>
      <dgm:t>
        <a:bodyPr/>
        <a:lstStyle/>
        <a:p>
          <a:pPr algn="ctr"/>
          <a:endParaRPr lang="es-ES" sz="800"/>
        </a:p>
      </dgm:t>
    </dgm:pt>
    <dgm:pt modelId="{CBCFE994-0E2E-4656-B128-02808F33174C}" type="sibTrans" cxnId="{AE92BCCE-12B5-497D-BF66-E80DDBE7C008}">
      <dgm:prSet/>
      <dgm:spPr/>
      <dgm:t>
        <a:bodyPr/>
        <a:lstStyle/>
        <a:p>
          <a:pPr algn="ctr"/>
          <a:endParaRPr lang="es-ES" sz="800"/>
        </a:p>
      </dgm:t>
    </dgm:pt>
    <dgm:pt modelId="{AD730A4A-9150-4EE6-942E-11EC57503723}">
      <dgm:prSet phldrT="[Texto]" custT="1"/>
      <dgm:spPr/>
      <dgm:t>
        <a:bodyPr/>
        <a:lstStyle/>
        <a:p>
          <a:pPr algn="ctr"/>
          <a:r>
            <a:rPr lang="es-ES" sz="800"/>
            <a:t>Proposito general (11.6%)</a:t>
          </a:r>
        </a:p>
      </dgm:t>
    </dgm:pt>
    <dgm:pt modelId="{58A7D95B-55A3-40D5-ADB8-42D78BD88A90}" type="parTrans" cxnId="{225B6A9B-3376-4465-AA1C-C4FC4F4E4D48}">
      <dgm:prSet custT="1"/>
      <dgm:spPr/>
      <dgm:t>
        <a:bodyPr/>
        <a:lstStyle/>
        <a:p>
          <a:pPr algn="ctr"/>
          <a:endParaRPr lang="es-ES" sz="800"/>
        </a:p>
      </dgm:t>
    </dgm:pt>
    <dgm:pt modelId="{DD1F492A-6978-457A-ADE6-C9B82A895470}" type="sibTrans" cxnId="{225B6A9B-3376-4465-AA1C-C4FC4F4E4D48}">
      <dgm:prSet/>
      <dgm:spPr/>
      <dgm:t>
        <a:bodyPr/>
        <a:lstStyle/>
        <a:p>
          <a:pPr algn="ctr"/>
          <a:endParaRPr lang="es-ES" sz="800"/>
        </a:p>
      </dgm:t>
    </dgm:pt>
    <dgm:pt modelId="{AF3193AD-D53C-4EED-9174-4AC08162D587}">
      <dgm:prSet phldrT="[Texto]" custT="1"/>
      <dgm:spPr/>
      <dgm:t>
        <a:bodyPr/>
        <a:lstStyle/>
        <a:p>
          <a:pPr algn="ctr"/>
          <a:r>
            <a:rPr lang="es-ES" sz="800"/>
            <a:t>Educación (58.8%)</a:t>
          </a:r>
        </a:p>
      </dgm:t>
    </dgm:pt>
    <dgm:pt modelId="{555C9BCC-292C-49F1-A812-2003009C7589}" type="parTrans" cxnId="{ECBD89D2-A1A4-44F2-835E-0F7422368F1D}">
      <dgm:prSet custT="1"/>
      <dgm:spPr/>
      <dgm:t>
        <a:bodyPr/>
        <a:lstStyle/>
        <a:p>
          <a:pPr algn="ctr"/>
          <a:endParaRPr lang="es-ES" sz="800"/>
        </a:p>
      </dgm:t>
    </dgm:pt>
    <dgm:pt modelId="{77506C96-2EA7-44EE-AC8D-D316FEB637D4}" type="sibTrans" cxnId="{ECBD89D2-A1A4-44F2-835E-0F7422368F1D}">
      <dgm:prSet/>
      <dgm:spPr/>
      <dgm:t>
        <a:bodyPr/>
        <a:lstStyle/>
        <a:p>
          <a:pPr algn="ctr"/>
          <a:endParaRPr lang="es-ES" sz="800"/>
        </a:p>
      </dgm:t>
    </dgm:pt>
    <dgm:pt modelId="{D2FD01B6-393A-459F-8574-F26F56FB9607}">
      <dgm:prSet phldrT="[Texto]" custT="1"/>
      <dgm:spPr/>
      <dgm:t>
        <a:bodyPr/>
        <a:lstStyle/>
        <a:p>
          <a:pPr algn="ctr"/>
          <a:r>
            <a:rPr lang="es-ES" sz="800"/>
            <a:t>Salud (24.5%)</a:t>
          </a:r>
        </a:p>
      </dgm:t>
    </dgm:pt>
    <dgm:pt modelId="{3CE80B8F-1398-4A10-A5D3-9B9A60EE9A63}" type="parTrans" cxnId="{D2D86F3A-EB5B-4B12-8F1A-32941F2DD9A8}">
      <dgm:prSet custT="1"/>
      <dgm:spPr/>
      <dgm:t>
        <a:bodyPr/>
        <a:lstStyle/>
        <a:p>
          <a:pPr algn="ctr"/>
          <a:endParaRPr lang="es-ES" sz="800"/>
        </a:p>
      </dgm:t>
    </dgm:pt>
    <dgm:pt modelId="{8A8276AE-A3FE-48D4-98E1-E41CC4433191}" type="sibTrans" cxnId="{D2D86F3A-EB5B-4B12-8F1A-32941F2DD9A8}">
      <dgm:prSet/>
      <dgm:spPr/>
      <dgm:t>
        <a:bodyPr/>
        <a:lstStyle/>
        <a:p>
          <a:pPr algn="ctr"/>
          <a:endParaRPr lang="es-ES" sz="800"/>
        </a:p>
      </dgm:t>
    </dgm:pt>
    <dgm:pt modelId="{B660D986-75BB-4870-8AFA-387B2CC9FE1F}">
      <dgm:prSet phldrT="[Texto]" custT="1"/>
      <dgm:spPr/>
      <dgm:t>
        <a:bodyPr/>
        <a:lstStyle/>
        <a:p>
          <a:pPr algn="ctr"/>
          <a:r>
            <a:rPr lang="es-ES" sz="800"/>
            <a:t>Agua potable y saneamiento básico (5.4%)</a:t>
          </a:r>
        </a:p>
      </dgm:t>
    </dgm:pt>
    <dgm:pt modelId="{B2B264FD-9751-4746-A428-424A7FA3C701}" type="parTrans" cxnId="{EE596CF3-B28E-4F24-9F08-16ADC968C392}">
      <dgm:prSet custT="1"/>
      <dgm:spPr/>
      <dgm:t>
        <a:bodyPr/>
        <a:lstStyle/>
        <a:p>
          <a:pPr algn="ctr"/>
          <a:endParaRPr lang="es-ES" sz="800"/>
        </a:p>
      </dgm:t>
    </dgm:pt>
    <dgm:pt modelId="{205BF179-D2AB-4E03-AD32-73E65D3C7F39}" type="sibTrans" cxnId="{EE596CF3-B28E-4F24-9F08-16ADC968C392}">
      <dgm:prSet/>
      <dgm:spPr/>
      <dgm:t>
        <a:bodyPr/>
        <a:lstStyle/>
        <a:p>
          <a:pPr algn="ctr"/>
          <a:endParaRPr lang="es-ES" sz="800"/>
        </a:p>
      </dgm:t>
    </dgm:pt>
    <dgm:pt modelId="{A0CBC3F4-4A67-4FEC-BECF-6B9F39E9E7FF}" type="pres">
      <dgm:prSet presAssocID="{EA7D41D8-1296-46E3-9644-5E26173A087F}" presName="mainComposite" presStyleCnt="0">
        <dgm:presLayoutVars>
          <dgm:chPref val="1"/>
          <dgm:dir/>
          <dgm:animOne val="branch"/>
          <dgm:animLvl val="lvl"/>
          <dgm:resizeHandles val="exact"/>
        </dgm:presLayoutVars>
      </dgm:prSet>
      <dgm:spPr/>
    </dgm:pt>
    <dgm:pt modelId="{0C9593D4-C66E-43F2-A3F8-9D679E44A954}" type="pres">
      <dgm:prSet presAssocID="{EA7D41D8-1296-46E3-9644-5E26173A087F}" presName="hierFlow" presStyleCnt="0"/>
      <dgm:spPr/>
    </dgm:pt>
    <dgm:pt modelId="{6C3E162B-05DB-4B73-AE09-CD3F5770E6F9}" type="pres">
      <dgm:prSet presAssocID="{EA7D41D8-1296-46E3-9644-5E26173A087F}" presName="hierChild1" presStyleCnt="0">
        <dgm:presLayoutVars>
          <dgm:chPref val="1"/>
          <dgm:animOne val="branch"/>
          <dgm:animLvl val="lvl"/>
        </dgm:presLayoutVars>
      </dgm:prSet>
      <dgm:spPr/>
    </dgm:pt>
    <dgm:pt modelId="{93512AB4-70CF-474E-9AE7-AD64E35730A0}" type="pres">
      <dgm:prSet presAssocID="{907908BC-948C-4CA8-81BD-E89288BA644C}" presName="Name17" presStyleCnt="0"/>
      <dgm:spPr/>
    </dgm:pt>
    <dgm:pt modelId="{0D93806D-2CE6-464B-B48C-AA3155EA79A4}" type="pres">
      <dgm:prSet presAssocID="{907908BC-948C-4CA8-81BD-E89288BA644C}" presName="level1Shape" presStyleLbl="node0" presStyleIdx="0" presStyleCnt="1">
        <dgm:presLayoutVars>
          <dgm:chPref val="3"/>
        </dgm:presLayoutVars>
      </dgm:prSet>
      <dgm:spPr/>
    </dgm:pt>
    <dgm:pt modelId="{0E9ED063-0ED1-49A0-A06D-D906D6A81BF3}" type="pres">
      <dgm:prSet presAssocID="{907908BC-948C-4CA8-81BD-E89288BA644C}" presName="hierChild2" presStyleCnt="0"/>
      <dgm:spPr/>
    </dgm:pt>
    <dgm:pt modelId="{15444473-6DF0-43B3-B67B-E28BE1D863DA}" type="pres">
      <dgm:prSet presAssocID="{B8F8AE1B-8168-4F72-B5EC-1329A329F100}" presName="Name25" presStyleLbl="parChTrans1D2" presStyleIdx="0" presStyleCnt="2"/>
      <dgm:spPr/>
    </dgm:pt>
    <dgm:pt modelId="{EC9CD1CE-1367-4982-92E1-922B5B5A69E6}" type="pres">
      <dgm:prSet presAssocID="{B8F8AE1B-8168-4F72-B5EC-1329A329F100}" presName="connTx" presStyleLbl="parChTrans1D2" presStyleIdx="0" presStyleCnt="2"/>
      <dgm:spPr/>
    </dgm:pt>
    <dgm:pt modelId="{735871B4-ADB9-4712-A1E8-4EB75F469CE0}" type="pres">
      <dgm:prSet presAssocID="{0EB3E79A-7347-4336-96EB-74CBB1BBAFDD}" presName="Name30" presStyleCnt="0"/>
      <dgm:spPr/>
    </dgm:pt>
    <dgm:pt modelId="{0E139D87-DB86-4BE7-9EE5-998FD4E78404}" type="pres">
      <dgm:prSet presAssocID="{0EB3E79A-7347-4336-96EB-74CBB1BBAFDD}" presName="level2Shape" presStyleLbl="node2" presStyleIdx="0" presStyleCnt="2"/>
      <dgm:spPr/>
    </dgm:pt>
    <dgm:pt modelId="{DCABEEDD-1462-4028-A61B-0D9E74539BFC}" type="pres">
      <dgm:prSet presAssocID="{0EB3E79A-7347-4336-96EB-74CBB1BBAFDD}" presName="hierChild3" presStyleCnt="0"/>
      <dgm:spPr/>
    </dgm:pt>
    <dgm:pt modelId="{FC9B8767-DC47-4AFC-843B-D66214FDD42E}" type="pres">
      <dgm:prSet presAssocID="{374FA40F-266A-402E-9080-F133F1E68A9E}" presName="Name25" presStyleLbl="parChTrans1D3" presStyleIdx="0" presStyleCnt="8"/>
      <dgm:spPr/>
    </dgm:pt>
    <dgm:pt modelId="{4B725A96-45F6-4DBE-913A-295FF6A76887}" type="pres">
      <dgm:prSet presAssocID="{374FA40F-266A-402E-9080-F133F1E68A9E}" presName="connTx" presStyleLbl="parChTrans1D3" presStyleIdx="0" presStyleCnt="8"/>
      <dgm:spPr/>
    </dgm:pt>
    <dgm:pt modelId="{E5380B1A-049F-4BF4-80FE-466FF828835E}" type="pres">
      <dgm:prSet presAssocID="{1DF380C0-6B94-418F-BE4A-33498DA79382}" presName="Name30" presStyleCnt="0"/>
      <dgm:spPr/>
    </dgm:pt>
    <dgm:pt modelId="{D6048F88-636D-48E4-A066-ACFDF202278B}" type="pres">
      <dgm:prSet presAssocID="{1DF380C0-6B94-418F-BE4A-33498DA79382}" presName="level2Shape" presStyleLbl="node3" presStyleIdx="0" presStyleCnt="8"/>
      <dgm:spPr/>
    </dgm:pt>
    <dgm:pt modelId="{E8C4102A-E73A-4DFE-A939-655C6E71574D}" type="pres">
      <dgm:prSet presAssocID="{1DF380C0-6B94-418F-BE4A-33498DA79382}" presName="hierChild3" presStyleCnt="0"/>
      <dgm:spPr/>
    </dgm:pt>
    <dgm:pt modelId="{EC5E7173-BE77-4742-9CE5-FE0300EABD60}" type="pres">
      <dgm:prSet presAssocID="{A70E6341-1270-4B1A-A418-DC5CF52139DB}" presName="Name25" presStyleLbl="parChTrans1D3" presStyleIdx="1" presStyleCnt="8"/>
      <dgm:spPr/>
    </dgm:pt>
    <dgm:pt modelId="{E979D49E-8AF8-4DA5-AC00-77FA24259601}" type="pres">
      <dgm:prSet presAssocID="{A70E6341-1270-4B1A-A418-DC5CF52139DB}" presName="connTx" presStyleLbl="parChTrans1D3" presStyleIdx="1" presStyleCnt="8"/>
      <dgm:spPr/>
    </dgm:pt>
    <dgm:pt modelId="{A92788E1-EB74-410A-B500-F8ECA0C21E05}" type="pres">
      <dgm:prSet presAssocID="{7138501E-4CA4-4348-A38F-9D187849D929}" presName="Name30" presStyleCnt="0"/>
      <dgm:spPr/>
    </dgm:pt>
    <dgm:pt modelId="{B889F3DF-3E8F-4AB0-9DD8-71CE9741B256}" type="pres">
      <dgm:prSet presAssocID="{7138501E-4CA4-4348-A38F-9D187849D929}" presName="level2Shape" presStyleLbl="node3" presStyleIdx="1" presStyleCnt="8"/>
      <dgm:spPr/>
    </dgm:pt>
    <dgm:pt modelId="{5EDFF5DE-A136-436F-BC78-6B0C841646EE}" type="pres">
      <dgm:prSet presAssocID="{7138501E-4CA4-4348-A38F-9D187849D929}" presName="hierChild3" presStyleCnt="0"/>
      <dgm:spPr/>
    </dgm:pt>
    <dgm:pt modelId="{1551FA3C-F193-4B7B-81AD-D157463AF687}" type="pres">
      <dgm:prSet presAssocID="{E0AABC69-78D0-4247-9A90-3DA6352CF6F2}" presName="Name25" presStyleLbl="parChTrans1D3" presStyleIdx="2" presStyleCnt="8"/>
      <dgm:spPr/>
    </dgm:pt>
    <dgm:pt modelId="{C9D3CD10-22C8-45E0-BCCF-7A8DCF0314F5}" type="pres">
      <dgm:prSet presAssocID="{E0AABC69-78D0-4247-9A90-3DA6352CF6F2}" presName="connTx" presStyleLbl="parChTrans1D3" presStyleIdx="2" presStyleCnt="8"/>
      <dgm:spPr/>
    </dgm:pt>
    <dgm:pt modelId="{7ECC688C-E0B6-4E57-863A-85BED34BF4DF}" type="pres">
      <dgm:prSet presAssocID="{DF661A00-E707-4E11-B494-E5B3EC86CFE6}" presName="Name30" presStyleCnt="0"/>
      <dgm:spPr/>
    </dgm:pt>
    <dgm:pt modelId="{6B87FB2D-6D50-4D2D-8CA9-557E7A406F9D}" type="pres">
      <dgm:prSet presAssocID="{DF661A00-E707-4E11-B494-E5B3EC86CFE6}" presName="level2Shape" presStyleLbl="node3" presStyleIdx="2" presStyleCnt="8"/>
      <dgm:spPr/>
    </dgm:pt>
    <dgm:pt modelId="{961EE18F-DA42-4235-A309-CC89D883BE97}" type="pres">
      <dgm:prSet presAssocID="{DF661A00-E707-4E11-B494-E5B3EC86CFE6}" presName="hierChild3" presStyleCnt="0"/>
      <dgm:spPr/>
    </dgm:pt>
    <dgm:pt modelId="{F3E268D7-889F-48B8-B98E-B434633375EB}" type="pres">
      <dgm:prSet presAssocID="{C1780CEE-76C8-4E2B-A067-8B6EED89AACC}" presName="Name25" presStyleLbl="parChTrans1D3" presStyleIdx="3" presStyleCnt="8"/>
      <dgm:spPr/>
    </dgm:pt>
    <dgm:pt modelId="{D53C3843-B3A3-42D5-A78C-76E6508492F3}" type="pres">
      <dgm:prSet presAssocID="{C1780CEE-76C8-4E2B-A067-8B6EED89AACC}" presName="connTx" presStyleLbl="parChTrans1D3" presStyleIdx="3" presStyleCnt="8"/>
      <dgm:spPr/>
    </dgm:pt>
    <dgm:pt modelId="{68A8FBA1-82E1-40A4-B607-CD255C72C4B6}" type="pres">
      <dgm:prSet presAssocID="{1F3E4CF4-AE91-4057-8D84-82F57793B85D}" presName="Name30" presStyleCnt="0"/>
      <dgm:spPr/>
    </dgm:pt>
    <dgm:pt modelId="{6335613C-6B30-4AAC-82CB-A3E9820B0F74}" type="pres">
      <dgm:prSet presAssocID="{1F3E4CF4-AE91-4057-8D84-82F57793B85D}" presName="level2Shape" presStyleLbl="node3" presStyleIdx="3" presStyleCnt="8"/>
      <dgm:spPr/>
    </dgm:pt>
    <dgm:pt modelId="{2F7AEB66-E17F-4492-A896-AF467FF78C2D}" type="pres">
      <dgm:prSet presAssocID="{1F3E4CF4-AE91-4057-8D84-82F57793B85D}" presName="hierChild3" presStyleCnt="0"/>
      <dgm:spPr/>
    </dgm:pt>
    <dgm:pt modelId="{4C3BD987-B823-479A-B995-B5766F300AFD}" type="pres">
      <dgm:prSet presAssocID="{997EFC56-B37F-4B4C-92E6-29C473919DBD}" presName="Name25" presStyleLbl="parChTrans1D2" presStyleIdx="1" presStyleCnt="2"/>
      <dgm:spPr/>
    </dgm:pt>
    <dgm:pt modelId="{E39E724E-195A-4D23-AA83-07757AA0A679}" type="pres">
      <dgm:prSet presAssocID="{997EFC56-B37F-4B4C-92E6-29C473919DBD}" presName="connTx" presStyleLbl="parChTrans1D2" presStyleIdx="1" presStyleCnt="2"/>
      <dgm:spPr/>
    </dgm:pt>
    <dgm:pt modelId="{0EABC157-1782-4FB9-B34C-A131B5331F81}" type="pres">
      <dgm:prSet presAssocID="{CAFA23C7-AAD3-49BD-A99C-CC8C32A76CB2}" presName="Name30" presStyleCnt="0"/>
      <dgm:spPr/>
    </dgm:pt>
    <dgm:pt modelId="{D6CDE99F-6B36-4791-8CE8-3FBDBD941C57}" type="pres">
      <dgm:prSet presAssocID="{CAFA23C7-AAD3-49BD-A99C-CC8C32A76CB2}" presName="level2Shape" presStyleLbl="node2" presStyleIdx="1" presStyleCnt="2"/>
      <dgm:spPr/>
    </dgm:pt>
    <dgm:pt modelId="{261C8783-3682-4B48-8984-D68BECEB87E5}" type="pres">
      <dgm:prSet presAssocID="{CAFA23C7-AAD3-49BD-A99C-CC8C32A76CB2}" presName="hierChild3" presStyleCnt="0"/>
      <dgm:spPr/>
    </dgm:pt>
    <dgm:pt modelId="{3FDA0D12-2FA4-4795-8E30-85AC3AC5FB38}" type="pres">
      <dgm:prSet presAssocID="{555C9BCC-292C-49F1-A812-2003009C7589}" presName="Name25" presStyleLbl="parChTrans1D3" presStyleIdx="4" presStyleCnt="8"/>
      <dgm:spPr/>
    </dgm:pt>
    <dgm:pt modelId="{2F9EA696-D436-4BA3-A8AE-CD7420222529}" type="pres">
      <dgm:prSet presAssocID="{555C9BCC-292C-49F1-A812-2003009C7589}" presName="connTx" presStyleLbl="parChTrans1D3" presStyleIdx="4" presStyleCnt="8"/>
      <dgm:spPr/>
    </dgm:pt>
    <dgm:pt modelId="{4E71327C-02F2-480A-A73C-67DC55EF1B26}" type="pres">
      <dgm:prSet presAssocID="{AF3193AD-D53C-4EED-9174-4AC08162D587}" presName="Name30" presStyleCnt="0"/>
      <dgm:spPr/>
    </dgm:pt>
    <dgm:pt modelId="{3BDD8453-2125-4226-9B8F-350A4C38262C}" type="pres">
      <dgm:prSet presAssocID="{AF3193AD-D53C-4EED-9174-4AC08162D587}" presName="level2Shape" presStyleLbl="node3" presStyleIdx="4" presStyleCnt="8"/>
      <dgm:spPr/>
    </dgm:pt>
    <dgm:pt modelId="{5C84EC3F-4CB8-4898-8EC3-7431A743403E}" type="pres">
      <dgm:prSet presAssocID="{AF3193AD-D53C-4EED-9174-4AC08162D587}" presName="hierChild3" presStyleCnt="0"/>
      <dgm:spPr/>
    </dgm:pt>
    <dgm:pt modelId="{B0FEC066-4989-4093-B35E-A6DD99E39780}" type="pres">
      <dgm:prSet presAssocID="{3CE80B8F-1398-4A10-A5D3-9B9A60EE9A63}" presName="Name25" presStyleLbl="parChTrans1D3" presStyleIdx="5" presStyleCnt="8"/>
      <dgm:spPr/>
    </dgm:pt>
    <dgm:pt modelId="{953156B0-37CD-4329-9B7D-0073FC34D109}" type="pres">
      <dgm:prSet presAssocID="{3CE80B8F-1398-4A10-A5D3-9B9A60EE9A63}" presName="connTx" presStyleLbl="parChTrans1D3" presStyleIdx="5" presStyleCnt="8"/>
      <dgm:spPr/>
    </dgm:pt>
    <dgm:pt modelId="{1090ECC8-364E-4AEE-A5D5-39E92999AE46}" type="pres">
      <dgm:prSet presAssocID="{D2FD01B6-393A-459F-8574-F26F56FB9607}" presName="Name30" presStyleCnt="0"/>
      <dgm:spPr/>
    </dgm:pt>
    <dgm:pt modelId="{1F0CCACF-7E06-47DB-97D3-F3CBA7D22089}" type="pres">
      <dgm:prSet presAssocID="{D2FD01B6-393A-459F-8574-F26F56FB9607}" presName="level2Shape" presStyleLbl="node3" presStyleIdx="5" presStyleCnt="8"/>
      <dgm:spPr/>
    </dgm:pt>
    <dgm:pt modelId="{17BC3F07-DF0B-4DA6-A24B-F5CD83BB6E2E}" type="pres">
      <dgm:prSet presAssocID="{D2FD01B6-393A-459F-8574-F26F56FB9607}" presName="hierChild3" presStyleCnt="0"/>
      <dgm:spPr/>
    </dgm:pt>
    <dgm:pt modelId="{4F3DD4AD-607F-4BE2-8603-84E722834561}" type="pres">
      <dgm:prSet presAssocID="{B2B264FD-9751-4746-A428-424A7FA3C701}" presName="Name25" presStyleLbl="parChTrans1D3" presStyleIdx="6" presStyleCnt="8"/>
      <dgm:spPr/>
    </dgm:pt>
    <dgm:pt modelId="{4BF11792-0888-4E26-A35B-CD37C1C3D446}" type="pres">
      <dgm:prSet presAssocID="{B2B264FD-9751-4746-A428-424A7FA3C701}" presName="connTx" presStyleLbl="parChTrans1D3" presStyleIdx="6" presStyleCnt="8"/>
      <dgm:spPr/>
    </dgm:pt>
    <dgm:pt modelId="{735000EF-8DE4-49B5-97F1-D191E7275E40}" type="pres">
      <dgm:prSet presAssocID="{B660D986-75BB-4870-8AFA-387B2CC9FE1F}" presName="Name30" presStyleCnt="0"/>
      <dgm:spPr/>
    </dgm:pt>
    <dgm:pt modelId="{0459EA6B-FBAC-40F9-86B7-09571E85CC7C}" type="pres">
      <dgm:prSet presAssocID="{B660D986-75BB-4870-8AFA-387B2CC9FE1F}" presName="level2Shape" presStyleLbl="node3" presStyleIdx="6" presStyleCnt="8"/>
      <dgm:spPr/>
    </dgm:pt>
    <dgm:pt modelId="{71DA06C9-C190-4FC3-B787-4B23004FC7F2}" type="pres">
      <dgm:prSet presAssocID="{B660D986-75BB-4870-8AFA-387B2CC9FE1F}" presName="hierChild3" presStyleCnt="0"/>
      <dgm:spPr/>
    </dgm:pt>
    <dgm:pt modelId="{ACDC787C-E27A-44C0-87F3-59DB874A1B5D}" type="pres">
      <dgm:prSet presAssocID="{58A7D95B-55A3-40D5-ADB8-42D78BD88A90}" presName="Name25" presStyleLbl="parChTrans1D3" presStyleIdx="7" presStyleCnt="8"/>
      <dgm:spPr/>
    </dgm:pt>
    <dgm:pt modelId="{A870E32B-8174-4A00-A24B-DD869C9EDE60}" type="pres">
      <dgm:prSet presAssocID="{58A7D95B-55A3-40D5-ADB8-42D78BD88A90}" presName="connTx" presStyleLbl="parChTrans1D3" presStyleIdx="7" presStyleCnt="8"/>
      <dgm:spPr/>
    </dgm:pt>
    <dgm:pt modelId="{A215E702-00CA-49D5-952E-D4BC72362767}" type="pres">
      <dgm:prSet presAssocID="{AD730A4A-9150-4EE6-942E-11EC57503723}" presName="Name30" presStyleCnt="0"/>
      <dgm:spPr/>
    </dgm:pt>
    <dgm:pt modelId="{FFEF77A9-0492-4CF6-BE75-1B0B97705758}" type="pres">
      <dgm:prSet presAssocID="{AD730A4A-9150-4EE6-942E-11EC57503723}" presName="level2Shape" presStyleLbl="node3" presStyleIdx="7" presStyleCnt="8"/>
      <dgm:spPr/>
    </dgm:pt>
    <dgm:pt modelId="{4DFFC34B-D40F-46A3-8173-1A6D40B431E2}" type="pres">
      <dgm:prSet presAssocID="{AD730A4A-9150-4EE6-942E-11EC57503723}" presName="hierChild3" presStyleCnt="0"/>
      <dgm:spPr/>
    </dgm:pt>
    <dgm:pt modelId="{3E4F2C5C-450F-4F4E-9FE6-81018ED0EFEC}" type="pres">
      <dgm:prSet presAssocID="{EA7D41D8-1296-46E3-9644-5E26173A087F}" presName="bgShapesFlow" presStyleCnt="0"/>
      <dgm:spPr/>
    </dgm:pt>
  </dgm:ptLst>
  <dgm:cxnLst>
    <dgm:cxn modelId="{7A858501-8417-4B9C-AADF-E615E5B7DE12}" type="presOf" srcId="{907908BC-948C-4CA8-81BD-E89288BA644C}" destId="{0D93806D-2CE6-464B-B48C-AA3155EA79A4}" srcOrd="0" destOrd="0" presId="urn:microsoft.com/office/officeart/2005/8/layout/hierarchy5"/>
    <dgm:cxn modelId="{387EE74A-D069-46B2-8B14-0B895293AC4C}" type="presOf" srcId="{374FA40F-266A-402E-9080-F133F1E68A9E}" destId="{FC9B8767-DC47-4AFC-843B-D66214FDD42E}" srcOrd="0" destOrd="0" presId="urn:microsoft.com/office/officeart/2005/8/layout/hierarchy5"/>
    <dgm:cxn modelId="{A7828785-6FE9-491B-9001-0A25A5B7A028}" type="presOf" srcId="{B660D986-75BB-4870-8AFA-387B2CC9FE1F}" destId="{0459EA6B-FBAC-40F9-86B7-09571E85CC7C}" srcOrd="0" destOrd="0" presId="urn:microsoft.com/office/officeart/2005/8/layout/hierarchy5"/>
    <dgm:cxn modelId="{5D6DE419-0531-41E7-BFA4-AFEEA9F16BC3}" type="presOf" srcId="{B8F8AE1B-8168-4F72-B5EC-1329A329F100}" destId="{15444473-6DF0-43B3-B67B-E28BE1D863DA}" srcOrd="0" destOrd="0" presId="urn:microsoft.com/office/officeart/2005/8/layout/hierarchy5"/>
    <dgm:cxn modelId="{52B39E47-D5A4-4FC4-9505-4EA6211AD9CA}" type="presOf" srcId="{A70E6341-1270-4B1A-A418-DC5CF52139DB}" destId="{E979D49E-8AF8-4DA5-AC00-77FA24259601}" srcOrd="1" destOrd="0" presId="urn:microsoft.com/office/officeart/2005/8/layout/hierarchy5"/>
    <dgm:cxn modelId="{225B6A9B-3376-4465-AA1C-C4FC4F4E4D48}" srcId="{CAFA23C7-AAD3-49BD-A99C-CC8C32A76CB2}" destId="{AD730A4A-9150-4EE6-942E-11EC57503723}" srcOrd="3" destOrd="0" parTransId="{58A7D95B-55A3-40D5-ADB8-42D78BD88A90}" sibTransId="{DD1F492A-6978-457A-ADE6-C9B82A895470}"/>
    <dgm:cxn modelId="{1E790BA0-837F-4A92-AE9F-8F4F26848B52}" type="presOf" srcId="{B8F8AE1B-8168-4F72-B5EC-1329A329F100}" destId="{EC9CD1CE-1367-4982-92E1-922B5B5A69E6}" srcOrd="1" destOrd="0" presId="urn:microsoft.com/office/officeart/2005/8/layout/hierarchy5"/>
    <dgm:cxn modelId="{C75C2D61-D965-4205-8360-A13F40C1594E}" type="presOf" srcId="{EA7D41D8-1296-46E3-9644-5E26173A087F}" destId="{A0CBC3F4-4A67-4FEC-BECF-6B9F39E9E7FF}" srcOrd="0" destOrd="0" presId="urn:microsoft.com/office/officeart/2005/8/layout/hierarchy5"/>
    <dgm:cxn modelId="{116F36D4-AEDA-433E-90CE-A3B96D618E51}" srcId="{0EB3E79A-7347-4336-96EB-74CBB1BBAFDD}" destId="{1DF380C0-6B94-418F-BE4A-33498DA79382}" srcOrd="0" destOrd="0" parTransId="{374FA40F-266A-402E-9080-F133F1E68A9E}" sibTransId="{96F7AEC4-0039-4FE6-9CE7-C81DF5F63762}"/>
    <dgm:cxn modelId="{B8F9587F-6DF3-4B74-A368-9F17DBBEED0C}" type="presOf" srcId="{DF661A00-E707-4E11-B494-E5B3EC86CFE6}" destId="{6B87FB2D-6D50-4D2D-8CA9-557E7A406F9D}" srcOrd="0" destOrd="0" presId="urn:microsoft.com/office/officeart/2005/8/layout/hierarchy5"/>
    <dgm:cxn modelId="{321E889B-62E4-4A46-88CF-E6F93A03DDFD}" type="presOf" srcId="{C1780CEE-76C8-4E2B-A067-8B6EED89AACC}" destId="{F3E268D7-889F-48B8-B98E-B434633375EB}" srcOrd="0" destOrd="0" presId="urn:microsoft.com/office/officeart/2005/8/layout/hierarchy5"/>
    <dgm:cxn modelId="{071E87E0-57D7-4ADC-AFD7-B1EA9C688418}" type="presOf" srcId="{CAFA23C7-AAD3-49BD-A99C-CC8C32A76CB2}" destId="{D6CDE99F-6B36-4791-8CE8-3FBDBD941C57}" srcOrd="0" destOrd="0" presId="urn:microsoft.com/office/officeart/2005/8/layout/hierarchy5"/>
    <dgm:cxn modelId="{DD3C31F1-4477-444D-B92A-9171E16E0061}" type="presOf" srcId="{58A7D95B-55A3-40D5-ADB8-42D78BD88A90}" destId="{ACDC787C-E27A-44C0-87F3-59DB874A1B5D}" srcOrd="0" destOrd="0" presId="urn:microsoft.com/office/officeart/2005/8/layout/hierarchy5"/>
    <dgm:cxn modelId="{D2D86F3A-EB5B-4B12-8F1A-32941F2DD9A8}" srcId="{CAFA23C7-AAD3-49BD-A99C-CC8C32A76CB2}" destId="{D2FD01B6-393A-459F-8574-F26F56FB9607}" srcOrd="1" destOrd="0" parTransId="{3CE80B8F-1398-4A10-A5D3-9B9A60EE9A63}" sibTransId="{8A8276AE-A3FE-48D4-98E1-E41CC4433191}"/>
    <dgm:cxn modelId="{7952CA14-46E6-4D38-8924-B207A3810535}" type="presOf" srcId="{0EB3E79A-7347-4336-96EB-74CBB1BBAFDD}" destId="{0E139D87-DB86-4BE7-9EE5-998FD4E78404}" srcOrd="0" destOrd="0" presId="urn:microsoft.com/office/officeart/2005/8/layout/hierarchy5"/>
    <dgm:cxn modelId="{8D0A156A-9722-4F6C-A509-06EB0FA990CF}" type="presOf" srcId="{E0AABC69-78D0-4247-9A90-3DA6352CF6F2}" destId="{C9D3CD10-22C8-45E0-BCCF-7A8DCF0314F5}" srcOrd="1" destOrd="0" presId="urn:microsoft.com/office/officeart/2005/8/layout/hierarchy5"/>
    <dgm:cxn modelId="{744E5EA5-13A2-4307-8EAA-730038F92265}" srcId="{EA7D41D8-1296-46E3-9644-5E26173A087F}" destId="{907908BC-948C-4CA8-81BD-E89288BA644C}" srcOrd="0" destOrd="0" parTransId="{E99244AD-D7FB-4885-862D-B415D96501FA}" sibTransId="{854FC7D5-0FD0-471A-96DA-50618EE28E73}"/>
    <dgm:cxn modelId="{E1FBBADA-4E75-4E5C-96FE-568835B08842}" type="presOf" srcId="{3CE80B8F-1398-4A10-A5D3-9B9A60EE9A63}" destId="{953156B0-37CD-4329-9B7D-0073FC34D109}" srcOrd="1" destOrd="0" presId="urn:microsoft.com/office/officeart/2005/8/layout/hierarchy5"/>
    <dgm:cxn modelId="{AEDE88E5-9CE7-4803-8FFB-0D507ADFF17E}" type="presOf" srcId="{AF3193AD-D53C-4EED-9174-4AC08162D587}" destId="{3BDD8453-2125-4226-9B8F-350A4C38262C}" srcOrd="0" destOrd="0" presId="urn:microsoft.com/office/officeart/2005/8/layout/hierarchy5"/>
    <dgm:cxn modelId="{EA810753-F0EE-476E-95CA-7A7A2029DFB7}" type="presOf" srcId="{C1780CEE-76C8-4E2B-A067-8B6EED89AACC}" destId="{D53C3843-B3A3-42D5-A78C-76E6508492F3}" srcOrd="1" destOrd="0" presId="urn:microsoft.com/office/officeart/2005/8/layout/hierarchy5"/>
    <dgm:cxn modelId="{C981E477-F188-46C0-A95D-16813158FEF8}" type="presOf" srcId="{A70E6341-1270-4B1A-A418-DC5CF52139DB}" destId="{EC5E7173-BE77-4742-9CE5-FE0300EABD60}" srcOrd="0" destOrd="0" presId="urn:microsoft.com/office/officeart/2005/8/layout/hierarchy5"/>
    <dgm:cxn modelId="{D98A3EAB-5031-4464-ADF1-B7C021A28C38}" type="presOf" srcId="{7138501E-4CA4-4348-A38F-9D187849D929}" destId="{B889F3DF-3E8F-4AB0-9DD8-71CE9741B256}" srcOrd="0" destOrd="0" presId="urn:microsoft.com/office/officeart/2005/8/layout/hierarchy5"/>
    <dgm:cxn modelId="{38A15835-A0B0-4F30-B0DA-56FA776BDF20}" srcId="{0EB3E79A-7347-4336-96EB-74CBB1BBAFDD}" destId="{DF661A00-E707-4E11-B494-E5B3EC86CFE6}" srcOrd="2" destOrd="0" parTransId="{E0AABC69-78D0-4247-9A90-3DA6352CF6F2}" sibTransId="{1C4A85FB-0430-4D52-A9CA-4197FD6EE656}"/>
    <dgm:cxn modelId="{7A0ABBDC-0AA0-4311-95E7-5BA71BBF65E6}" type="presOf" srcId="{58A7D95B-55A3-40D5-ADB8-42D78BD88A90}" destId="{A870E32B-8174-4A00-A24B-DD869C9EDE60}" srcOrd="1" destOrd="0" presId="urn:microsoft.com/office/officeart/2005/8/layout/hierarchy5"/>
    <dgm:cxn modelId="{81868F33-BE9B-493B-A2EE-89CCAF3C3462}" type="presOf" srcId="{1F3E4CF4-AE91-4057-8D84-82F57793B85D}" destId="{6335613C-6B30-4AAC-82CB-A3E9820B0F74}" srcOrd="0" destOrd="0" presId="urn:microsoft.com/office/officeart/2005/8/layout/hierarchy5"/>
    <dgm:cxn modelId="{A7608DE5-8448-4087-8543-13B3A21C52E9}" type="presOf" srcId="{B2B264FD-9751-4746-A428-424A7FA3C701}" destId="{4F3DD4AD-607F-4BE2-8603-84E722834561}" srcOrd="0" destOrd="0" presId="urn:microsoft.com/office/officeart/2005/8/layout/hierarchy5"/>
    <dgm:cxn modelId="{EF303D08-0614-4D85-BC91-09280B0EBACA}" type="presOf" srcId="{1DF380C0-6B94-418F-BE4A-33498DA79382}" destId="{D6048F88-636D-48E4-A066-ACFDF202278B}" srcOrd="0" destOrd="0" presId="urn:microsoft.com/office/officeart/2005/8/layout/hierarchy5"/>
    <dgm:cxn modelId="{1A6E8966-F35F-479A-B655-2924F7C6A58C}" type="presOf" srcId="{AD730A4A-9150-4EE6-942E-11EC57503723}" destId="{FFEF77A9-0492-4CF6-BE75-1B0B97705758}" srcOrd="0" destOrd="0" presId="urn:microsoft.com/office/officeart/2005/8/layout/hierarchy5"/>
    <dgm:cxn modelId="{AE92BCCE-12B5-497D-BF66-E80DDBE7C008}" srcId="{907908BC-948C-4CA8-81BD-E89288BA644C}" destId="{CAFA23C7-AAD3-49BD-A99C-CC8C32A76CB2}" srcOrd="1" destOrd="0" parTransId="{997EFC56-B37F-4B4C-92E6-29C473919DBD}" sibTransId="{CBCFE994-0E2E-4656-B128-02808F33174C}"/>
    <dgm:cxn modelId="{7101D4B3-D9EA-4C58-A61D-958483D8AE44}" type="presOf" srcId="{997EFC56-B37F-4B4C-92E6-29C473919DBD}" destId="{E39E724E-195A-4D23-AA83-07757AA0A679}" srcOrd="1" destOrd="0" presId="urn:microsoft.com/office/officeart/2005/8/layout/hierarchy5"/>
    <dgm:cxn modelId="{8E4C3834-0C2E-493F-AFC7-E7400CB2BF7D}" srcId="{0EB3E79A-7347-4336-96EB-74CBB1BBAFDD}" destId="{7138501E-4CA4-4348-A38F-9D187849D929}" srcOrd="1" destOrd="0" parTransId="{A70E6341-1270-4B1A-A418-DC5CF52139DB}" sibTransId="{32B6DB26-7892-4C2B-99DF-902216D299EA}"/>
    <dgm:cxn modelId="{7C71F9A5-FCF6-41F8-A465-450F9365DFEF}" srcId="{0EB3E79A-7347-4336-96EB-74CBB1BBAFDD}" destId="{1F3E4CF4-AE91-4057-8D84-82F57793B85D}" srcOrd="3" destOrd="0" parTransId="{C1780CEE-76C8-4E2B-A067-8B6EED89AACC}" sibTransId="{757EF83A-2FC4-423D-9C0D-95C65FCA1605}"/>
    <dgm:cxn modelId="{F717D6F8-B104-42F1-A0B7-1639754C11F9}" type="presOf" srcId="{555C9BCC-292C-49F1-A812-2003009C7589}" destId="{2F9EA696-D436-4BA3-A8AE-CD7420222529}" srcOrd="1" destOrd="0" presId="urn:microsoft.com/office/officeart/2005/8/layout/hierarchy5"/>
    <dgm:cxn modelId="{41F16941-0660-4986-AF88-3F6EAEB17A91}" type="presOf" srcId="{E0AABC69-78D0-4247-9A90-3DA6352CF6F2}" destId="{1551FA3C-F193-4B7B-81AD-D157463AF687}" srcOrd="0" destOrd="0" presId="urn:microsoft.com/office/officeart/2005/8/layout/hierarchy5"/>
    <dgm:cxn modelId="{1FB64CEC-8025-4C69-90FB-6DBEBF52AB2F}" type="presOf" srcId="{B2B264FD-9751-4746-A428-424A7FA3C701}" destId="{4BF11792-0888-4E26-A35B-CD37C1C3D446}" srcOrd="1" destOrd="0" presId="urn:microsoft.com/office/officeart/2005/8/layout/hierarchy5"/>
    <dgm:cxn modelId="{1BCACEE6-022C-47A4-A6E1-17C1479375ED}" type="presOf" srcId="{3CE80B8F-1398-4A10-A5D3-9B9A60EE9A63}" destId="{B0FEC066-4989-4093-B35E-A6DD99E39780}" srcOrd="0" destOrd="0" presId="urn:microsoft.com/office/officeart/2005/8/layout/hierarchy5"/>
    <dgm:cxn modelId="{F9846669-2E2F-4727-AEF6-28EEF5676A8D}" type="presOf" srcId="{374FA40F-266A-402E-9080-F133F1E68A9E}" destId="{4B725A96-45F6-4DBE-913A-295FF6A76887}" srcOrd="1" destOrd="0" presId="urn:microsoft.com/office/officeart/2005/8/layout/hierarchy5"/>
    <dgm:cxn modelId="{946D2BAD-61DE-44F4-BD7C-0DA53786CC09}" type="presOf" srcId="{997EFC56-B37F-4B4C-92E6-29C473919DBD}" destId="{4C3BD987-B823-479A-B995-B5766F300AFD}" srcOrd="0" destOrd="0" presId="urn:microsoft.com/office/officeart/2005/8/layout/hierarchy5"/>
    <dgm:cxn modelId="{ECBD89D2-A1A4-44F2-835E-0F7422368F1D}" srcId="{CAFA23C7-AAD3-49BD-A99C-CC8C32A76CB2}" destId="{AF3193AD-D53C-4EED-9174-4AC08162D587}" srcOrd="0" destOrd="0" parTransId="{555C9BCC-292C-49F1-A812-2003009C7589}" sibTransId="{77506C96-2EA7-44EE-AC8D-D316FEB637D4}"/>
    <dgm:cxn modelId="{754C210C-F845-43A4-B495-4172616DE656}" srcId="{907908BC-948C-4CA8-81BD-E89288BA644C}" destId="{0EB3E79A-7347-4336-96EB-74CBB1BBAFDD}" srcOrd="0" destOrd="0" parTransId="{B8F8AE1B-8168-4F72-B5EC-1329A329F100}" sibTransId="{4D97396F-E1DE-4B1B-9B91-D251DB70BF99}"/>
    <dgm:cxn modelId="{5964A350-4DA6-49C6-9A39-59431DBAAEE1}" type="presOf" srcId="{555C9BCC-292C-49F1-A812-2003009C7589}" destId="{3FDA0D12-2FA4-4795-8E30-85AC3AC5FB38}" srcOrd="0" destOrd="0" presId="urn:microsoft.com/office/officeart/2005/8/layout/hierarchy5"/>
    <dgm:cxn modelId="{EE596CF3-B28E-4F24-9F08-16ADC968C392}" srcId="{CAFA23C7-AAD3-49BD-A99C-CC8C32A76CB2}" destId="{B660D986-75BB-4870-8AFA-387B2CC9FE1F}" srcOrd="2" destOrd="0" parTransId="{B2B264FD-9751-4746-A428-424A7FA3C701}" sibTransId="{205BF179-D2AB-4E03-AD32-73E65D3C7F39}"/>
    <dgm:cxn modelId="{21776926-0420-4460-8649-658DB2911F73}" type="presOf" srcId="{D2FD01B6-393A-459F-8574-F26F56FB9607}" destId="{1F0CCACF-7E06-47DB-97D3-F3CBA7D22089}" srcOrd="0" destOrd="0" presId="urn:microsoft.com/office/officeart/2005/8/layout/hierarchy5"/>
    <dgm:cxn modelId="{A241F597-A357-4AE4-8332-63812424A512}" type="presParOf" srcId="{A0CBC3F4-4A67-4FEC-BECF-6B9F39E9E7FF}" destId="{0C9593D4-C66E-43F2-A3F8-9D679E44A954}" srcOrd="0" destOrd="0" presId="urn:microsoft.com/office/officeart/2005/8/layout/hierarchy5"/>
    <dgm:cxn modelId="{A03BE8D0-7841-4025-8B56-BC7460E68C43}" type="presParOf" srcId="{0C9593D4-C66E-43F2-A3F8-9D679E44A954}" destId="{6C3E162B-05DB-4B73-AE09-CD3F5770E6F9}" srcOrd="0" destOrd="0" presId="urn:microsoft.com/office/officeart/2005/8/layout/hierarchy5"/>
    <dgm:cxn modelId="{9C7CCF0C-F7F5-42EF-A4CF-AAD7DE5F14A6}" type="presParOf" srcId="{6C3E162B-05DB-4B73-AE09-CD3F5770E6F9}" destId="{93512AB4-70CF-474E-9AE7-AD64E35730A0}" srcOrd="0" destOrd="0" presId="urn:microsoft.com/office/officeart/2005/8/layout/hierarchy5"/>
    <dgm:cxn modelId="{DAA7B78B-9B20-4BB8-BE0C-2B3D764D9173}" type="presParOf" srcId="{93512AB4-70CF-474E-9AE7-AD64E35730A0}" destId="{0D93806D-2CE6-464B-B48C-AA3155EA79A4}" srcOrd="0" destOrd="0" presId="urn:microsoft.com/office/officeart/2005/8/layout/hierarchy5"/>
    <dgm:cxn modelId="{AEB54D57-9524-4ED1-BDF5-E74CD7014591}" type="presParOf" srcId="{93512AB4-70CF-474E-9AE7-AD64E35730A0}" destId="{0E9ED063-0ED1-49A0-A06D-D906D6A81BF3}" srcOrd="1" destOrd="0" presId="urn:microsoft.com/office/officeart/2005/8/layout/hierarchy5"/>
    <dgm:cxn modelId="{4D141D59-C367-4A9C-BF50-EC0AC7584E43}" type="presParOf" srcId="{0E9ED063-0ED1-49A0-A06D-D906D6A81BF3}" destId="{15444473-6DF0-43B3-B67B-E28BE1D863DA}" srcOrd="0" destOrd="0" presId="urn:microsoft.com/office/officeart/2005/8/layout/hierarchy5"/>
    <dgm:cxn modelId="{8192ECD4-9300-453F-9D7B-7C52CD8F2A32}" type="presParOf" srcId="{15444473-6DF0-43B3-B67B-E28BE1D863DA}" destId="{EC9CD1CE-1367-4982-92E1-922B5B5A69E6}" srcOrd="0" destOrd="0" presId="urn:microsoft.com/office/officeart/2005/8/layout/hierarchy5"/>
    <dgm:cxn modelId="{EB94E839-265E-43B5-AAAB-8D5B74AB3E03}" type="presParOf" srcId="{0E9ED063-0ED1-49A0-A06D-D906D6A81BF3}" destId="{735871B4-ADB9-4712-A1E8-4EB75F469CE0}" srcOrd="1" destOrd="0" presId="urn:microsoft.com/office/officeart/2005/8/layout/hierarchy5"/>
    <dgm:cxn modelId="{D0F7F845-808C-4B43-A649-24D1009416E2}" type="presParOf" srcId="{735871B4-ADB9-4712-A1E8-4EB75F469CE0}" destId="{0E139D87-DB86-4BE7-9EE5-998FD4E78404}" srcOrd="0" destOrd="0" presId="urn:microsoft.com/office/officeart/2005/8/layout/hierarchy5"/>
    <dgm:cxn modelId="{DB809195-AB79-4F7D-B963-154F55745A4D}" type="presParOf" srcId="{735871B4-ADB9-4712-A1E8-4EB75F469CE0}" destId="{DCABEEDD-1462-4028-A61B-0D9E74539BFC}" srcOrd="1" destOrd="0" presId="urn:microsoft.com/office/officeart/2005/8/layout/hierarchy5"/>
    <dgm:cxn modelId="{EEF33744-0B83-4DB9-9894-455B069C8100}" type="presParOf" srcId="{DCABEEDD-1462-4028-A61B-0D9E74539BFC}" destId="{FC9B8767-DC47-4AFC-843B-D66214FDD42E}" srcOrd="0" destOrd="0" presId="urn:microsoft.com/office/officeart/2005/8/layout/hierarchy5"/>
    <dgm:cxn modelId="{992AC3FC-25B0-432A-8AB1-7B3AE741C210}" type="presParOf" srcId="{FC9B8767-DC47-4AFC-843B-D66214FDD42E}" destId="{4B725A96-45F6-4DBE-913A-295FF6A76887}" srcOrd="0" destOrd="0" presId="urn:microsoft.com/office/officeart/2005/8/layout/hierarchy5"/>
    <dgm:cxn modelId="{8113D519-9992-4B24-93FC-2055361E9E3C}" type="presParOf" srcId="{DCABEEDD-1462-4028-A61B-0D9E74539BFC}" destId="{E5380B1A-049F-4BF4-80FE-466FF828835E}" srcOrd="1" destOrd="0" presId="urn:microsoft.com/office/officeart/2005/8/layout/hierarchy5"/>
    <dgm:cxn modelId="{17EDA24D-D98D-487C-8378-287D1C075614}" type="presParOf" srcId="{E5380B1A-049F-4BF4-80FE-466FF828835E}" destId="{D6048F88-636D-48E4-A066-ACFDF202278B}" srcOrd="0" destOrd="0" presId="urn:microsoft.com/office/officeart/2005/8/layout/hierarchy5"/>
    <dgm:cxn modelId="{E78168A6-7F78-456C-B66C-234422FAFD78}" type="presParOf" srcId="{E5380B1A-049F-4BF4-80FE-466FF828835E}" destId="{E8C4102A-E73A-4DFE-A939-655C6E71574D}" srcOrd="1" destOrd="0" presId="urn:microsoft.com/office/officeart/2005/8/layout/hierarchy5"/>
    <dgm:cxn modelId="{0C0470C5-30B7-4467-83E7-8526A276F817}" type="presParOf" srcId="{DCABEEDD-1462-4028-A61B-0D9E74539BFC}" destId="{EC5E7173-BE77-4742-9CE5-FE0300EABD60}" srcOrd="2" destOrd="0" presId="urn:microsoft.com/office/officeart/2005/8/layout/hierarchy5"/>
    <dgm:cxn modelId="{295F4746-A03D-44C3-A41B-397054805C8B}" type="presParOf" srcId="{EC5E7173-BE77-4742-9CE5-FE0300EABD60}" destId="{E979D49E-8AF8-4DA5-AC00-77FA24259601}" srcOrd="0" destOrd="0" presId="urn:microsoft.com/office/officeart/2005/8/layout/hierarchy5"/>
    <dgm:cxn modelId="{9D6C0E97-36AA-4315-B9BD-4D4E049F9C82}" type="presParOf" srcId="{DCABEEDD-1462-4028-A61B-0D9E74539BFC}" destId="{A92788E1-EB74-410A-B500-F8ECA0C21E05}" srcOrd="3" destOrd="0" presId="urn:microsoft.com/office/officeart/2005/8/layout/hierarchy5"/>
    <dgm:cxn modelId="{41DC1521-0D8D-4576-AB69-92BD00DF62D6}" type="presParOf" srcId="{A92788E1-EB74-410A-B500-F8ECA0C21E05}" destId="{B889F3DF-3E8F-4AB0-9DD8-71CE9741B256}" srcOrd="0" destOrd="0" presId="urn:microsoft.com/office/officeart/2005/8/layout/hierarchy5"/>
    <dgm:cxn modelId="{1CD97D2C-10F3-4DE7-8E0E-16DDE8452CE2}" type="presParOf" srcId="{A92788E1-EB74-410A-B500-F8ECA0C21E05}" destId="{5EDFF5DE-A136-436F-BC78-6B0C841646EE}" srcOrd="1" destOrd="0" presId="urn:microsoft.com/office/officeart/2005/8/layout/hierarchy5"/>
    <dgm:cxn modelId="{0F3E1BF6-6551-4361-AF33-7D54C6368EF6}" type="presParOf" srcId="{DCABEEDD-1462-4028-A61B-0D9E74539BFC}" destId="{1551FA3C-F193-4B7B-81AD-D157463AF687}" srcOrd="4" destOrd="0" presId="urn:microsoft.com/office/officeart/2005/8/layout/hierarchy5"/>
    <dgm:cxn modelId="{F6869FDF-8EF6-4003-8CF9-C4E3ECA69448}" type="presParOf" srcId="{1551FA3C-F193-4B7B-81AD-D157463AF687}" destId="{C9D3CD10-22C8-45E0-BCCF-7A8DCF0314F5}" srcOrd="0" destOrd="0" presId="urn:microsoft.com/office/officeart/2005/8/layout/hierarchy5"/>
    <dgm:cxn modelId="{75BA2D21-70BC-48B5-B054-4D6E4B75091C}" type="presParOf" srcId="{DCABEEDD-1462-4028-A61B-0D9E74539BFC}" destId="{7ECC688C-E0B6-4E57-863A-85BED34BF4DF}" srcOrd="5" destOrd="0" presId="urn:microsoft.com/office/officeart/2005/8/layout/hierarchy5"/>
    <dgm:cxn modelId="{3347ABA3-CF34-440C-802D-05CF58C24B91}" type="presParOf" srcId="{7ECC688C-E0B6-4E57-863A-85BED34BF4DF}" destId="{6B87FB2D-6D50-4D2D-8CA9-557E7A406F9D}" srcOrd="0" destOrd="0" presId="urn:microsoft.com/office/officeart/2005/8/layout/hierarchy5"/>
    <dgm:cxn modelId="{520C4E45-7230-4219-96BB-BD00BD699A43}" type="presParOf" srcId="{7ECC688C-E0B6-4E57-863A-85BED34BF4DF}" destId="{961EE18F-DA42-4235-A309-CC89D883BE97}" srcOrd="1" destOrd="0" presId="urn:microsoft.com/office/officeart/2005/8/layout/hierarchy5"/>
    <dgm:cxn modelId="{D859C77A-1C36-413A-BDCB-4F708AD2E102}" type="presParOf" srcId="{DCABEEDD-1462-4028-A61B-0D9E74539BFC}" destId="{F3E268D7-889F-48B8-B98E-B434633375EB}" srcOrd="6" destOrd="0" presId="urn:microsoft.com/office/officeart/2005/8/layout/hierarchy5"/>
    <dgm:cxn modelId="{B3AE6767-D6AF-4A5E-A7CF-F7E4D4DCA661}" type="presParOf" srcId="{F3E268D7-889F-48B8-B98E-B434633375EB}" destId="{D53C3843-B3A3-42D5-A78C-76E6508492F3}" srcOrd="0" destOrd="0" presId="urn:microsoft.com/office/officeart/2005/8/layout/hierarchy5"/>
    <dgm:cxn modelId="{B7715DE8-B01D-41A1-909A-CF26BF39B9A9}" type="presParOf" srcId="{DCABEEDD-1462-4028-A61B-0D9E74539BFC}" destId="{68A8FBA1-82E1-40A4-B607-CD255C72C4B6}" srcOrd="7" destOrd="0" presId="urn:microsoft.com/office/officeart/2005/8/layout/hierarchy5"/>
    <dgm:cxn modelId="{6D58BD23-FA4B-489F-BB7A-61727DA2D09A}" type="presParOf" srcId="{68A8FBA1-82E1-40A4-B607-CD255C72C4B6}" destId="{6335613C-6B30-4AAC-82CB-A3E9820B0F74}" srcOrd="0" destOrd="0" presId="urn:microsoft.com/office/officeart/2005/8/layout/hierarchy5"/>
    <dgm:cxn modelId="{60D0ED86-9DEC-4D2D-B838-553967EC5B57}" type="presParOf" srcId="{68A8FBA1-82E1-40A4-B607-CD255C72C4B6}" destId="{2F7AEB66-E17F-4492-A896-AF467FF78C2D}" srcOrd="1" destOrd="0" presId="urn:microsoft.com/office/officeart/2005/8/layout/hierarchy5"/>
    <dgm:cxn modelId="{9240B2E7-B90A-4236-9CE4-0E4B40F37DA4}" type="presParOf" srcId="{0E9ED063-0ED1-49A0-A06D-D906D6A81BF3}" destId="{4C3BD987-B823-479A-B995-B5766F300AFD}" srcOrd="2" destOrd="0" presId="urn:microsoft.com/office/officeart/2005/8/layout/hierarchy5"/>
    <dgm:cxn modelId="{65CCB47D-7792-4CCD-A62D-7698D8829C6F}" type="presParOf" srcId="{4C3BD987-B823-479A-B995-B5766F300AFD}" destId="{E39E724E-195A-4D23-AA83-07757AA0A679}" srcOrd="0" destOrd="0" presId="urn:microsoft.com/office/officeart/2005/8/layout/hierarchy5"/>
    <dgm:cxn modelId="{EB7A1BED-D341-4D6A-A3AA-15EA4A675112}" type="presParOf" srcId="{0E9ED063-0ED1-49A0-A06D-D906D6A81BF3}" destId="{0EABC157-1782-4FB9-B34C-A131B5331F81}" srcOrd="3" destOrd="0" presId="urn:microsoft.com/office/officeart/2005/8/layout/hierarchy5"/>
    <dgm:cxn modelId="{DA1ECB2E-ED59-4F14-94AD-29EC53E95434}" type="presParOf" srcId="{0EABC157-1782-4FB9-B34C-A131B5331F81}" destId="{D6CDE99F-6B36-4791-8CE8-3FBDBD941C57}" srcOrd="0" destOrd="0" presId="urn:microsoft.com/office/officeart/2005/8/layout/hierarchy5"/>
    <dgm:cxn modelId="{50789CE4-0A7E-4126-8B86-7716674E541F}" type="presParOf" srcId="{0EABC157-1782-4FB9-B34C-A131B5331F81}" destId="{261C8783-3682-4B48-8984-D68BECEB87E5}" srcOrd="1" destOrd="0" presId="urn:microsoft.com/office/officeart/2005/8/layout/hierarchy5"/>
    <dgm:cxn modelId="{9498FBD8-5F65-4273-8715-C4ADF06A60F5}" type="presParOf" srcId="{261C8783-3682-4B48-8984-D68BECEB87E5}" destId="{3FDA0D12-2FA4-4795-8E30-85AC3AC5FB38}" srcOrd="0" destOrd="0" presId="urn:microsoft.com/office/officeart/2005/8/layout/hierarchy5"/>
    <dgm:cxn modelId="{E9E229F8-0A63-4A58-BFBE-13AADA131412}" type="presParOf" srcId="{3FDA0D12-2FA4-4795-8E30-85AC3AC5FB38}" destId="{2F9EA696-D436-4BA3-A8AE-CD7420222529}" srcOrd="0" destOrd="0" presId="urn:microsoft.com/office/officeart/2005/8/layout/hierarchy5"/>
    <dgm:cxn modelId="{D5E0E8E9-530F-48CB-ACCB-BC0C5699B21C}" type="presParOf" srcId="{261C8783-3682-4B48-8984-D68BECEB87E5}" destId="{4E71327C-02F2-480A-A73C-67DC55EF1B26}" srcOrd="1" destOrd="0" presId="urn:microsoft.com/office/officeart/2005/8/layout/hierarchy5"/>
    <dgm:cxn modelId="{70345150-9A51-4DF8-8C19-59630F5DEAF3}" type="presParOf" srcId="{4E71327C-02F2-480A-A73C-67DC55EF1B26}" destId="{3BDD8453-2125-4226-9B8F-350A4C38262C}" srcOrd="0" destOrd="0" presId="urn:microsoft.com/office/officeart/2005/8/layout/hierarchy5"/>
    <dgm:cxn modelId="{7E9CC20E-3926-4C86-ABB8-EB66E8AACB57}" type="presParOf" srcId="{4E71327C-02F2-480A-A73C-67DC55EF1B26}" destId="{5C84EC3F-4CB8-4898-8EC3-7431A743403E}" srcOrd="1" destOrd="0" presId="urn:microsoft.com/office/officeart/2005/8/layout/hierarchy5"/>
    <dgm:cxn modelId="{9567A05D-0B54-4B38-B931-98CAEFEE019B}" type="presParOf" srcId="{261C8783-3682-4B48-8984-D68BECEB87E5}" destId="{B0FEC066-4989-4093-B35E-A6DD99E39780}" srcOrd="2" destOrd="0" presId="urn:microsoft.com/office/officeart/2005/8/layout/hierarchy5"/>
    <dgm:cxn modelId="{B7B7AD04-64D3-4295-8AB3-FB8FD65D60E2}" type="presParOf" srcId="{B0FEC066-4989-4093-B35E-A6DD99E39780}" destId="{953156B0-37CD-4329-9B7D-0073FC34D109}" srcOrd="0" destOrd="0" presId="urn:microsoft.com/office/officeart/2005/8/layout/hierarchy5"/>
    <dgm:cxn modelId="{7F83B19F-E037-4D9E-A98A-4302AD0B7301}" type="presParOf" srcId="{261C8783-3682-4B48-8984-D68BECEB87E5}" destId="{1090ECC8-364E-4AEE-A5D5-39E92999AE46}" srcOrd="3" destOrd="0" presId="urn:microsoft.com/office/officeart/2005/8/layout/hierarchy5"/>
    <dgm:cxn modelId="{66825CB9-F959-44EC-B3BB-621BFD24C085}" type="presParOf" srcId="{1090ECC8-364E-4AEE-A5D5-39E92999AE46}" destId="{1F0CCACF-7E06-47DB-97D3-F3CBA7D22089}" srcOrd="0" destOrd="0" presId="urn:microsoft.com/office/officeart/2005/8/layout/hierarchy5"/>
    <dgm:cxn modelId="{4EB1023E-B7CA-447A-987D-D3B68FA7DC02}" type="presParOf" srcId="{1090ECC8-364E-4AEE-A5D5-39E92999AE46}" destId="{17BC3F07-DF0B-4DA6-A24B-F5CD83BB6E2E}" srcOrd="1" destOrd="0" presId="urn:microsoft.com/office/officeart/2005/8/layout/hierarchy5"/>
    <dgm:cxn modelId="{A62A1AE9-489C-49F3-B68F-B2788FE454FD}" type="presParOf" srcId="{261C8783-3682-4B48-8984-D68BECEB87E5}" destId="{4F3DD4AD-607F-4BE2-8603-84E722834561}" srcOrd="4" destOrd="0" presId="urn:microsoft.com/office/officeart/2005/8/layout/hierarchy5"/>
    <dgm:cxn modelId="{597C9907-D6E0-4130-B5A7-D63F6829C342}" type="presParOf" srcId="{4F3DD4AD-607F-4BE2-8603-84E722834561}" destId="{4BF11792-0888-4E26-A35B-CD37C1C3D446}" srcOrd="0" destOrd="0" presId="urn:microsoft.com/office/officeart/2005/8/layout/hierarchy5"/>
    <dgm:cxn modelId="{A4A35775-3B8B-4B0E-A98A-9135548700BE}" type="presParOf" srcId="{261C8783-3682-4B48-8984-D68BECEB87E5}" destId="{735000EF-8DE4-49B5-97F1-D191E7275E40}" srcOrd="5" destOrd="0" presId="urn:microsoft.com/office/officeart/2005/8/layout/hierarchy5"/>
    <dgm:cxn modelId="{34C87036-C458-4D08-8B15-A1ADEA32354C}" type="presParOf" srcId="{735000EF-8DE4-49B5-97F1-D191E7275E40}" destId="{0459EA6B-FBAC-40F9-86B7-09571E85CC7C}" srcOrd="0" destOrd="0" presId="urn:microsoft.com/office/officeart/2005/8/layout/hierarchy5"/>
    <dgm:cxn modelId="{21F0D9B0-BD2E-44EE-9984-FCEAC12CDFE2}" type="presParOf" srcId="{735000EF-8DE4-49B5-97F1-D191E7275E40}" destId="{71DA06C9-C190-4FC3-B787-4B23004FC7F2}" srcOrd="1" destOrd="0" presId="urn:microsoft.com/office/officeart/2005/8/layout/hierarchy5"/>
    <dgm:cxn modelId="{76AFBB97-3470-4289-8D9F-7B7406282419}" type="presParOf" srcId="{261C8783-3682-4B48-8984-D68BECEB87E5}" destId="{ACDC787C-E27A-44C0-87F3-59DB874A1B5D}" srcOrd="6" destOrd="0" presId="urn:microsoft.com/office/officeart/2005/8/layout/hierarchy5"/>
    <dgm:cxn modelId="{531E253C-9BE0-4B56-9E6D-00A24138EE66}" type="presParOf" srcId="{ACDC787C-E27A-44C0-87F3-59DB874A1B5D}" destId="{A870E32B-8174-4A00-A24B-DD869C9EDE60}" srcOrd="0" destOrd="0" presId="urn:microsoft.com/office/officeart/2005/8/layout/hierarchy5"/>
    <dgm:cxn modelId="{C23BDDA3-5E82-4453-A88E-E0DCA34DA07D}" type="presParOf" srcId="{261C8783-3682-4B48-8984-D68BECEB87E5}" destId="{A215E702-00CA-49D5-952E-D4BC72362767}" srcOrd="7" destOrd="0" presId="urn:microsoft.com/office/officeart/2005/8/layout/hierarchy5"/>
    <dgm:cxn modelId="{2AC8F0AB-343A-4028-BE17-B554391477DC}" type="presParOf" srcId="{A215E702-00CA-49D5-952E-D4BC72362767}" destId="{FFEF77A9-0492-4CF6-BE75-1B0B97705758}" srcOrd="0" destOrd="0" presId="urn:microsoft.com/office/officeart/2005/8/layout/hierarchy5"/>
    <dgm:cxn modelId="{9832E520-FC0C-4AE6-A996-7B911295A00A}" type="presParOf" srcId="{A215E702-00CA-49D5-952E-D4BC72362767}" destId="{4DFFC34B-D40F-46A3-8173-1A6D40B431E2}" srcOrd="1" destOrd="0" presId="urn:microsoft.com/office/officeart/2005/8/layout/hierarchy5"/>
    <dgm:cxn modelId="{B857FB3F-F920-42FB-BBAD-440599BE178C}" type="presParOf" srcId="{A0CBC3F4-4A67-4FEC-BECF-6B9F39E9E7FF}" destId="{3E4F2C5C-450F-4F4E-9FE6-81018ED0EFEC}" srcOrd="1" destOrd="0" presId="urn:microsoft.com/office/officeart/2005/8/layout/hierarchy5"/>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93806D-2CE6-464B-B48C-AA3155EA79A4}">
      <dsp:nvSpPr>
        <dsp:cNvPr id="0" name=""/>
        <dsp:cNvSpPr/>
      </dsp:nvSpPr>
      <dsp:spPr>
        <a:xfrm>
          <a:off x="0" y="1718271"/>
          <a:ext cx="853594" cy="426797"/>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s-ES" sz="900" b="1" kern="1200"/>
            <a:t>Sistema General de Participaciones</a:t>
          </a:r>
        </a:p>
      </dsp:txBody>
      <dsp:txXfrm>
        <a:off x="12500" y="1730771"/>
        <a:ext cx="828594" cy="401797"/>
      </dsp:txXfrm>
    </dsp:sp>
    <dsp:sp modelId="{15444473-6DF0-43B3-B67B-E28BE1D863DA}">
      <dsp:nvSpPr>
        <dsp:cNvPr id="0" name=""/>
        <dsp:cNvSpPr/>
      </dsp:nvSpPr>
      <dsp:spPr>
        <a:xfrm rot="17350740">
          <a:off x="504653" y="1430910"/>
          <a:ext cx="1039319" cy="19885"/>
        </a:xfrm>
        <a:custGeom>
          <a:avLst/>
          <a:gdLst/>
          <a:ahLst/>
          <a:cxnLst/>
          <a:rect l="0" t="0" r="0" b="0"/>
          <a:pathLst>
            <a:path>
              <a:moveTo>
                <a:pt x="0" y="9942"/>
              </a:moveTo>
              <a:lnTo>
                <a:pt x="1039319" y="9942"/>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es-ES" sz="800" kern="1200"/>
        </a:p>
      </dsp:txBody>
      <dsp:txXfrm>
        <a:off x="998330" y="1414870"/>
        <a:ext cx="51965" cy="51965"/>
      </dsp:txXfrm>
    </dsp:sp>
    <dsp:sp modelId="{0E139D87-DB86-4BE7-9EE5-998FD4E78404}">
      <dsp:nvSpPr>
        <dsp:cNvPr id="0" name=""/>
        <dsp:cNvSpPr/>
      </dsp:nvSpPr>
      <dsp:spPr>
        <a:xfrm>
          <a:off x="1195032" y="736637"/>
          <a:ext cx="853594" cy="426797"/>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s-ES" sz="800" b="1" kern="1200"/>
            <a:t>Asignaciones Especiales</a:t>
          </a:r>
        </a:p>
        <a:p>
          <a:pPr marL="0" lvl="0" indent="0" algn="ctr" defTabSz="355600">
            <a:lnSpc>
              <a:spcPct val="90000"/>
            </a:lnSpc>
            <a:spcBef>
              <a:spcPct val="0"/>
            </a:spcBef>
            <a:spcAft>
              <a:spcPct val="35000"/>
            </a:spcAft>
            <a:buNone/>
          </a:pPr>
          <a:r>
            <a:rPr lang="es-ES" sz="800" b="1" kern="1200"/>
            <a:t>(4%)</a:t>
          </a:r>
        </a:p>
      </dsp:txBody>
      <dsp:txXfrm>
        <a:off x="1207532" y="749137"/>
        <a:ext cx="828594" cy="401797"/>
      </dsp:txXfrm>
    </dsp:sp>
    <dsp:sp modelId="{FC9B8767-DC47-4AFC-843B-D66214FDD42E}">
      <dsp:nvSpPr>
        <dsp:cNvPr id="0" name=""/>
        <dsp:cNvSpPr/>
      </dsp:nvSpPr>
      <dsp:spPr>
        <a:xfrm rot="17692822">
          <a:off x="1813572" y="571981"/>
          <a:ext cx="811546" cy="19885"/>
        </a:xfrm>
        <a:custGeom>
          <a:avLst/>
          <a:gdLst/>
          <a:ahLst/>
          <a:cxnLst/>
          <a:rect l="0" t="0" r="0" b="0"/>
          <a:pathLst>
            <a:path>
              <a:moveTo>
                <a:pt x="0" y="9942"/>
              </a:moveTo>
              <a:lnTo>
                <a:pt x="811546" y="9942"/>
              </a:lnTo>
            </a:path>
          </a:pathLst>
        </a:cu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es-ES" sz="800" kern="1200"/>
        </a:p>
      </dsp:txBody>
      <dsp:txXfrm>
        <a:off x="2199056" y="561635"/>
        <a:ext cx="40577" cy="40577"/>
      </dsp:txXfrm>
    </dsp:sp>
    <dsp:sp modelId="{D6048F88-636D-48E4-A066-ACFDF202278B}">
      <dsp:nvSpPr>
        <dsp:cNvPr id="0" name=""/>
        <dsp:cNvSpPr/>
      </dsp:nvSpPr>
      <dsp:spPr>
        <a:xfrm>
          <a:off x="2390064" y="412"/>
          <a:ext cx="853594" cy="426797"/>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s-ES" sz="800" kern="1200"/>
            <a:t>Resguardos Indígenas (0.52%)</a:t>
          </a:r>
        </a:p>
      </dsp:txBody>
      <dsp:txXfrm>
        <a:off x="2402564" y="12912"/>
        <a:ext cx="828594" cy="401797"/>
      </dsp:txXfrm>
    </dsp:sp>
    <dsp:sp modelId="{EC5E7173-BE77-4742-9CE5-FE0300EABD60}">
      <dsp:nvSpPr>
        <dsp:cNvPr id="0" name=""/>
        <dsp:cNvSpPr/>
      </dsp:nvSpPr>
      <dsp:spPr>
        <a:xfrm rot="19457599">
          <a:off x="2009104" y="817389"/>
          <a:ext cx="420481" cy="19885"/>
        </a:xfrm>
        <a:custGeom>
          <a:avLst/>
          <a:gdLst/>
          <a:ahLst/>
          <a:cxnLst/>
          <a:rect l="0" t="0" r="0" b="0"/>
          <a:pathLst>
            <a:path>
              <a:moveTo>
                <a:pt x="0" y="9942"/>
              </a:moveTo>
              <a:lnTo>
                <a:pt x="420481" y="9942"/>
              </a:lnTo>
            </a:path>
          </a:pathLst>
        </a:cu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es-ES" sz="800" kern="1200"/>
        </a:p>
      </dsp:txBody>
      <dsp:txXfrm>
        <a:off x="2208833" y="816820"/>
        <a:ext cx="21024" cy="21024"/>
      </dsp:txXfrm>
    </dsp:sp>
    <dsp:sp modelId="{B889F3DF-3E8F-4AB0-9DD8-71CE9741B256}">
      <dsp:nvSpPr>
        <dsp:cNvPr id="0" name=""/>
        <dsp:cNvSpPr/>
      </dsp:nvSpPr>
      <dsp:spPr>
        <a:xfrm>
          <a:off x="2390064" y="491229"/>
          <a:ext cx="853594" cy="426797"/>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s-ES" sz="800" kern="1200"/>
            <a:t>Territorios que limiten con Río Grande de la Magdalena (0.08%)</a:t>
          </a:r>
        </a:p>
      </dsp:txBody>
      <dsp:txXfrm>
        <a:off x="2402564" y="503729"/>
        <a:ext cx="828594" cy="401797"/>
      </dsp:txXfrm>
    </dsp:sp>
    <dsp:sp modelId="{1551FA3C-F193-4B7B-81AD-D157463AF687}">
      <dsp:nvSpPr>
        <dsp:cNvPr id="0" name=""/>
        <dsp:cNvSpPr/>
      </dsp:nvSpPr>
      <dsp:spPr>
        <a:xfrm rot="2142401">
          <a:off x="2009104" y="1062797"/>
          <a:ext cx="420481" cy="19885"/>
        </a:xfrm>
        <a:custGeom>
          <a:avLst/>
          <a:gdLst/>
          <a:ahLst/>
          <a:cxnLst/>
          <a:rect l="0" t="0" r="0" b="0"/>
          <a:pathLst>
            <a:path>
              <a:moveTo>
                <a:pt x="0" y="9942"/>
              </a:moveTo>
              <a:lnTo>
                <a:pt x="420481" y="9942"/>
              </a:lnTo>
            </a:path>
          </a:pathLst>
        </a:cu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es-ES" sz="800" kern="1200"/>
        </a:p>
      </dsp:txBody>
      <dsp:txXfrm>
        <a:off x="2208833" y="1062228"/>
        <a:ext cx="21024" cy="21024"/>
      </dsp:txXfrm>
    </dsp:sp>
    <dsp:sp modelId="{6B87FB2D-6D50-4D2D-8CA9-557E7A406F9D}">
      <dsp:nvSpPr>
        <dsp:cNvPr id="0" name=""/>
        <dsp:cNvSpPr/>
      </dsp:nvSpPr>
      <dsp:spPr>
        <a:xfrm>
          <a:off x="2390064" y="982046"/>
          <a:ext cx="853594" cy="426797"/>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s-ES" sz="800" kern="1200"/>
            <a:t>Programas de alimentación escolar (0.5%)</a:t>
          </a:r>
        </a:p>
      </dsp:txBody>
      <dsp:txXfrm>
        <a:off x="2402564" y="994546"/>
        <a:ext cx="828594" cy="401797"/>
      </dsp:txXfrm>
    </dsp:sp>
    <dsp:sp modelId="{F3E268D7-889F-48B8-B98E-B434633375EB}">
      <dsp:nvSpPr>
        <dsp:cNvPr id="0" name=""/>
        <dsp:cNvSpPr/>
      </dsp:nvSpPr>
      <dsp:spPr>
        <a:xfrm rot="3907178">
          <a:off x="1813572" y="1308206"/>
          <a:ext cx="811546" cy="19885"/>
        </a:xfrm>
        <a:custGeom>
          <a:avLst/>
          <a:gdLst/>
          <a:ahLst/>
          <a:cxnLst/>
          <a:rect l="0" t="0" r="0" b="0"/>
          <a:pathLst>
            <a:path>
              <a:moveTo>
                <a:pt x="0" y="9942"/>
              </a:moveTo>
              <a:lnTo>
                <a:pt x="811546" y="9942"/>
              </a:lnTo>
            </a:path>
          </a:pathLst>
        </a:cu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es-ES" sz="800" kern="1200"/>
        </a:p>
      </dsp:txBody>
      <dsp:txXfrm>
        <a:off x="2199056" y="1297860"/>
        <a:ext cx="40577" cy="40577"/>
      </dsp:txXfrm>
    </dsp:sp>
    <dsp:sp modelId="{6335613C-6B30-4AAC-82CB-A3E9820B0F74}">
      <dsp:nvSpPr>
        <dsp:cNvPr id="0" name=""/>
        <dsp:cNvSpPr/>
      </dsp:nvSpPr>
      <dsp:spPr>
        <a:xfrm>
          <a:off x="2390064" y="1472863"/>
          <a:ext cx="853594" cy="426797"/>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s-ES" sz="800" kern="1200"/>
            <a:t>Fondo Nacional de Pensiones de las Entidades Territoriales (2.9%)</a:t>
          </a:r>
        </a:p>
      </dsp:txBody>
      <dsp:txXfrm>
        <a:off x="2402564" y="1485363"/>
        <a:ext cx="828594" cy="401797"/>
      </dsp:txXfrm>
    </dsp:sp>
    <dsp:sp modelId="{4C3BD987-B823-479A-B995-B5766F300AFD}">
      <dsp:nvSpPr>
        <dsp:cNvPr id="0" name=""/>
        <dsp:cNvSpPr/>
      </dsp:nvSpPr>
      <dsp:spPr>
        <a:xfrm rot="4249260">
          <a:off x="504653" y="2412544"/>
          <a:ext cx="1039319" cy="19885"/>
        </a:xfrm>
        <a:custGeom>
          <a:avLst/>
          <a:gdLst/>
          <a:ahLst/>
          <a:cxnLst/>
          <a:rect l="0" t="0" r="0" b="0"/>
          <a:pathLst>
            <a:path>
              <a:moveTo>
                <a:pt x="0" y="9942"/>
              </a:moveTo>
              <a:lnTo>
                <a:pt x="1039319" y="9942"/>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es-ES" sz="800" kern="1200"/>
        </a:p>
      </dsp:txBody>
      <dsp:txXfrm>
        <a:off x="998330" y="2396503"/>
        <a:ext cx="51965" cy="51965"/>
      </dsp:txXfrm>
    </dsp:sp>
    <dsp:sp modelId="{D6CDE99F-6B36-4791-8CE8-3FBDBD941C57}">
      <dsp:nvSpPr>
        <dsp:cNvPr id="0" name=""/>
        <dsp:cNvSpPr/>
      </dsp:nvSpPr>
      <dsp:spPr>
        <a:xfrm>
          <a:off x="1195032" y="2699904"/>
          <a:ext cx="853594" cy="426797"/>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s-ES" sz="800" b="1" kern="1200"/>
            <a:t>Distribución Sectorial (96%)</a:t>
          </a:r>
        </a:p>
      </dsp:txBody>
      <dsp:txXfrm>
        <a:off x="1207532" y="2712404"/>
        <a:ext cx="828594" cy="401797"/>
      </dsp:txXfrm>
    </dsp:sp>
    <dsp:sp modelId="{3FDA0D12-2FA4-4795-8E30-85AC3AC5FB38}">
      <dsp:nvSpPr>
        <dsp:cNvPr id="0" name=""/>
        <dsp:cNvSpPr/>
      </dsp:nvSpPr>
      <dsp:spPr>
        <a:xfrm rot="17692822">
          <a:off x="1813572" y="2535248"/>
          <a:ext cx="811546" cy="19885"/>
        </a:xfrm>
        <a:custGeom>
          <a:avLst/>
          <a:gdLst/>
          <a:ahLst/>
          <a:cxnLst/>
          <a:rect l="0" t="0" r="0" b="0"/>
          <a:pathLst>
            <a:path>
              <a:moveTo>
                <a:pt x="0" y="9942"/>
              </a:moveTo>
              <a:lnTo>
                <a:pt x="811546" y="9942"/>
              </a:lnTo>
            </a:path>
          </a:pathLst>
        </a:cu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es-ES" sz="800" kern="1200"/>
        </a:p>
      </dsp:txBody>
      <dsp:txXfrm>
        <a:off x="2199056" y="2524902"/>
        <a:ext cx="40577" cy="40577"/>
      </dsp:txXfrm>
    </dsp:sp>
    <dsp:sp modelId="{3BDD8453-2125-4226-9B8F-350A4C38262C}">
      <dsp:nvSpPr>
        <dsp:cNvPr id="0" name=""/>
        <dsp:cNvSpPr/>
      </dsp:nvSpPr>
      <dsp:spPr>
        <a:xfrm>
          <a:off x="2390064" y="1963679"/>
          <a:ext cx="853594" cy="426797"/>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s-ES" sz="800" kern="1200"/>
            <a:t>Educación (58.8%)</a:t>
          </a:r>
        </a:p>
      </dsp:txBody>
      <dsp:txXfrm>
        <a:off x="2402564" y="1976179"/>
        <a:ext cx="828594" cy="401797"/>
      </dsp:txXfrm>
    </dsp:sp>
    <dsp:sp modelId="{B0FEC066-4989-4093-B35E-A6DD99E39780}">
      <dsp:nvSpPr>
        <dsp:cNvPr id="0" name=""/>
        <dsp:cNvSpPr/>
      </dsp:nvSpPr>
      <dsp:spPr>
        <a:xfrm rot="19457599">
          <a:off x="2009104" y="2780656"/>
          <a:ext cx="420481" cy="19885"/>
        </a:xfrm>
        <a:custGeom>
          <a:avLst/>
          <a:gdLst/>
          <a:ahLst/>
          <a:cxnLst/>
          <a:rect l="0" t="0" r="0" b="0"/>
          <a:pathLst>
            <a:path>
              <a:moveTo>
                <a:pt x="0" y="9942"/>
              </a:moveTo>
              <a:lnTo>
                <a:pt x="420481" y="9942"/>
              </a:lnTo>
            </a:path>
          </a:pathLst>
        </a:cu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es-ES" sz="800" kern="1200"/>
        </a:p>
      </dsp:txBody>
      <dsp:txXfrm>
        <a:off x="2208833" y="2780087"/>
        <a:ext cx="21024" cy="21024"/>
      </dsp:txXfrm>
    </dsp:sp>
    <dsp:sp modelId="{1F0CCACF-7E06-47DB-97D3-F3CBA7D22089}">
      <dsp:nvSpPr>
        <dsp:cNvPr id="0" name=""/>
        <dsp:cNvSpPr/>
      </dsp:nvSpPr>
      <dsp:spPr>
        <a:xfrm>
          <a:off x="2390064" y="2454496"/>
          <a:ext cx="853594" cy="426797"/>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s-ES" sz="800" kern="1200"/>
            <a:t>Salud (24.5%)</a:t>
          </a:r>
        </a:p>
      </dsp:txBody>
      <dsp:txXfrm>
        <a:off x="2402564" y="2466996"/>
        <a:ext cx="828594" cy="401797"/>
      </dsp:txXfrm>
    </dsp:sp>
    <dsp:sp modelId="{4F3DD4AD-607F-4BE2-8603-84E722834561}">
      <dsp:nvSpPr>
        <dsp:cNvPr id="0" name=""/>
        <dsp:cNvSpPr/>
      </dsp:nvSpPr>
      <dsp:spPr>
        <a:xfrm rot="2142401">
          <a:off x="2009104" y="3026065"/>
          <a:ext cx="420481" cy="19885"/>
        </a:xfrm>
        <a:custGeom>
          <a:avLst/>
          <a:gdLst/>
          <a:ahLst/>
          <a:cxnLst/>
          <a:rect l="0" t="0" r="0" b="0"/>
          <a:pathLst>
            <a:path>
              <a:moveTo>
                <a:pt x="0" y="9942"/>
              </a:moveTo>
              <a:lnTo>
                <a:pt x="420481" y="9942"/>
              </a:lnTo>
            </a:path>
          </a:pathLst>
        </a:cu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es-ES" sz="800" kern="1200"/>
        </a:p>
      </dsp:txBody>
      <dsp:txXfrm>
        <a:off x="2208833" y="3025495"/>
        <a:ext cx="21024" cy="21024"/>
      </dsp:txXfrm>
    </dsp:sp>
    <dsp:sp modelId="{0459EA6B-FBAC-40F9-86B7-09571E85CC7C}">
      <dsp:nvSpPr>
        <dsp:cNvPr id="0" name=""/>
        <dsp:cNvSpPr/>
      </dsp:nvSpPr>
      <dsp:spPr>
        <a:xfrm>
          <a:off x="2390064" y="2945313"/>
          <a:ext cx="853594" cy="426797"/>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s-ES" sz="800" kern="1200"/>
            <a:t>Agua potable y saneamiento básico (5.4%)</a:t>
          </a:r>
        </a:p>
      </dsp:txBody>
      <dsp:txXfrm>
        <a:off x="2402564" y="2957813"/>
        <a:ext cx="828594" cy="401797"/>
      </dsp:txXfrm>
    </dsp:sp>
    <dsp:sp modelId="{ACDC787C-E27A-44C0-87F3-59DB874A1B5D}">
      <dsp:nvSpPr>
        <dsp:cNvPr id="0" name=""/>
        <dsp:cNvSpPr/>
      </dsp:nvSpPr>
      <dsp:spPr>
        <a:xfrm rot="3907178">
          <a:off x="1813572" y="3271473"/>
          <a:ext cx="811546" cy="19885"/>
        </a:xfrm>
        <a:custGeom>
          <a:avLst/>
          <a:gdLst/>
          <a:ahLst/>
          <a:cxnLst/>
          <a:rect l="0" t="0" r="0" b="0"/>
          <a:pathLst>
            <a:path>
              <a:moveTo>
                <a:pt x="0" y="9942"/>
              </a:moveTo>
              <a:lnTo>
                <a:pt x="811546" y="9942"/>
              </a:lnTo>
            </a:path>
          </a:pathLst>
        </a:cu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es-ES" sz="800" kern="1200"/>
        </a:p>
      </dsp:txBody>
      <dsp:txXfrm>
        <a:off x="2199056" y="3261127"/>
        <a:ext cx="40577" cy="40577"/>
      </dsp:txXfrm>
    </dsp:sp>
    <dsp:sp modelId="{FFEF77A9-0492-4CF6-BE75-1B0B97705758}">
      <dsp:nvSpPr>
        <dsp:cNvPr id="0" name=""/>
        <dsp:cNvSpPr/>
      </dsp:nvSpPr>
      <dsp:spPr>
        <a:xfrm>
          <a:off x="2390064" y="3436130"/>
          <a:ext cx="853594" cy="426797"/>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s-ES" sz="800" kern="1200"/>
            <a:t>Proposito general (11.6%)</a:t>
          </a:r>
        </a:p>
      </dsp:txBody>
      <dsp:txXfrm>
        <a:off x="2402564" y="3448630"/>
        <a:ext cx="828594" cy="40179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9359</Words>
  <Characters>51475</Characters>
  <Application>Microsoft Office Word</Application>
  <DocSecurity>0</DocSecurity>
  <Lines>428</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Pablo Bustamante Caballero</dc:creator>
  <cp:lastModifiedBy>Maria Fernanda Guerra Charry</cp:lastModifiedBy>
  <cp:revision>3</cp:revision>
  <dcterms:created xsi:type="dcterms:W3CDTF">2017-07-18T18:02:00Z</dcterms:created>
  <dcterms:modified xsi:type="dcterms:W3CDTF">2017-07-18T18:03:00Z</dcterms:modified>
</cp:coreProperties>
</file>