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0021E" w14:textId="371F82A4" w:rsidR="00C34174" w:rsidRPr="003F241D" w:rsidRDefault="00C34174" w:rsidP="00A71052">
      <w:pPr>
        <w:ind w:left="708" w:hanging="708"/>
        <w:jc w:val="center"/>
        <w:rPr>
          <w:rFonts w:ascii="Arial" w:hAnsi="Arial" w:cs="Arial"/>
          <w:b/>
          <w:sz w:val="22"/>
          <w:szCs w:val="22"/>
        </w:rPr>
      </w:pPr>
      <w:r w:rsidRPr="003F241D">
        <w:rPr>
          <w:rFonts w:ascii="Arial" w:hAnsi="Arial" w:cs="Arial"/>
          <w:b/>
          <w:sz w:val="22"/>
          <w:szCs w:val="22"/>
        </w:rPr>
        <w:t>REPUBLICA DE COLOMBIA</w:t>
      </w:r>
    </w:p>
    <w:p w14:paraId="157DEA47" w14:textId="77777777" w:rsidR="00C34174" w:rsidRPr="003F241D" w:rsidRDefault="00C34174" w:rsidP="00C34174">
      <w:pPr>
        <w:jc w:val="center"/>
        <w:rPr>
          <w:rFonts w:ascii="Arial" w:hAnsi="Arial" w:cs="Arial"/>
          <w:b/>
          <w:sz w:val="22"/>
          <w:szCs w:val="22"/>
        </w:rPr>
      </w:pPr>
    </w:p>
    <w:p w14:paraId="1A91742C" w14:textId="77777777" w:rsidR="00C34174" w:rsidRPr="003F241D" w:rsidRDefault="00C34174" w:rsidP="00C34174">
      <w:pPr>
        <w:jc w:val="center"/>
        <w:rPr>
          <w:rFonts w:ascii="Arial" w:hAnsi="Arial" w:cs="Arial"/>
          <w:b/>
          <w:sz w:val="22"/>
          <w:szCs w:val="22"/>
        </w:rPr>
      </w:pPr>
      <w:r w:rsidRPr="003F241D">
        <w:rPr>
          <w:rFonts w:ascii="Arial" w:hAnsi="Arial" w:cs="Arial"/>
          <w:b/>
          <w:sz w:val="22"/>
          <w:szCs w:val="22"/>
        </w:rPr>
        <w:t>COMISIÓN NACIONAL DE CRÉDITO AGROPECUARIO</w:t>
      </w:r>
    </w:p>
    <w:p w14:paraId="59227ACF" w14:textId="77777777" w:rsidR="00C34174" w:rsidRPr="003F241D" w:rsidRDefault="00C34174" w:rsidP="00C34174">
      <w:pPr>
        <w:jc w:val="center"/>
        <w:rPr>
          <w:rFonts w:ascii="Arial" w:hAnsi="Arial" w:cs="Arial"/>
          <w:b/>
          <w:sz w:val="22"/>
          <w:szCs w:val="22"/>
        </w:rPr>
      </w:pPr>
    </w:p>
    <w:p w14:paraId="1ACE4FF3" w14:textId="0F807B33" w:rsidR="00C34174" w:rsidRPr="003F241D" w:rsidRDefault="00C34174" w:rsidP="00C34174">
      <w:pPr>
        <w:jc w:val="center"/>
        <w:rPr>
          <w:rFonts w:ascii="Arial" w:hAnsi="Arial" w:cs="Arial"/>
          <w:b/>
          <w:sz w:val="22"/>
          <w:szCs w:val="22"/>
        </w:rPr>
      </w:pPr>
      <w:r w:rsidRPr="003F241D">
        <w:rPr>
          <w:rFonts w:ascii="Arial" w:hAnsi="Arial" w:cs="Arial"/>
          <w:b/>
          <w:sz w:val="22"/>
          <w:szCs w:val="22"/>
        </w:rPr>
        <w:t xml:space="preserve">RESOLUCIÓN No. </w:t>
      </w:r>
      <w:r w:rsidR="002D173A" w:rsidRPr="002D173A">
        <w:rPr>
          <w:rFonts w:ascii="Arial" w:hAnsi="Arial" w:cs="Arial"/>
          <w:b/>
          <w:color w:val="FF0000"/>
          <w:sz w:val="22"/>
          <w:szCs w:val="22"/>
        </w:rPr>
        <w:t>X</w:t>
      </w:r>
      <w:r w:rsidRPr="003F241D">
        <w:rPr>
          <w:rFonts w:ascii="Arial" w:hAnsi="Arial" w:cs="Arial"/>
          <w:b/>
          <w:sz w:val="22"/>
          <w:szCs w:val="22"/>
        </w:rPr>
        <w:t xml:space="preserve"> DE 2019</w:t>
      </w:r>
    </w:p>
    <w:p w14:paraId="77DDD8EB" w14:textId="77777777" w:rsidR="00C34174" w:rsidRPr="003F241D" w:rsidRDefault="00C34174" w:rsidP="00C34174">
      <w:pPr>
        <w:jc w:val="center"/>
        <w:rPr>
          <w:rFonts w:ascii="Arial" w:hAnsi="Arial" w:cs="Arial"/>
          <w:b/>
          <w:sz w:val="22"/>
          <w:szCs w:val="22"/>
        </w:rPr>
      </w:pPr>
    </w:p>
    <w:p w14:paraId="14D79FB1" w14:textId="753725DC" w:rsidR="00C34174" w:rsidRPr="003F241D" w:rsidRDefault="00C34174" w:rsidP="00C34174">
      <w:pPr>
        <w:jc w:val="center"/>
        <w:rPr>
          <w:rFonts w:ascii="Arial" w:hAnsi="Arial" w:cs="Arial"/>
          <w:b/>
          <w:sz w:val="22"/>
          <w:szCs w:val="22"/>
        </w:rPr>
      </w:pPr>
      <w:r w:rsidRPr="003F241D">
        <w:rPr>
          <w:rFonts w:ascii="Arial" w:hAnsi="Arial" w:cs="Arial"/>
          <w:b/>
          <w:sz w:val="22"/>
          <w:szCs w:val="22"/>
        </w:rPr>
        <w:t>(</w:t>
      </w:r>
      <w:r w:rsidR="00322348" w:rsidRPr="00E313E4">
        <w:rPr>
          <w:rFonts w:ascii="Arial" w:hAnsi="Arial" w:cs="Arial"/>
          <w:b/>
          <w:color w:val="FF0000"/>
          <w:sz w:val="22"/>
          <w:szCs w:val="22"/>
        </w:rPr>
        <w:t xml:space="preserve">Octubre </w:t>
      </w:r>
      <w:r w:rsidRPr="00E313E4">
        <w:rPr>
          <w:rFonts w:ascii="Arial" w:hAnsi="Arial" w:cs="Arial"/>
          <w:b/>
          <w:color w:val="FF0000"/>
          <w:sz w:val="22"/>
          <w:szCs w:val="22"/>
        </w:rPr>
        <w:t xml:space="preserve"> </w:t>
      </w:r>
      <w:r w:rsidR="00F97BDA">
        <w:rPr>
          <w:rFonts w:ascii="Arial" w:hAnsi="Arial" w:cs="Arial"/>
          <w:b/>
          <w:color w:val="FF0000"/>
          <w:sz w:val="22"/>
          <w:szCs w:val="22"/>
        </w:rPr>
        <w:t>18</w:t>
      </w:r>
      <w:r w:rsidRPr="002D173A">
        <w:rPr>
          <w:rFonts w:ascii="Arial" w:hAnsi="Arial" w:cs="Arial"/>
          <w:b/>
          <w:color w:val="FF0000"/>
          <w:sz w:val="22"/>
          <w:szCs w:val="22"/>
        </w:rPr>
        <w:t>)</w:t>
      </w:r>
    </w:p>
    <w:p w14:paraId="2F160791" w14:textId="77777777" w:rsidR="00C34174" w:rsidRPr="003F241D" w:rsidRDefault="00C34174" w:rsidP="00C34174">
      <w:pPr>
        <w:jc w:val="center"/>
        <w:rPr>
          <w:rFonts w:ascii="Arial" w:hAnsi="Arial" w:cs="Arial"/>
          <w:b/>
          <w:sz w:val="22"/>
          <w:szCs w:val="22"/>
        </w:rPr>
      </w:pPr>
    </w:p>
    <w:p w14:paraId="7B2D1D57" w14:textId="77777777" w:rsidR="00C34174" w:rsidRPr="003F241D" w:rsidRDefault="00C34174" w:rsidP="00C34174">
      <w:pPr>
        <w:jc w:val="center"/>
        <w:rPr>
          <w:rFonts w:ascii="Arial" w:hAnsi="Arial" w:cs="Arial"/>
          <w:sz w:val="22"/>
          <w:szCs w:val="22"/>
        </w:rPr>
      </w:pPr>
    </w:p>
    <w:p w14:paraId="0CCB8061" w14:textId="77777777" w:rsidR="00C34174" w:rsidRPr="003F241D" w:rsidRDefault="00C34174" w:rsidP="00C34174">
      <w:pPr>
        <w:jc w:val="center"/>
        <w:rPr>
          <w:rFonts w:ascii="Arial" w:hAnsi="Arial" w:cs="Arial"/>
          <w:sz w:val="22"/>
          <w:szCs w:val="22"/>
        </w:rPr>
      </w:pPr>
      <w:r w:rsidRPr="003F241D">
        <w:rPr>
          <w:rFonts w:ascii="Arial" w:hAnsi="Arial" w:cs="Arial"/>
          <w:sz w:val="22"/>
          <w:szCs w:val="22"/>
        </w:rPr>
        <w:t xml:space="preserve">Por la cual se modifica la Resolución No. 12 de 2018 “Por la cual se establece el Plan Anual de ICR y LEC para el Año 2019 y otras disposiciones” </w:t>
      </w:r>
    </w:p>
    <w:p w14:paraId="7608C0C2" w14:textId="77777777" w:rsidR="00C34174" w:rsidRPr="003F241D" w:rsidRDefault="00C34174" w:rsidP="00C34174">
      <w:pPr>
        <w:jc w:val="both"/>
        <w:rPr>
          <w:rFonts w:ascii="Arial" w:hAnsi="Arial" w:cs="Arial"/>
          <w:sz w:val="22"/>
          <w:szCs w:val="22"/>
        </w:rPr>
      </w:pPr>
    </w:p>
    <w:p w14:paraId="48D7C32B" w14:textId="77777777" w:rsidR="00C34174" w:rsidRPr="003F241D" w:rsidRDefault="00C34174" w:rsidP="00C34174">
      <w:pPr>
        <w:jc w:val="center"/>
        <w:rPr>
          <w:rFonts w:ascii="Arial" w:hAnsi="Arial" w:cs="Arial"/>
          <w:b/>
          <w:sz w:val="22"/>
          <w:szCs w:val="22"/>
        </w:rPr>
      </w:pPr>
      <w:r w:rsidRPr="003F241D">
        <w:rPr>
          <w:rFonts w:ascii="Arial" w:hAnsi="Arial" w:cs="Arial"/>
          <w:b/>
          <w:sz w:val="22"/>
          <w:szCs w:val="22"/>
        </w:rPr>
        <w:t>LA COMISIÓN NACIONAL DE CRÉDITO AGROPECUARIO</w:t>
      </w:r>
    </w:p>
    <w:p w14:paraId="186729A8" w14:textId="77777777" w:rsidR="00C34174" w:rsidRPr="003F241D" w:rsidRDefault="00C34174" w:rsidP="00C34174">
      <w:pPr>
        <w:jc w:val="center"/>
        <w:rPr>
          <w:rFonts w:ascii="Arial" w:hAnsi="Arial" w:cs="Arial"/>
          <w:b/>
          <w:sz w:val="22"/>
          <w:szCs w:val="22"/>
        </w:rPr>
      </w:pPr>
    </w:p>
    <w:p w14:paraId="48B5CE20" w14:textId="77777777" w:rsidR="00C34174" w:rsidRPr="00AE2ABF" w:rsidRDefault="00C34174" w:rsidP="00C34174">
      <w:pPr>
        <w:jc w:val="both"/>
        <w:rPr>
          <w:rFonts w:ascii="Arial" w:hAnsi="Arial" w:cs="Arial"/>
          <w:sz w:val="22"/>
          <w:szCs w:val="22"/>
        </w:rPr>
      </w:pPr>
      <w:r w:rsidRPr="00AE2ABF">
        <w:rPr>
          <w:rFonts w:ascii="Arial" w:hAnsi="Arial" w:cs="Arial"/>
          <w:sz w:val="22"/>
          <w:szCs w:val="22"/>
        </w:rPr>
        <w:t>En ejercicio de las facultades conferidas por los artículos 218 y 220 del Estatuto Orgánico del Sistema Financiero, las Leyes 16 de 1990, 101 de 1993, 1133 de 2007, 1731 de 2014, el Decreto Ley 2371 de 2015 y los Decretos 1313 de 1990, 1071 de 2015, y</w:t>
      </w:r>
    </w:p>
    <w:p w14:paraId="01B16F08" w14:textId="77777777" w:rsidR="00C34174" w:rsidRPr="00AE2ABF" w:rsidRDefault="00C34174" w:rsidP="00C34174">
      <w:pPr>
        <w:jc w:val="both"/>
        <w:rPr>
          <w:rFonts w:ascii="Arial" w:hAnsi="Arial" w:cs="Arial"/>
          <w:sz w:val="22"/>
          <w:szCs w:val="22"/>
        </w:rPr>
      </w:pPr>
    </w:p>
    <w:p w14:paraId="0EFD2B60" w14:textId="77777777" w:rsidR="00C34174" w:rsidRPr="00AE2ABF" w:rsidRDefault="00C34174" w:rsidP="00C34174">
      <w:pPr>
        <w:jc w:val="center"/>
        <w:rPr>
          <w:rFonts w:ascii="Arial" w:hAnsi="Arial" w:cs="Arial"/>
          <w:b/>
          <w:sz w:val="22"/>
          <w:szCs w:val="22"/>
        </w:rPr>
      </w:pPr>
      <w:r w:rsidRPr="00AE2ABF">
        <w:rPr>
          <w:rFonts w:ascii="Arial" w:hAnsi="Arial" w:cs="Arial"/>
          <w:b/>
          <w:sz w:val="22"/>
          <w:szCs w:val="22"/>
        </w:rPr>
        <w:t>CONSIDERANDO</w:t>
      </w:r>
    </w:p>
    <w:p w14:paraId="2175AE76" w14:textId="77777777" w:rsidR="00C34174" w:rsidRPr="00AE2ABF" w:rsidRDefault="00C34174" w:rsidP="00C34174">
      <w:pPr>
        <w:jc w:val="both"/>
        <w:rPr>
          <w:rFonts w:ascii="Arial" w:hAnsi="Arial" w:cs="Arial"/>
          <w:b/>
          <w:sz w:val="22"/>
          <w:szCs w:val="22"/>
        </w:rPr>
      </w:pPr>
    </w:p>
    <w:p w14:paraId="3AB2B245" w14:textId="150B3526" w:rsidR="00C34174" w:rsidRPr="00AE2ABF" w:rsidRDefault="00C34174" w:rsidP="00C34174">
      <w:pPr>
        <w:jc w:val="both"/>
        <w:rPr>
          <w:rFonts w:ascii="Arial" w:hAnsi="Arial" w:cs="Arial"/>
          <w:sz w:val="22"/>
          <w:szCs w:val="22"/>
        </w:rPr>
      </w:pPr>
      <w:r w:rsidRPr="00AE2ABF">
        <w:rPr>
          <w:rFonts w:ascii="Arial" w:hAnsi="Arial" w:cs="Arial"/>
          <w:b/>
          <w:sz w:val="22"/>
          <w:szCs w:val="22"/>
        </w:rPr>
        <w:t xml:space="preserve">Primero. </w:t>
      </w:r>
      <w:r w:rsidRPr="00AE2ABF">
        <w:rPr>
          <w:rFonts w:ascii="Arial" w:hAnsi="Arial" w:cs="Arial"/>
          <w:sz w:val="22"/>
          <w:szCs w:val="22"/>
        </w:rPr>
        <w:t>Que de acuerdo con lo dispuesto en los literales b., c., f. y n. del numeral 2) del artículo 218 del Estatuto Orgánico del Sistema Financiero, la Comisión Nacional de Crédito Agropecuario - CNCA, en su condición de organismo rector del financiamiento del sector agropecuario, podrá:</w:t>
      </w:r>
    </w:p>
    <w:p w14:paraId="746DCCE4" w14:textId="77777777" w:rsidR="00C34174" w:rsidRPr="00AE2ABF" w:rsidRDefault="00C34174" w:rsidP="00C34174">
      <w:pPr>
        <w:jc w:val="both"/>
        <w:rPr>
          <w:rFonts w:ascii="Arial" w:hAnsi="Arial" w:cs="Arial"/>
          <w:sz w:val="22"/>
          <w:szCs w:val="22"/>
        </w:rPr>
      </w:pPr>
    </w:p>
    <w:p w14:paraId="335A4023"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w:t>
      </w:r>
    </w:p>
    <w:p w14:paraId="285B5B8E" w14:textId="77777777" w:rsidR="00C34174" w:rsidRPr="00AE2ABF" w:rsidRDefault="00C34174" w:rsidP="00C34174">
      <w:pPr>
        <w:jc w:val="both"/>
        <w:rPr>
          <w:rFonts w:ascii="Arial" w:hAnsi="Arial" w:cs="Arial"/>
          <w:i/>
          <w:sz w:val="22"/>
          <w:szCs w:val="22"/>
        </w:rPr>
      </w:pPr>
    </w:p>
    <w:p w14:paraId="53D40C15"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b. Establecer las actividades, los costos y los porcentajes de estos últimos que podrán ser objeto de financiación por parte de las entidades que integran el Sistema Nacional de Crédito Agropecuario.</w:t>
      </w:r>
    </w:p>
    <w:p w14:paraId="08E075FF" w14:textId="77777777" w:rsidR="00C34174" w:rsidRPr="00AE2ABF" w:rsidRDefault="00C34174" w:rsidP="00C34174">
      <w:pPr>
        <w:jc w:val="both"/>
        <w:rPr>
          <w:rFonts w:ascii="Arial" w:hAnsi="Arial" w:cs="Arial"/>
          <w:i/>
          <w:sz w:val="22"/>
          <w:szCs w:val="22"/>
        </w:rPr>
      </w:pPr>
    </w:p>
    <w:p w14:paraId="261B6E7C"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p>
    <w:p w14:paraId="056A6364" w14:textId="77777777" w:rsidR="00C34174" w:rsidRPr="00AE2ABF" w:rsidRDefault="00C34174" w:rsidP="00C34174">
      <w:pPr>
        <w:jc w:val="both"/>
        <w:rPr>
          <w:rFonts w:ascii="Arial" w:hAnsi="Arial" w:cs="Arial"/>
          <w:i/>
          <w:sz w:val="22"/>
          <w:szCs w:val="22"/>
        </w:rPr>
      </w:pPr>
    </w:p>
    <w:p w14:paraId="5D73ACB9"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w:t>
      </w:r>
    </w:p>
    <w:p w14:paraId="39B6144B" w14:textId="77777777" w:rsidR="00C34174" w:rsidRPr="00AE2ABF" w:rsidRDefault="00C34174" w:rsidP="00C34174">
      <w:pPr>
        <w:jc w:val="both"/>
        <w:rPr>
          <w:rFonts w:ascii="Arial" w:hAnsi="Arial" w:cs="Arial"/>
          <w:i/>
          <w:sz w:val="22"/>
          <w:szCs w:val="22"/>
        </w:rPr>
      </w:pPr>
    </w:p>
    <w:p w14:paraId="193547FB"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f. Fijar las tasas y márgenes de redescuento de las operaciones que apruebe Finagro.</w:t>
      </w:r>
    </w:p>
    <w:p w14:paraId="2C172DA5" w14:textId="77777777" w:rsidR="00C34174" w:rsidRPr="00AE2ABF" w:rsidRDefault="00C34174" w:rsidP="00C34174">
      <w:pPr>
        <w:jc w:val="both"/>
        <w:rPr>
          <w:rFonts w:ascii="Arial" w:hAnsi="Arial" w:cs="Arial"/>
          <w:i/>
          <w:sz w:val="22"/>
          <w:szCs w:val="22"/>
        </w:rPr>
      </w:pPr>
    </w:p>
    <w:p w14:paraId="103ED508"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 xml:space="preserve">(…)  </w:t>
      </w:r>
    </w:p>
    <w:p w14:paraId="557F4F53" w14:textId="77777777" w:rsidR="00C34174" w:rsidRPr="00AE2ABF" w:rsidRDefault="00C34174" w:rsidP="00C34174">
      <w:pPr>
        <w:jc w:val="both"/>
        <w:rPr>
          <w:rFonts w:ascii="Arial" w:hAnsi="Arial" w:cs="Arial"/>
          <w:i/>
          <w:sz w:val="22"/>
          <w:szCs w:val="22"/>
        </w:rPr>
      </w:pPr>
    </w:p>
    <w:p w14:paraId="1012FE91"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n. Establecer con base en la política trazada por el Ministerio de Agricultura y Desarrollo Rural, los términos y las condiciones financieras de las Líneas Especiales de Crédito- LEC, del Incentivo a la Capitalización Rural – ICR y de otros incentivos o subsidios del Estado que estén relacionados exclusivamente con el crédito y/o riesgo agropecuario rural.</w:t>
      </w:r>
    </w:p>
    <w:p w14:paraId="43BCCB3B" w14:textId="77777777" w:rsidR="00C34174" w:rsidRPr="00AE2ABF" w:rsidRDefault="00C34174" w:rsidP="00C34174">
      <w:pPr>
        <w:jc w:val="both"/>
        <w:rPr>
          <w:rFonts w:ascii="Arial" w:hAnsi="Arial" w:cs="Arial"/>
          <w:i/>
          <w:sz w:val="22"/>
          <w:szCs w:val="22"/>
        </w:rPr>
      </w:pPr>
    </w:p>
    <w:p w14:paraId="3CCD6602" w14:textId="77777777" w:rsidR="00C34174" w:rsidRPr="00AE2ABF" w:rsidRDefault="00C34174" w:rsidP="00C34174">
      <w:pPr>
        <w:jc w:val="both"/>
        <w:rPr>
          <w:rFonts w:ascii="Arial" w:hAnsi="Arial" w:cs="Arial"/>
          <w:i/>
          <w:sz w:val="22"/>
          <w:szCs w:val="22"/>
        </w:rPr>
      </w:pPr>
      <w:r w:rsidRPr="00AE2ABF">
        <w:rPr>
          <w:rFonts w:ascii="Arial" w:hAnsi="Arial" w:cs="Arial"/>
          <w:i/>
          <w:sz w:val="22"/>
          <w:szCs w:val="22"/>
        </w:rPr>
        <w:t>(…)”</w:t>
      </w:r>
    </w:p>
    <w:p w14:paraId="2ECF30D2" w14:textId="77777777" w:rsidR="00C34174" w:rsidRPr="00AE2ABF" w:rsidRDefault="00C34174" w:rsidP="00C34174">
      <w:pPr>
        <w:jc w:val="both"/>
        <w:rPr>
          <w:rFonts w:ascii="Arial" w:hAnsi="Arial" w:cs="Arial"/>
          <w:i/>
          <w:sz w:val="22"/>
          <w:szCs w:val="22"/>
        </w:rPr>
      </w:pPr>
    </w:p>
    <w:p w14:paraId="5D90B6D0" w14:textId="77777777" w:rsidR="00C34174" w:rsidRPr="00BA7FCB" w:rsidRDefault="00C34174" w:rsidP="00C34174">
      <w:pPr>
        <w:jc w:val="both"/>
        <w:rPr>
          <w:rFonts w:ascii="Arial" w:hAnsi="Arial" w:cs="Arial"/>
          <w:sz w:val="22"/>
          <w:szCs w:val="22"/>
        </w:rPr>
      </w:pPr>
      <w:r w:rsidRPr="00AE2ABF">
        <w:rPr>
          <w:rFonts w:ascii="Arial" w:hAnsi="Arial" w:cs="Arial"/>
          <w:b/>
          <w:sz w:val="22"/>
          <w:szCs w:val="22"/>
        </w:rPr>
        <w:t xml:space="preserve">Segundo. </w:t>
      </w:r>
      <w:r w:rsidRPr="00AE2ABF">
        <w:rPr>
          <w:rFonts w:ascii="Arial" w:hAnsi="Arial" w:cs="Arial"/>
          <w:sz w:val="22"/>
          <w:szCs w:val="22"/>
        </w:rPr>
        <w:t xml:space="preserve">Que de acuerdo con lo dispuesto en el artículo 220 del Estatuto Orgánico del Sistema Financiero, </w:t>
      </w:r>
      <w:r w:rsidRPr="00AE2ABF">
        <w:rPr>
          <w:rFonts w:ascii="Arial" w:hAnsi="Arial" w:cs="Arial"/>
          <w:i/>
          <w:sz w:val="22"/>
          <w:szCs w:val="22"/>
        </w:rPr>
        <w:t xml:space="preserve">“La Comisión Nacional de Crédito Agropecuario definirá las líneas de </w:t>
      </w:r>
      <w:r w:rsidRPr="00AE2ABF">
        <w:rPr>
          <w:rFonts w:ascii="Arial" w:hAnsi="Arial" w:cs="Arial"/>
          <w:i/>
          <w:sz w:val="22"/>
          <w:szCs w:val="22"/>
        </w:rPr>
        <w:lastRenderedPageBreak/>
        <w:t xml:space="preserve">crédito que </w:t>
      </w:r>
      <w:r w:rsidRPr="00BA7FCB">
        <w:rPr>
          <w:rFonts w:ascii="Arial" w:hAnsi="Arial" w:cs="Arial"/>
          <w:i/>
          <w:sz w:val="22"/>
          <w:szCs w:val="22"/>
        </w:rPr>
        <w:t>otorgarán las entidades que integran el Sistema Nacional de Crédito Agropecuario, y las instituciones bancarias y financieras debidamente autorizadas por la Superintendencia Bancaria, para conceder créditos con destino al sector agropecuario, afines y similares (…)”.</w:t>
      </w:r>
      <w:r w:rsidRPr="00BA7FCB">
        <w:rPr>
          <w:rFonts w:ascii="Arial" w:hAnsi="Arial" w:cs="Arial"/>
          <w:sz w:val="22"/>
          <w:szCs w:val="22"/>
        </w:rPr>
        <w:t xml:space="preserve"> </w:t>
      </w:r>
    </w:p>
    <w:p w14:paraId="13C23131" w14:textId="77777777" w:rsidR="00C34174" w:rsidRPr="00BA7FCB" w:rsidRDefault="00C34174" w:rsidP="00C34174">
      <w:pPr>
        <w:jc w:val="both"/>
        <w:rPr>
          <w:rFonts w:ascii="Arial" w:hAnsi="Arial" w:cs="Arial"/>
          <w:b/>
          <w:sz w:val="22"/>
          <w:szCs w:val="22"/>
        </w:rPr>
      </w:pPr>
    </w:p>
    <w:p w14:paraId="119B373C" w14:textId="064F6F98" w:rsidR="006A49F6" w:rsidRPr="00BA7FCB" w:rsidRDefault="02F9DB10" w:rsidP="00D33BB9">
      <w:pPr>
        <w:jc w:val="both"/>
        <w:rPr>
          <w:rFonts w:ascii="Arial" w:hAnsi="Arial" w:cs="Arial"/>
          <w:sz w:val="22"/>
          <w:szCs w:val="22"/>
        </w:rPr>
      </w:pPr>
      <w:r w:rsidRPr="00BA7FCB">
        <w:rPr>
          <w:rFonts w:ascii="Arial" w:hAnsi="Arial" w:cs="Arial"/>
          <w:b/>
          <w:bCs/>
          <w:sz w:val="22"/>
          <w:szCs w:val="22"/>
        </w:rPr>
        <w:t>Tercero.</w:t>
      </w:r>
      <w:r w:rsidRPr="00BA7FCB">
        <w:rPr>
          <w:rFonts w:ascii="Arial" w:hAnsi="Arial" w:cs="Arial"/>
          <w:sz w:val="22"/>
          <w:szCs w:val="22"/>
        </w:rPr>
        <w:t xml:space="preserve"> Que</w:t>
      </w:r>
      <w:r w:rsidR="00642EA0" w:rsidRPr="00BA7FCB">
        <w:rPr>
          <w:rFonts w:ascii="Arial" w:hAnsi="Arial" w:cs="Arial"/>
          <w:sz w:val="22"/>
          <w:szCs w:val="22"/>
        </w:rPr>
        <w:t xml:space="preserve"> </w:t>
      </w:r>
      <w:r w:rsidR="00100B68" w:rsidRPr="00BA7FCB">
        <w:rPr>
          <w:rFonts w:ascii="Arial" w:hAnsi="Arial" w:cs="Arial"/>
          <w:sz w:val="22"/>
          <w:szCs w:val="22"/>
        </w:rPr>
        <w:t>en</w:t>
      </w:r>
      <w:r w:rsidR="00642EA0" w:rsidRPr="00BA7FCB">
        <w:rPr>
          <w:rFonts w:ascii="Arial" w:hAnsi="Arial" w:cs="Arial"/>
          <w:sz w:val="22"/>
          <w:szCs w:val="22"/>
        </w:rPr>
        <w:t xml:space="preserve"> desarrollo de </w:t>
      </w:r>
      <w:r w:rsidR="00100B68" w:rsidRPr="00BA7FCB">
        <w:rPr>
          <w:rFonts w:ascii="Arial" w:hAnsi="Arial" w:cs="Arial"/>
          <w:sz w:val="22"/>
          <w:szCs w:val="22"/>
        </w:rPr>
        <w:t xml:space="preserve">la Declaración de Compromiso </w:t>
      </w:r>
      <w:r w:rsidR="00D33BB9" w:rsidRPr="00BA7FCB">
        <w:rPr>
          <w:rFonts w:ascii="Arial" w:hAnsi="Arial" w:cs="Arial"/>
          <w:sz w:val="22"/>
          <w:szCs w:val="22"/>
        </w:rPr>
        <w:t xml:space="preserve">del Gobierno Nacional, </w:t>
      </w:r>
      <w:r w:rsidR="00642EA0" w:rsidRPr="00BA7FCB">
        <w:rPr>
          <w:rFonts w:ascii="Arial" w:hAnsi="Arial" w:cs="Arial"/>
          <w:sz w:val="22"/>
          <w:szCs w:val="22"/>
        </w:rPr>
        <w:t>suscrit</w:t>
      </w:r>
      <w:r w:rsidR="00CD17B1" w:rsidRPr="00BA7FCB">
        <w:rPr>
          <w:rFonts w:ascii="Arial" w:hAnsi="Arial" w:cs="Arial"/>
          <w:sz w:val="22"/>
          <w:szCs w:val="22"/>
        </w:rPr>
        <w:t>a</w:t>
      </w:r>
      <w:r w:rsidR="00642EA0" w:rsidRPr="00BA7FCB">
        <w:rPr>
          <w:rFonts w:ascii="Arial" w:hAnsi="Arial" w:cs="Arial"/>
          <w:sz w:val="22"/>
          <w:szCs w:val="22"/>
        </w:rPr>
        <w:t xml:space="preserve"> el 6 de junio de 2017</w:t>
      </w:r>
      <w:r w:rsidR="00D33BB9" w:rsidRPr="00BA7FCB">
        <w:rPr>
          <w:rFonts w:ascii="Arial" w:hAnsi="Arial" w:cs="Arial"/>
          <w:sz w:val="22"/>
          <w:szCs w:val="22"/>
        </w:rPr>
        <w:t>,</w:t>
      </w:r>
      <w:r w:rsidR="00642EA0" w:rsidRPr="00BA7FCB">
        <w:rPr>
          <w:rFonts w:ascii="Arial" w:hAnsi="Arial" w:cs="Arial"/>
          <w:sz w:val="22"/>
          <w:szCs w:val="22"/>
        </w:rPr>
        <w:t xml:space="preserve"> </w:t>
      </w:r>
      <w:r w:rsidR="0088097D" w:rsidRPr="00BA7FCB">
        <w:rPr>
          <w:rFonts w:ascii="Arial" w:hAnsi="Arial" w:cs="Arial"/>
          <w:sz w:val="22"/>
          <w:szCs w:val="22"/>
        </w:rPr>
        <w:t>que puso fin al paro</w:t>
      </w:r>
      <w:r w:rsidR="00D53D7C" w:rsidRPr="00BA7FCB">
        <w:rPr>
          <w:rFonts w:ascii="Arial" w:hAnsi="Arial" w:cs="Arial"/>
          <w:sz w:val="22"/>
          <w:szCs w:val="22"/>
        </w:rPr>
        <w:t xml:space="preserve"> cívico </w:t>
      </w:r>
      <w:r w:rsidR="0088097D" w:rsidRPr="00BA7FCB">
        <w:rPr>
          <w:rFonts w:ascii="Arial" w:hAnsi="Arial" w:cs="Arial"/>
          <w:sz w:val="22"/>
          <w:szCs w:val="22"/>
        </w:rPr>
        <w:t xml:space="preserve">adelantado por la población en </w:t>
      </w:r>
      <w:r w:rsidR="00D33BB9" w:rsidRPr="00BA7FCB">
        <w:rPr>
          <w:rFonts w:ascii="Arial" w:hAnsi="Arial" w:cs="Arial"/>
          <w:sz w:val="22"/>
          <w:szCs w:val="22"/>
        </w:rPr>
        <w:t xml:space="preserve">Buenaventura, </w:t>
      </w:r>
      <w:r w:rsidR="001D3677" w:rsidRPr="00BA7FCB">
        <w:rPr>
          <w:rFonts w:ascii="Arial" w:hAnsi="Arial" w:cs="Arial"/>
          <w:sz w:val="22"/>
          <w:szCs w:val="22"/>
        </w:rPr>
        <w:t>y del Dec</w:t>
      </w:r>
      <w:r w:rsidR="00482469" w:rsidRPr="00BA7FCB">
        <w:rPr>
          <w:rFonts w:ascii="Arial" w:hAnsi="Arial" w:cs="Arial"/>
          <w:sz w:val="22"/>
          <w:szCs w:val="22"/>
        </w:rPr>
        <w:t>r</w:t>
      </w:r>
      <w:r w:rsidR="001D3677" w:rsidRPr="00BA7FCB">
        <w:rPr>
          <w:rFonts w:ascii="Arial" w:hAnsi="Arial" w:cs="Arial"/>
          <w:sz w:val="22"/>
          <w:szCs w:val="22"/>
        </w:rPr>
        <w:t>eto 14</w:t>
      </w:r>
      <w:r w:rsidR="00482469" w:rsidRPr="00BA7FCB">
        <w:rPr>
          <w:rFonts w:ascii="Arial" w:hAnsi="Arial" w:cs="Arial"/>
          <w:sz w:val="22"/>
          <w:szCs w:val="22"/>
        </w:rPr>
        <w:t>02 de 2017</w:t>
      </w:r>
      <w:r w:rsidR="000F2FE0" w:rsidRPr="00BA7FCB">
        <w:rPr>
          <w:rFonts w:ascii="Arial" w:hAnsi="Arial" w:cs="Arial"/>
          <w:sz w:val="22"/>
          <w:szCs w:val="22"/>
        </w:rPr>
        <w:t xml:space="preserve"> “</w:t>
      </w:r>
      <w:r w:rsidR="000F2FE0" w:rsidRPr="00BA7FCB">
        <w:rPr>
          <w:rStyle w:val="Textoennegrita"/>
          <w:rFonts w:ascii="Arial" w:hAnsi="Arial" w:cs="Arial"/>
          <w:b w:val="0"/>
          <w:i/>
          <w:iCs/>
          <w:color w:val="333333"/>
          <w:sz w:val="22"/>
          <w:szCs w:val="22"/>
          <w:shd w:val="clear" w:color="auto" w:fill="FFFFFF"/>
        </w:rPr>
        <w:t>Por el cual se crea un espacio de interlocución, participación y seguimiento al cumplimiento de los acuerdos del Gobierno Nacional con el Comité Ejecutivo del Paro Cívico que se denominará "Comisión de Seguimiento al Acuerdo del Paro Cívico de Buenaventura para vivir con dignidad y en paz en el territorio</w:t>
      </w:r>
      <w:r w:rsidR="000F2FE0" w:rsidRPr="00BA7FCB">
        <w:rPr>
          <w:rStyle w:val="Textoennegrita"/>
          <w:rFonts w:ascii="Arial" w:hAnsi="Arial" w:cs="Arial"/>
          <w:i/>
          <w:iCs/>
          <w:color w:val="333333"/>
          <w:sz w:val="22"/>
          <w:szCs w:val="22"/>
          <w:shd w:val="clear" w:color="auto" w:fill="FFFFFF"/>
        </w:rPr>
        <w:t>"</w:t>
      </w:r>
      <w:r w:rsidR="00482469" w:rsidRPr="00BA7FCB">
        <w:rPr>
          <w:rFonts w:ascii="Arial" w:hAnsi="Arial" w:cs="Arial"/>
          <w:sz w:val="22"/>
          <w:szCs w:val="22"/>
        </w:rPr>
        <w:t xml:space="preserve">, </w:t>
      </w:r>
      <w:r w:rsidR="00D33BB9" w:rsidRPr="00BA7FCB">
        <w:rPr>
          <w:rFonts w:ascii="Arial" w:hAnsi="Arial" w:cs="Arial"/>
          <w:sz w:val="22"/>
          <w:szCs w:val="22"/>
        </w:rPr>
        <w:t xml:space="preserve">se </w:t>
      </w:r>
      <w:r w:rsidR="00864A5B" w:rsidRPr="00BA7FCB">
        <w:rPr>
          <w:rFonts w:ascii="Arial" w:hAnsi="Arial" w:cs="Arial"/>
          <w:sz w:val="22"/>
          <w:szCs w:val="22"/>
        </w:rPr>
        <w:t>conform</w:t>
      </w:r>
      <w:r w:rsidR="00350BE1" w:rsidRPr="00BA7FCB">
        <w:rPr>
          <w:rFonts w:ascii="Arial" w:hAnsi="Arial" w:cs="Arial"/>
          <w:sz w:val="22"/>
          <w:szCs w:val="22"/>
        </w:rPr>
        <w:t xml:space="preserve">ó la Mesa de Productividad y Empleo </w:t>
      </w:r>
      <w:r w:rsidR="00AE2FE7" w:rsidRPr="00BA7FCB">
        <w:rPr>
          <w:rFonts w:ascii="Arial" w:hAnsi="Arial" w:cs="Arial"/>
          <w:sz w:val="22"/>
          <w:szCs w:val="22"/>
        </w:rPr>
        <w:t xml:space="preserve">como </w:t>
      </w:r>
      <w:r w:rsidR="006E0D60" w:rsidRPr="00BA7FCB">
        <w:rPr>
          <w:rFonts w:ascii="Arial" w:hAnsi="Arial" w:cs="Arial"/>
          <w:sz w:val="22"/>
          <w:szCs w:val="22"/>
        </w:rPr>
        <w:t xml:space="preserve">un </w:t>
      </w:r>
      <w:r w:rsidR="00AE2FE7" w:rsidRPr="00BA7FCB">
        <w:rPr>
          <w:rFonts w:ascii="Arial" w:hAnsi="Arial" w:cs="Arial"/>
          <w:sz w:val="22"/>
          <w:szCs w:val="22"/>
        </w:rPr>
        <w:t xml:space="preserve">mecanismo de </w:t>
      </w:r>
      <w:r w:rsidR="009071C1" w:rsidRPr="00BA7FCB">
        <w:rPr>
          <w:rFonts w:ascii="Arial" w:hAnsi="Arial" w:cs="Arial"/>
          <w:sz w:val="22"/>
          <w:szCs w:val="22"/>
        </w:rPr>
        <w:t xml:space="preserve">seguimiento </w:t>
      </w:r>
      <w:r w:rsidR="00587E63" w:rsidRPr="00BA7FCB">
        <w:rPr>
          <w:rFonts w:ascii="Arial" w:hAnsi="Arial" w:cs="Arial"/>
          <w:sz w:val="22"/>
          <w:szCs w:val="22"/>
        </w:rPr>
        <w:t xml:space="preserve">de </w:t>
      </w:r>
      <w:r w:rsidRPr="00BA7FCB">
        <w:rPr>
          <w:rFonts w:ascii="Arial" w:hAnsi="Arial" w:cs="Arial"/>
          <w:sz w:val="22"/>
          <w:szCs w:val="22"/>
        </w:rPr>
        <w:t>l</w:t>
      </w:r>
      <w:r w:rsidR="006A49F6" w:rsidRPr="00BA7FCB">
        <w:rPr>
          <w:rFonts w:ascii="Arial" w:hAnsi="Arial" w:cs="Arial"/>
          <w:sz w:val="22"/>
          <w:szCs w:val="22"/>
        </w:rPr>
        <w:t>os</w:t>
      </w:r>
      <w:r w:rsidRPr="00BA7FCB">
        <w:rPr>
          <w:rFonts w:ascii="Arial" w:hAnsi="Arial" w:cs="Arial"/>
          <w:sz w:val="22"/>
          <w:szCs w:val="22"/>
        </w:rPr>
        <w:t xml:space="preserve"> </w:t>
      </w:r>
      <w:r w:rsidR="006A49F6" w:rsidRPr="00BA7FCB">
        <w:rPr>
          <w:rFonts w:ascii="Arial" w:hAnsi="Arial" w:cs="Arial"/>
          <w:sz w:val="22"/>
          <w:szCs w:val="22"/>
        </w:rPr>
        <w:t>acuerdos adquiridos</w:t>
      </w:r>
      <w:r w:rsidR="00AE2FE7" w:rsidRPr="00BA7FCB">
        <w:rPr>
          <w:rFonts w:ascii="Arial" w:hAnsi="Arial" w:cs="Arial"/>
          <w:sz w:val="22"/>
          <w:szCs w:val="22"/>
        </w:rPr>
        <w:t>.</w:t>
      </w:r>
    </w:p>
    <w:p w14:paraId="5CDA7FA0" w14:textId="77777777" w:rsidR="00C34174" w:rsidRPr="00BA7FCB" w:rsidRDefault="00C34174" w:rsidP="00C34174">
      <w:pPr>
        <w:jc w:val="both"/>
        <w:rPr>
          <w:rFonts w:ascii="Arial" w:hAnsi="Arial" w:cs="Arial"/>
          <w:sz w:val="22"/>
          <w:szCs w:val="22"/>
        </w:rPr>
      </w:pPr>
    </w:p>
    <w:p w14:paraId="2C25DCDE" w14:textId="179583AF" w:rsidR="02F9DB10" w:rsidRPr="00BA7FCB" w:rsidRDefault="02F9DB10" w:rsidP="02F9DB10">
      <w:pPr>
        <w:jc w:val="both"/>
        <w:rPr>
          <w:rFonts w:ascii="Arial" w:hAnsi="Arial" w:cs="Arial"/>
          <w:sz w:val="22"/>
          <w:szCs w:val="22"/>
        </w:rPr>
      </w:pPr>
      <w:r w:rsidRPr="00BA7FCB">
        <w:rPr>
          <w:rFonts w:ascii="Arial" w:hAnsi="Arial" w:cs="Arial"/>
          <w:b/>
          <w:bCs/>
          <w:sz w:val="22"/>
          <w:szCs w:val="22"/>
        </w:rPr>
        <w:t>Cuarto.</w:t>
      </w:r>
      <w:r w:rsidRPr="00BA7FCB">
        <w:rPr>
          <w:rFonts w:ascii="Arial" w:hAnsi="Arial" w:cs="Arial"/>
          <w:sz w:val="22"/>
          <w:szCs w:val="22"/>
        </w:rPr>
        <w:t xml:space="preserve"> Que </w:t>
      </w:r>
      <w:r w:rsidR="003C3D61" w:rsidRPr="00BA7FCB">
        <w:rPr>
          <w:rFonts w:ascii="Arial" w:hAnsi="Arial" w:cs="Arial"/>
          <w:sz w:val="22"/>
          <w:szCs w:val="22"/>
        </w:rPr>
        <w:t xml:space="preserve">en el </w:t>
      </w:r>
      <w:r w:rsidR="002212D1" w:rsidRPr="00BA7FCB">
        <w:rPr>
          <w:rFonts w:ascii="Arial" w:hAnsi="Arial" w:cs="Arial"/>
          <w:sz w:val="22"/>
          <w:szCs w:val="22"/>
        </w:rPr>
        <w:t xml:space="preserve">relación con los </w:t>
      </w:r>
      <w:r w:rsidRPr="00BA7FCB">
        <w:rPr>
          <w:rFonts w:ascii="Arial" w:hAnsi="Arial" w:cs="Arial"/>
          <w:sz w:val="22"/>
          <w:szCs w:val="22"/>
        </w:rPr>
        <w:t xml:space="preserve">compromisos </w:t>
      </w:r>
      <w:r w:rsidR="00FA38B6" w:rsidRPr="00BA7FCB">
        <w:rPr>
          <w:rFonts w:ascii="Arial" w:hAnsi="Arial" w:cs="Arial"/>
          <w:sz w:val="22"/>
          <w:szCs w:val="22"/>
        </w:rPr>
        <w:t>adquiridos</w:t>
      </w:r>
      <w:r w:rsidR="005F0D29" w:rsidRPr="00BA7FCB">
        <w:rPr>
          <w:rFonts w:ascii="Arial" w:hAnsi="Arial" w:cs="Arial"/>
          <w:sz w:val="22"/>
          <w:szCs w:val="22"/>
        </w:rPr>
        <w:t xml:space="preserve"> </w:t>
      </w:r>
      <w:r w:rsidR="0076753A" w:rsidRPr="00BA7FCB">
        <w:rPr>
          <w:rFonts w:ascii="Arial" w:hAnsi="Arial" w:cs="Arial"/>
          <w:sz w:val="22"/>
          <w:szCs w:val="22"/>
        </w:rPr>
        <w:t>sobre temas de financiamiento, en l</w:t>
      </w:r>
      <w:r w:rsidR="00AE2FE7" w:rsidRPr="00BA7FCB">
        <w:rPr>
          <w:rFonts w:ascii="Arial" w:hAnsi="Arial" w:cs="Arial"/>
          <w:sz w:val="22"/>
          <w:szCs w:val="22"/>
        </w:rPr>
        <w:t xml:space="preserve">a </w:t>
      </w:r>
      <w:r w:rsidRPr="00BA7FCB">
        <w:rPr>
          <w:rFonts w:ascii="Arial" w:hAnsi="Arial" w:cs="Arial"/>
          <w:sz w:val="22"/>
          <w:szCs w:val="22"/>
        </w:rPr>
        <w:t>Mesa de Productividad y Empleo</w:t>
      </w:r>
      <w:r w:rsidR="00FF5C78" w:rsidRPr="00BA7FCB">
        <w:rPr>
          <w:rFonts w:ascii="Arial" w:hAnsi="Arial" w:cs="Arial"/>
          <w:sz w:val="22"/>
          <w:szCs w:val="22"/>
        </w:rPr>
        <w:t xml:space="preserve">, </w:t>
      </w:r>
      <w:r w:rsidR="00934136" w:rsidRPr="00BA7FCB">
        <w:rPr>
          <w:rFonts w:ascii="Arial" w:hAnsi="Arial" w:cs="Arial"/>
          <w:sz w:val="22"/>
          <w:szCs w:val="22"/>
        </w:rPr>
        <w:t>q</w:t>
      </w:r>
      <w:r w:rsidR="00C768A7" w:rsidRPr="00BA7FCB">
        <w:rPr>
          <w:rFonts w:ascii="Arial" w:hAnsi="Arial" w:cs="Arial"/>
          <w:sz w:val="22"/>
          <w:szCs w:val="22"/>
        </w:rPr>
        <w:t>u</w:t>
      </w:r>
      <w:r w:rsidR="00934136" w:rsidRPr="00BA7FCB">
        <w:rPr>
          <w:rFonts w:ascii="Arial" w:hAnsi="Arial" w:cs="Arial"/>
          <w:sz w:val="22"/>
          <w:szCs w:val="22"/>
        </w:rPr>
        <w:t>e contó con la participación d</w:t>
      </w:r>
      <w:r w:rsidR="00F37713" w:rsidRPr="00BA7FCB">
        <w:rPr>
          <w:rFonts w:ascii="Arial" w:hAnsi="Arial" w:cs="Arial"/>
          <w:sz w:val="22"/>
          <w:szCs w:val="22"/>
        </w:rPr>
        <w:t>el</w:t>
      </w:r>
      <w:r w:rsidR="00FF5C78" w:rsidRPr="00BA7FCB">
        <w:rPr>
          <w:rFonts w:ascii="Arial" w:hAnsi="Arial" w:cs="Arial"/>
          <w:sz w:val="22"/>
          <w:szCs w:val="22"/>
        </w:rPr>
        <w:t xml:space="preserve"> Ministerio de Agricultura</w:t>
      </w:r>
      <w:r w:rsidR="00F37713" w:rsidRPr="00BA7FCB">
        <w:rPr>
          <w:rFonts w:ascii="Arial" w:hAnsi="Arial" w:cs="Arial"/>
          <w:sz w:val="22"/>
          <w:szCs w:val="22"/>
        </w:rPr>
        <w:t xml:space="preserve"> y Desarrollo Rura</w:t>
      </w:r>
      <w:r w:rsidR="001F42E7" w:rsidRPr="00BA7FCB">
        <w:rPr>
          <w:rFonts w:ascii="Arial" w:hAnsi="Arial" w:cs="Arial"/>
          <w:sz w:val="22"/>
          <w:szCs w:val="22"/>
        </w:rPr>
        <w:t>l</w:t>
      </w:r>
      <w:r w:rsidR="00F61944" w:rsidRPr="00BA7FCB">
        <w:rPr>
          <w:rFonts w:ascii="Arial" w:hAnsi="Arial" w:cs="Arial"/>
          <w:sz w:val="22"/>
          <w:szCs w:val="22"/>
        </w:rPr>
        <w:t xml:space="preserve"> y de Finagro</w:t>
      </w:r>
      <w:r w:rsidR="00F37713" w:rsidRPr="00BA7FCB">
        <w:rPr>
          <w:rFonts w:ascii="Arial" w:hAnsi="Arial" w:cs="Arial"/>
          <w:sz w:val="22"/>
          <w:szCs w:val="22"/>
        </w:rPr>
        <w:t xml:space="preserve">, </w:t>
      </w:r>
      <w:r w:rsidR="00E37734" w:rsidRPr="00BA7FCB">
        <w:rPr>
          <w:rFonts w:ascii="Arial" w:hAnsi="Arial" w:cs="Arial"/>
          <w:sz w:val="22"/>
          <w:szCs w:val="22"/>
        </w:rPr>
        <w:t>se acordó</w:t>
      </w:r>
      <w:r w:rsidR="001F42E7" w:rsidRPr="00BA7FCB">
        <w:rPr>
          <w:rFonts w:ascii="Arial" w:hAnsi="Arial" w:cs="Arial"/>
          <w:sz w:val="22"/>
          <w:szCs w:val="22"/>
        </w:rPr>
        <w:t xml:space="preserve"> presentar </w:t>
      </w:r>
      <w:r w:rsidR="00FF5C78" w:rsidRPr="00BA7FCB">
        <w:rPr>
          <w:rFonts w:ascii="Arial" w:hAnsi="Arial" w:cs="Arial"/>
          <w:sz w:val="22"/>
          <w:szCs w:val="22"/>
        </w:rPr>
        <w:t xml:space="preserve">a la </w:t>
      </w:r>
      <w:r w:rsidRPr="00BA7FCB">
        <w:rPr>
          <w:rFonts w:ascii="Arial" w:hAnsi="Arial" w:cs="Arial"/>
          <w:sz w:val="22"/>
          <w:szCs w:val="22"/>
        </w:rPr>
        <w:t xml:space="preserve">CNCA </w:t>
      </w:r>
      <w:r w:rsidR="00F37713" w:rsidRPr="00BA7FCB">
        <w:rPr>
          <w:rFonts w:ascii="Arial" w:hAnsi="Arial" w:cs="Arial"/>
          <w:sz w:val="22"/>
          <w:szCs w:val="22"/>
        </w:rPr>
        <w:t xml:space="preserve">una solicitud para </w:t>
      </w:r>
      <w:r w:rsidRPr="00BA7FCB">
        <w:rPr>
          <w:rFonts w:ascii="Arial" w:hAnsi="Arial" w:cs="Arial"/>
          <w:sz w:val="22"/>
          <w:szCs w:val="22"/>
        </w:rPr>
        <w:t xml:space="preserve">la creación de una línea especial de crédito para comunidades </w:t>
      </w:r>
      <w:r w:rsidR="006A5A67" w:rsidRPr="00BA7FCB">
        <w:rPr>
          <w:rFonts w:ascii="Arial" w:hAnsi="Arial" w:cs="Arial"/>
          <w:sz w:val="22"/>
          <w:szCs w:val="22"/>
        </w:rPr>
        <w:t xml:space="preserve">indígenas y </w:t>
      </w:r>
      <w:r w:rsidRPr="00BA7FCB">
        <w:rPr>
          <w:rFonts w:ascii="Arial" w:hAnsi="Arial" w:cs="Arial"/>
          <w:sz w:val="22"/>
          <w:szCs w:val="22"/>
        </w:rPr>
        <w:t xml:space="preserve">negras </w:t>
      </w:r>
      <w:r w:rsidR="006A5A67" w:rsidRPr="00BA7FCB">
        <w:rPr>
          <w:rFonts w:ascii="Arial" w:hAnsi="Arial" w:cs="Arial"/>
          <w:sz w:val="22"/>
          <w:szCs w:val="22"/>
        </w:rPr>
        <w:t xml:space="preserve"> con destinación especial para Buenaventura y </w:t>
      </w:r>
      <w:r w:rsidR="006E0D60" w:rsidRPr="00BA7FCB">
        <w:rPr>
          <w:rFonts w:ascii="Arial" w:hAnsi="Arial" w:cs="Arial"/>
          <w:sz w:val="22"/>
          <w:szCs w:val="22"/>
        </w:rPr>
        <w:t>buscar</w:t>
      </w:r>
      <w:r w:rsidR="006A5A67" w:rsidRPr="00BA7FCB">
        <w:rPr>
          <w:rFonts w:ascii="Arial" w:hAnsi="Arial" w:cs="Arial"/>
          <w:sz w:val="22"/>
          <w:szCs w:val="22"/>
        </w:rPr>
        <w:t xml:space="preserve"> un </w:t>
      </w:r>
      <w:r w:rsidR="006E0D60" w:rsidRPr="00BA7FCB">
        <w:rPr>
          <w:rFonts w:ascii="Arial" w:hAnsi="Arial" w:cs="Arial"/>
          <w:sz w:val="22"/>
          <w:szCs w:val="22"/>
        </w:rPr>
        <w:t>mecanismo</w:t>
      </w:r>
      <w:r w:rsidR="006A5A67" w:rsidRPr="00BA7FCB">
        <w:rPr>
          <w:rFonts w:ascii="Arial" w:hAnsi="Arial" w:cs="Arial"/>
          <w:sz w:val="22"/>
          <w:szCs w:val="22"/>
        </w:rPr>
        <w:t xml:space="preserve"> de otorgar crédito a productores de comuni</w:t>
      </w:r>
      <w:r w:rsidR="006E0D60" w:rsidRPr="00BA7FCB">
        <w:rPr>
          <w:rFonts w:ascii="Arial" w:hAnsi="Arial" w:cs="Arial"/>
          <w:sz w:val="22"/>
          <w:szCs w:val="22"/>
        </w:rPr>
        <w:t>d</w:t>
      </w:r>
      <w:r w:rsidR="006A5A67" w:rsidRPr="00BA7FCB">
        <w:rPr>
          <w:rFonts w:ascii="Arial" w:hAnsi="Arial" w:cs="Arial"/>
          <w:sz w:val="22"/>
          <w:szCs w:val="22"/>
        </w:rPr>
        <w:t xml:space="preserve">ades </w:t>
      </w:r>
      <w:r w:rsidR="006E0D60" w:rsidRPr="00BA7FCB">
        <w:rPr>
          <w:rFonts w:ascii="Arial" w:hAnsi="Arial" w:cs="Arial"/>
          <w:sz w:val="22"/>
          <w:szCs w:val="22"/>
        </w:rPr>
        <w:t xml:space="preserve">indígenas </w:t>
      </w:r>
      <w:r w:rsidRPr="00BA7FCB">
        <w:rPr>
          <w:rFonts w:ascii="Arial" w:hAnsi="Arial" w:cs="Arial"/>
          <w:sz w:val="22"/>
          <w:szCs w:val="22"/>
        </w:rPr>
        <w:t>ubicadas en zonas rurales que no est</w:t>
      </w:r>
      <w:r w:rsidR="002212D1" w:rsidRPr="00BA7FCB">
        <w:rPr>
          <w:rFonts w:ascii="Arial" w:hAnsi="Arial" w:cs="Arial"/>
          <w:sz w:val="22"/>
          <w:szCs w:val="22"/>
        </w:rPr>
        <w:t>é</w:t>
      </w:r>
      <w:r w:rsidRPr="00BA7FCB">
        <w:rPr>
          <w:rFonts w:ascii="Arial" w:hAnsi="Arial" w:cs="Arial"/>
          <w:sz w:val="22"/>
          <w:szCs w:val="22"/>
        </w:rPr>
        <w:t xml:space="preserve">n constituidas como resguardo. </w:t>
      </w:r>
    </w:p>
    <w:p w14:paraId="059EFF9B" w14:textId="77777777" w:rsidR="00752C5F" w:rsidRPr="00BA7FCB" w:rsidRDefault="00752C5F" w:rsidP="00C34174">
      <w:pPr>
        <w:jc w:val="both"/>
        <w:rPr>
          <w:rFonts w:ascii="Arial" w:hAnsi="Arial" w:cs="Arial"/>
          <w:sz w:val="22"/>
          <w:szCs w:val="22"/>
        </w:rPr>
      </w:pPr>
    </w:p>
    <w:p w14:paraId="4EDD2756" w14:textId="5F575B27" w:rsidR="00BF5862" w:rsidRPr="00BA7FCB" w:rsidRDefault="00FA082E" w:rsidP="00C34174">
      <w:pPr>
        <w:jc w:val="both"/>
        <w:rPr>
          <w:rFonts w:ascii="Arial" w:hAnsi="Arial" w:cs="Arial"/>
          <w:sz w:val="22"/>
          <w:szCs w:val="22"/>
        </w:rPr>
      </w:pPr>
      <w:r w:rsidRPr="00BA7FCB">
        <w:rPr>
          <w:rFonts w:ascii="Arial" w:hAnsi="Arial" w:cs="Arial"/>
          <w:b/>
          <w:sz w:val="22"/>
          <w:szCs w:val="22"/>
        </w:rPr>
        <w:t>Quinto</w:t>
      </w:r>
      <w:r w:rsidR="00052FB3" w:rsidRPr="00BA7FCB">
        <w:rPr>
          <w:rFonts w:ascii="Arial" w:hAnsi="Arial" w:cs="Arial"/>
          <w:b/>
          <w:sz w:val="22"/>
          <w:szCs w:val="22"/>
        </w:rPr>
        <w:t xml:space="preserve">. </w:t>
      </w:r>
      <w:r w:rsidR="00BF5862" w:rsidRPr="00BA7FCB">
        <w:rPr>
          <w:rFonts w:ascii="Arial" w:hAnsi="Arial" w:cs="Arial"/>
          <w:sz w:val="22"/>
          <w:szCs w:val="22"/>
        </w:rPr>
        <w:t>Que mediante Resolución No. 12 de 2018 y sus modificaciones</w:t>
      </w:r>
      <w:r w:rsidR="00831C68" w:rsidRPr="00BA7FCB">
        <w:rPr>
          <w:rFonts w:ascii="Arial" w:hAnsi="Arial" w:cs="Arial"/>
          <w:sz w:val="22"/>
          <w:szCs w:val="22"/>
        </w:rPr>
        <w:t>,</w:t>
      </w:r>
      <w:r w:rsidR="00BF5862" w:rsidRPr="00BA7FCB">
        <w:rPr>
          <w:rFonts w:ascii="Arial" w:hAnsi="Arial" w:cs="Arial"/>
          <w:sz w:val="22"/>
          <w:szCs w:val="22"/>
        </w:rPr>
        <w:t xml:space="preserve"> se estableció el Plan Anual de ICR y LEC para el Año 2019 y otras disposiciones, en la cual se contemplan condiciones especiales de la LEC General. </w:t>
      </w:r>
    </w:p>
    <w:p w14:paraId="6885329D" w14:textId="58F393CA" w:rsidR="00EE4FD5" w:rsidRPr="00BA7FCB" w:rsidRDefault="00EE4FD5">
      <w:pPr>
        <w:jc w:val="both"/>
        <w:rPr>
          <w:rFonts w:ascii="Arial" w:hAnsi="Arial" w:cs="Arial"/>
          <w:sz w:val="22"/>
          <w:szCs w:val="22"/>
        </w:rPr>
      </w:pPr>
    </w:p>
    <w:p w14:paraId="137995A9" w14:textId="57801ABF" w:rsidR="00EE4FD5" w:rsidRPr="00BA7FCB" w:rsidRDefault="00EE4FD5">
      <w:pPr>
        <w:jc w:val="both"/>
        <w:rPr>
          <w:rFonts w:ascii="Arial" w:hAnsi="Arial" w:cs="Arial"/>
          <w:bCs/>
          <w:sz w:val="22"/>
          <w:szCs w:val="22"/>
        </w:rPr>
      </w:pPr>
      <w:r w:rsidRPr="00BA7FCB">
        <w:rPr>
          <w:rFonts w:ascii="Arial" w:hAnsi="Arial" w:cs="Arial"/>
          <w:b/>
          <w:bCs/>
          <w:sz w:val="22"/>
          <w:szCs w:val="22"/>
        </w:rPr>
        <w:t>Sexto</w:t>
      </w:r>
      <w:r w:rsidRPr="00BA7FCB">
        <w:rPr>
          <w:rFonts w:ascii="Arial" w:hAnsi="Arial" w:cs="Arial"/>
          <w:bCs/>
          <w:sz w:val="22"/>
          <w:szCs w:val="22"/>
        </w:rPr>
        <w:t xml:space="preserve">. Que atendiendo lo anterior, se presenta a consideración de la CNCA una modificación a la Resolución No, 12 de 2018, con el fin de incluir a la </w:t>
      </w:r>
      <w:r w:rsidR="007504A1" w:rsidRPr="00BA7FCB">
        <w:rPr>
          <w:rFonts w:ascii="Arial" w:hAnsi="Arial" w:cs="Arial"/>
          <w:bCs/>
          <w:sz w:val="22"/>
          <w:szCs w:val="22"/>
        </w:rPr>
        <w:t xml:space="preserve">población </w:t>
      </w:r>
      <w:r w:rsidR="00DC02B4" w:rsidRPr="00BA7FCB">
        <w:rPr>
          <w:rFonts w:ascii="Arial" w:hAnsi="Arial" w:cs="Arial"/>
          <w:bCs/>
          <w:sz w:val="22"/>
          <w:szCs w:val="22"/>
        </w:rPr>
        <w:t>afrodescendiente e indígena del municipio de Buenaventura</w:t>
      </w:r>
      <w:r w:rsidR="00CC3659" w:rsidRPr="00BA7FCB">
        <w:rPr>
          <w:rFonts w:ascii="Arial" w:hAnsi="Arial" w:cs="Arial"/>
          <w:bCs/>
          <w:sz w:val="22"/>
          <w:szCs w:val="22"/>
        </w:rPr>
        <w:t>,</w:t>
      </w:r>
      <w:r w:rsidRPr="00BA7FCB">
        <w:rPr>
          <w:rFonts w:ascii="Arial" w:hAnsi="Arial" w:cs="Arial"/>
          <w:bCs/>
          <w:sz w:val="22"/>
          <w:szCs w:val="22"/>
        </w:rPr>
        <w:t xml:space="preserve"> como beneficiaria</w:t>
      </w:r>
      <w:r w:rsidR="00E313E4" w:rsidRPr="00BA7FCB">
        <w:rPr>
          <w:rFonts w:ascii="Arial" w:hAnsi="Arial" w:cs="Arial"/>
          <w:bCs/>
          <w:sz w:val="22"/>
          <w:szCs w:val="22"/>
        </w:rPr>
        <w:t xml:space="preserve"> del subsidio adicional</w:t>
      </w:r>
      <w:r w:rsidRPr="00BA7FCB">
        <w:rPr>
          <w:rFonts w:ascii="Arial" w:hAnsi="Arial" w:cs="Arial"/>
          <w:bCs/>
          <w:sz w:val="22"/>
          <w:szCs w:val="22"/>
        </w:rPr>
        <w:t xml:space="preserve"> de la LEC G</w:t>
      </w:r>
      <w:r w:rsidR="00F437DA" w:rsidRPr="00BA7FCB">
        <w:rPr>
          <w:rFonts w:ascii="Arial" w:hAnsi="Arial" w:cs="Arial"/>
          <w:bCs/>
          <w:sz w:val="22"/>
          <w:szCs w:val="22"/>
        </w:rPr>
        <w:t>e</w:t>
      </w:r>
      <w:r w:rsidRPr="00BA7FCB">
        <w:rPr>
          <w:rFonts w:ascii="Arial" w:hAnsi="Arial" w:cs="Arial"/>
          <w:bCs/>
          <w:sz w:val="22"/>
          <w:szCs w:val="22"/>
        </w:rPr>
        <w:t>neral</w:t>
      </w:r>
      <w:r w:rsidR="00831C68" w:rsidRPr="00BA7FCB">
        <w:rPr>
          <w:rFonts w:ascii="Arial" w:hAnsi="Arial" w:cs="Arial"/>
          <w:bCs/>
          <w:sz w:val="22"/>
          <w:szCs w:val="22"/>
        </w:rPr>
        <w:t>.</w:t>
      </w:r>
    </w:p>
    <w:p w14:paraId="153ADE7E" w14:textId="77777777" w:rsidR="00BF5862" w:rsidRPr="00BA7FCB" w:rsidRDefault="00BF5862">
      <w:pPr>
        <w:jc w:val="both"/>
        <w:rPr>
          <w:rFonts w:ascii="Arial" w:hAnsi="Arial" w:cs="Arial"/>
          <w:sz w:val="22"/>
          <w:szCs w:val="22"/>
        </w:rPr>
      </w:pPr>
    </w:p>
    <w:p w14:paraId="0E764FDC" w14:textId="3550C248" w:rsidR="00C34174" w:rsidRPr="00BA7FCB" w:rsidRDefault="00F437DA" w:rsidP="00C34174">
      <w:pPr>
        <w:jc w:val="both"/>
        <w:rPr>
          <w:rFonts w:ascii="Arial" w:hAnsi="Arial" w:cs="Arial"/>
          <w:sz w:val="22"/>
          <w:szCs w:val="22"/>
        </w:rPr>
      </w:pPr>
      <w:r w:rsidRPr="00BA7FCB">
        <w:rPr>
          <w:rFonts w:ascii="Arial" w:hAnsi="Arial" w:cs="Arial"/>
          <w:b/>
          <w:sz w:val="22"/>
          <w:szCs w:val="22"/>
        </w:rPr>
        <w:t>Séptimo</w:t>
      </w:r>
      <w:r w:rsidR="00BF5862" w:rsidRPr="00BA7FCB">
        <w:rPr>
          <w:rFonts w:ascii="Arial" w:hAnsi="Arial" w:cs="Arial"/>
          <w:b/>
          <w:sz w:val="22"/>
          <w:szCs w:val="22"/>
        </w:rPr>
        <w:t xml:space="preserve">. </w:t>
      </w:r>
      <w:r w:rsidR="00C34174" w:rsidRPr="00BA7FCB">
        <w:rPr>
          <w:rFonts w:ascii="Arial" w:hAnsi="Arial" w:cs="Arial"/>
          <w:sz w:val="22"/>
          <w:szCs w:val="22"/>
        </w:rPr>
        <w:t xml:space="preserve">Que el proyecto de Resolución </w:t>
      </w:r>
      <w:r w:rsidR="00C34174" w:rsidRPr="00BA7FCB">
        <w:rPr>
          <w:rFonts w:ascii="Arial" w:hAnsi="Arial" w:cs="Arial"/>
          <w:i/>
          <w:sz w:val="22"/>
          <w:szCs w:val="22"/>
        </w:rPr>
        <w:t>“</w:t>
      </w:r>
      <w:r w:rsidR="00C34174" w:rsidRPr="00BA7FCB">
        <w:rPr>
          <w:rFonts w:ascii="Arial" w:hAnsi="Arial" w:cs="Arial"/>
          <w:sz w:val="22"/>
          <w:szCs w:val="22"/>
        </w:rPr>
        <w:t>Por la cual se modifica la Resolución No. 12 de 2018 “Por la cual se establece el Plan Anual de ICR y LEC para el Año 2019 y otras disposiciones”</w:t>
      </w:r>
      <w:r w:rsidR="00C34174" w:rsidRPr="00BA7FCB">
        <w:rPr>
          <w:rFonts w:ascii="Arial" w:hAnsi="Arial" w:cs="Arial"/>
          <w:i/>
          <w:sz w:val="22"/>
          <w:szCs w:val="22"/>
        </w:rPr>
        <w:t xml:space="preserve">, </w:t>
      </w:r>
      <w:r w:rsidR="00C34174" w:rsidRPr="00BA7FCB">
        <w:rPr>
          <w:rFonts w:ascii="Arial" w:hAnsi="Arial" w:cs="Arial"/>
          <w:sz w:val="22"/>
          <w:szCs w:val="22"/>
        </w:rPr>
        <w:t>estuvo publicado en la página web de FINAGRO para comentarios.</w:t>
      </w:r>
    </w:p>
    <w:p w14:paraId="6BE2545B" w14:textId="77777777" w:rsidR="00C34174" w:rsidRPr="00BA7FCB" w:rsidRDefault="00C34174" w:rsidP="00C34174">
      <w:pPr>
        <w:jc w:val="both"/>
        <w:rPr>
          <w:rFonts w:ascii="Arial" w:hAnsi="Arial" w:cs="Arial"/>
          <w:sz w:val="22"/>
          <w:szCs w:val="22"/>
        </w:rPr>
      </w:pPr>
    </w:p>
    <w:p w14:paraId="64CB120E" w14:textId="731B07E9" w:rsidR="00C34174" w:rsidRPr="00BA7FCB" w:rsidRDefault="00AD4487" w:rsidP="00C34174">
      <w:pPr>
        <w:jc w:val="both"/>
        <w:rPr>
          <w:rFonts w:ascii="Arial" w:hAnsi="Arial" w:cs="Arial"/>
          <w:sz w:val="22"/>
          <w:szCs w:val="22"/>
        </w:rPr>
      </w:pPr>
      <w:r w:rsidRPr="00BA7FCB">
        <w:rPr>
          <w:rFonts w:ascii="Arial" w:hAnsi="Arial" w:cs="Arial"/>
          <w:b/>
          <w:sz w:val="22"/>
          <w:szCs w:val="22"/>
        </w:rPr>
        <w:t>Oc</w:t>
      </w:r>
      <w:r w:rsidR="00774F0A" w:rsidRPr="00BA7FCB">
        <w:rPr>
          <w:rFonts w:ascii="Arial" w:hAnsi="Arial" w:cs="Arial"/>
          <w:b/>
          <w:sz w:val="22"/>
          <w:szCs w:val="22"/>
        </w:rPr>
        <w:t>tavo</w:t>
      </w:r>
      <w:r w:rsidR="00BF5862" w:rsidRPr="00BA7FCB">
        <w:rPr>
          <w:rFonts w:ascii="Arial" w:hAnsi="Arial" w:cs="Arial"/>
          <w:b/>
          <w:sz w:val="22"/>
          <w:szCs w:val="22"/>
        </w:rPr>
        <w:t>.</w:t>
      </w:r>
      <w:r w:rsidR="00BF5862" w:rsidRPr="00BA7FCB">
        <w:rPr>
          <w:rFonts w:ascii="Arial" w:hAnsi="Arial" w:cs="Arial"/>
          <w:sz w:val="22"/>
          <w:szCs w:val="22"/>
        </w:rPr>
        <w:t xml:space="preserve"> </w:t>
      </w:r>
      <w:r w:rsidR="00C34174" w:rsidRPr="00BA7FCB">
        <w:rPr>
          <w:rFonts w:ascii="Arial" w:hAnsi="Arial" w:cs="Arial"/>
          <w:sz w:val="22"/>
          <w:szCs w:val="22"/>
        </w:rPr>
        <w:t xml:space="preserve">Que el documento con la justificación jurídica y técnica de la presente resolución fue presentado para consideración de la CNCA y discutido en la reunión llevada a cabo el día </w:t>
      </w:r>
      <w:r w:rsidR="00F97BDA">
        <w:rPr>
          <w:rFonts w:ascii="Arial" w:hAnsi="Arial" w:cs="Arial"/>
          <w:color w:val="FF0000"/>
          <w:sz w:val="22"/>
          <w:szCs w:val="22"/>
        </w:rPr>
        <w:t>diez y ocho</w:t>
      </w:r>
      <w:r w:rsidR="00FD3798" w:rsidRPr="00BA7FCB">
        <w:rPr>
          <w:rFonts w:ascii="Arial" w:hAnsi="Arial" w:cs="Arial"/>
          <w:color w:val="FF0000"/>
          <w:sz w:val="22"/>
          <w:szCs w:val="22"/>
        </w:rPr>
        <w:t xml:space="preserve"> </w:t>
      </w:r>
      <w:r w:rsidR="00C34174" w:rsidRPr="00BA7FCB">
        <w:rPr>
          <w:rFonts w:ascii="Arial" w:hAnsi="Arial" w:cs="Arial"/>
          <w:color w:val="FF0000"/>
          <w:sz w:val="22"/>
          <w:szCs w:val="22"/>
        </w:rPr>
        <w:t>(</w:t>
      </w:r>
      <w:r w:rsidR="00F97BDA">
        <w:rPr>
          <w:rFonts w:ascii="Arial" w:hAnsi="Arial" w:cs="Arial"/>
          <w:color w:val="FF0000"/>
          <w:sz w:val="22"/>
          <w:szCs w:val="22"/>
        </w:rPr>
        <w:t>18</w:t>
      </w:r>
      <w:r w:rsidR="00C34174" w:rsidRPr="00BA7FCB">
        <w:rPr>
          <w:rFonts w:ascii="Arial" w:hAnsi="Arial" w:cs="Arial"/>
          <w:color w:val="FF0000"/>
          <w:sz w:val="22"/>
          <w:szCs w:val="22"/>
        </w:rPr>
        <w:t xml:space="preserve">) de </w:t>
      </w:r>
      <w:r w:rsidR="00654824" w:rsidRPr="00BA7FCB">
        <w:rPr>
          <w:rFonts w:ascii="Arial" w:hAnsi="Arial" w:cs="Arial"/>
          <w:color w:val="FF0000"/>
          <w:sz w:val="22"/>
          <w:szCs w:val="22"/>
        </w:rPr>
        <w:t>octubre</w:t>
      </w:r>
      <w:r w:rsidR="00C34174" w:rsidRPr="00BA7FCB">
        <w:rPr>
          <w:rFonts w:ascii="Arial" w:hAnsi="Arial" w:cs="Arial"/>
          <w:color w:val="FF0000"/>
          <w:sz w:val="22"/>
          <w:szCs w:val="22"/>
        </w:rPr>
        <w:t xml:space="preserve"> </w:t>
      </w:r>
      <w:r w:rsidR="00C34174" w:rsidRPr="00BA7FCB">
        <w:rPr>
          <w:rFonts w:ascii="Arial" w:hAnsi="Arial" w:cs="Arial"/>
          <w:sz w:val="22"/>
          <w:szCs w:val="22"/>
        </w:rPr>
        <w:t>de 2019.</w:t>
      </w:r>
    </w:p>
    <w:p w14:paraId="5D808B9C" w14:textId="77777777" w:rsidR="00C34174" w:rsidRPr="00BA7FCB" w:rsidRDefault="00C34174" w:rsidP="00C34174">
      <w:pPr>
        <w:jc w:val="both"/>
        <w:rPr>
          <w:rFonts w:ascii="Arial" w:hAnsi="Arial" w:cs="Arial"/>
          <w:sz w:val="22"/>
          <w:szCs w:val="22"/>
        </w:rPr>
      </w:pPr>
    </w:p>
    <w:p w14:paraId="2778C86C" w14:textId="77777777" w:rsidR="00C34174" w:rsidRPr="00BA7FCB" w:rsidRDefault="00C34174" w:rsidP="00C34174">
      <w:pPr>
        <w:jc w:val="both"/>
        <w:rPr>
          <w:rFonts w:ascii="Arial" w:hAnsi="Arial" w:cs="Arial"/>
          <w:sz w:val="22"/>
          <w:szCs w:val="22"/>
        </w:rPr>
      </w:pPr>
      <w:r w:rsidRPr="00BA7FCB">
        <w:rPr>
          <w:rFonts w:ascii="Arial" w:hAnsi="Arial" w:cs="Arial"/>
          <w:sz w:val="22"/>
          <w:szCs w:val="22"/>
        </w:rPr>
        <w:t xml:space="preserve">En mérito de lo anterior, </w:t>
      </w:r>
    </w:p>
    <w:p w14:paraId="5FADAE86" w14:textId="77777777" w:rsidR="00C34174" w:rsidRPr="00BA7FCB" w:rsidRDefault="00C34174" w:rsidP="00C34174">
      <w:pPr>
        <w:spacing w:line="0" w:lineRule="atLeast"/>
        <w:ind w:left="142" w:right="49"/>
        <w:jc w:val="both"/>
        <w:rPr>
          <w:rFonts w:ascii="Arial" w:hAnsi="Arial" w:cs="Arial"/>
          <w:sz w:val="22"/>
          <w:szCs w:val="22"/>
          <w:lang w:val="es-CO"/>
        </w:rPr>
      </w:pPr>
    </w:p>
    <w:p w14:paraId="250D3BF9" w14:textId="77777777" w:rsidR="000564D3" w:rsidRPr="00BA7FCB" w:rsidRDefault="00C34174" w:rsidP="000564D3">
      <w:pPr>
        <w:spacing w:line="0" w:lineRule="atLeast"/>
        <w:ind w:left="142" w:right="49"/>
        <w:jc w:val="center"/>
        <w:rPr>
          <w:rFonts w:ascii="Arial" w:hAnsi="Arial" w:cs="Arial"/>
          <w:b/>
          <w:sz w:val="22"/>
          <w:szCs w:val="22"/>
          <w:lang w:val="es-CO"/>
        </w:rPr>
      </w:pPr>
      <w:r w:rsidRPr="00BA7FCB">
        <w:rPr>
          <w:rFonts w:ascii="Arial" w:hAnsi="Arial" w:cs="Arial"/>
          <w:b/>
          <w:sz w:val="22"/>
          <w:szCs w:val="22"/>
          <w:lang w:val="es-CO"/>
        </w:rPr>
        <w:t>RESUELVE:</w:t>
      </w:r>
    </w:p>
    <w:p w14:paraId="07C28B83" w14:textId="77777777" w:rsidR="00262CBA" w:rsidRPr="00BA7FCB" w:rsidRDefault="00262CBA" w:rsidP="000564D3">
      <w:pPr>
        <w:spacing w:line="0" w:lineRule="atLeast"/>
        <w:ind w:left="142" w:right="49"/>
        <w:jc w:val="center"/>
        <w:rPr>
          <w:rFonts w:ascii="Arial" w:hAnsi="Arial" w:cs="Arial"/>
          <w:b/>
          <w:sz w:val="22"/>
          <w:szCs w:val="22"/>
          <w:lang w:val="es-CO"/>
        </w:rPr>
      </w:pPr>
    </w:p>
    <w:p w14:paraId="4D6EE214" w14:textId="77777777" w:rsidR="00262CBA" w:rsidRPr="00BA7FCB" w:rsidRDefault="000564D3" w:rsidP="00262CBA">
      <w:pPr>
        <w:pStyle w:val="c5"/>
        <w:tabs>
          <w:tab w:val="left" w:pos="1479"/>
        </w:tabs>
        <w:spacing w:line="240" w:lineRule="auto"/>
        <w:jc w:val="both"/>
        <w:rPr>
          <w:rFonts w:ascii="Arial" w:eastAsia="Arial" w:hAnsi="Arial" w:cs="Arial"/>
          <w:sz w:val="22"/>
          <w:szCs w:val="22"/>
          <w:lang w:eastAsia="es-CO" w:bidi="es-CO"/>
        </w:rPr>
      </w:pPr>
      <w:r w:rsidRPr="00BA7FCB">
        <w:rPr>
          <w:rFonts w:ascii="Arial" w:hAnsi="Arial" w:cs="Arial"/>
          <w:b/>
          <w:bCs/>
          <w:sz w:val="22"/>
          <w:szCs w:val="22"/>
        </w:rPr>
        <w:t>Artículo 1o.</w:t>
      </w:r>
      <w:r w:rsidR="00262CBA" w:rsidRPr="00BA7FCB">
        <w:rPr>
          <w:rFonts w:ascii="Arial" w:hAnsi="Arial" w:cs="Arial"/>
          <w:b/>
          <w:bCs/>
          <w:sz w:val="22"/>
          <w:szCs w:val="22"/>
        </w:rPr>
        <w:t xml:space="preserve"> </w:t>
      </w:r>
      <w:r w:rsidR="00262CBA" w:rsidRPr="00BA7FCB">
        <w:rPr>
          <w:rFonts w:ascii="Arial" w:hAnsi="Arial" w:cs="Arial"/>
          <w:bCs/>
          <w:sz w:val="22"/>
          <w:szCs w:val="22"/>
        </w:rPr>
        <w:t xml:space="preserve">Modificar el literal d. del artículo 5o. de la </w:t>
      </w:r>
      <w:r w:rsidR="00262CBA" w:rsidRPr="00BA7FCB">
        <w:rPr>
          <w:rFonts w:ascii="Arial" w:eastAsia="Arial" w:hAnsi="Arial" w:cs="Arial"/>
          <w:sz w:val="22"/>
          <w:szCs w:val="22"/>
          <w:lang w:eastAsia="es-CO" w:bidi="es-CO"/>
        </w:rPr>
        <w:t>Resolución No. 12 de 2018 de la Comisión Nacional de Crédito Agropecuario, de la siguiente manera:</w:t>
      </w:r>
    </w:p>
    <w:p w14:paraId="31E3E9AA" w14:textId="77777777" w:rsidR="00154E5C" w:rsidRPr="00BA7FCB" w:rsidRDefault="00154E5C" w:rsidP="000564D3">
      <w:pPr>
        <w:spacing w:line="0" w:lineRule="atLeast"/>
        <w:ind w:right="49"/>
        <w:rPr>
          <w:rFonts w:ascii="Arial" w:hAnsi="Arial" w:cs="Arial"/>
          <w:sz w:val="22"/>
          <w:szCs w:val="22"/>
          <w:lang w:val="es-CO"/>
        </w:rPr>
      </w:pPr>
    </w:p>
    <w:p w14:paraId="0F87F4C7" w14:textId="77777777" w:rsidR="00262CBA" w:rsidRPr="00BA7FCB" w:rsidRDefault="00262CBA" w:rsidP="00262CBA">
      <w:pPr>
        <w:ind w:left="360"/>
        <w:jc w:val="both"/>
        <w:rPr>
          <w:rFonts w:ascii="Arial" w:eastAsia="Arial" w:hAnsi="Arial" w:cs="Arial"/>
          <w:i/>
          <w:sz w:val="22"/>
          <w:szCs w:val="22"/>
          <w:lang w:val="es-CO" w:eastAsia="es-CO" w:bidi="es-CO"/>
        </w:rPr>
      </w:pPr>
      <w:r w:rsidRPr="00BA7FCB">
        <w:rPr>
          <w:rFonts w:ascii="Arial" w:hAnsi="Arial" w:cs="Arial"/>
          <w:sz w:val="22"/>
          <w:szCs w:val="22"/>
          <w:lang w:val="es-CO"/>
        </w:rPr>
        <w:t>“</w:t>
      </w:r>
      <w:r w:rsidRPr="00BA7FCB">
        <w:rPr>
          <w:rFonts w:ascii="Arial" w:hAnsi="Arial" w:cs="Arial"/>
          <w:i/>
          <w:sz w:val="22"/>
          <w:szCs w:val="22"/>
          <w:lang w:val="es-CO"/>
        </w:rPr>
        <w:t>d.</w:t>
      </w:r>
      <w:r w:rsidRPr="00BA7FCB">
        <w:rPr>
          <w:rFonts w:ascii="Arial" w:hAnsi="Arial" w:cs="Arial"/>
          <w:sz w:val="22"/>
          <w:szCs w:val="22"/>
          <w:lang w:val="es-CO"/>
        </w:rPr>
        <w:t xml:space="preserve"> </w:t>
      </w:r>
      <w:r w:rsidRPr="00BA7FCB">
        <w:rPr>
          <w:rFonts w:ascii="Arial" w:eastAsia="Arial" w:hAnsi="Arial" w:cs="Arial"/>
          <w:i/>
          <w:color w:val="000000"/>
          <w:sz w:val="22"/>
          <w:szCs w:val="22"/>
          <w:lang w:val="es-CO" w:eastAsia="es-CO" w:bidi="es-CO"/>
        </w:rPr>
        <w:t>El subsidio a la tasa final al productor podrá tener un incremento adicional hasta de 3% conforme se indica a continuación:</w:t>
      </w:r>
    </w:p>
    <w:p w14:paraId="6DC63DD9" w14:textId="0E31F870" w:rsidR="00262CBA" w:rsidRPr="00BA7FCB" w:rsidRDefault="00262CBA" w:rsidP="00262CBA">
      <w:pPr>
        <w:adjustRightInd/>
        <w:ind w:left="720"/>
        <w:jc w:val="both"/>
        <w:rPr>
          <w:rFonts w:ascii="Arial" w:eastAsia="Arial" w:hAnsi="Arial" w:cs="Arial"/>
          <w:i/>
          <w:sz w:val="22"/>
          <w:szCs w:val="22"/>
          <w:lang w:val="es-CO" w:eastAsia="es-CO" w:bidi="es-CO"/>
        </w:rPr>
      </w:pPr>
    </w:p>
    <w:p w14:paraId="2E1490B8" w14:textId="77777777" w:rsidR="00462E4A" w:rsidRPr="00BA7FCB" w:rsidRDefault="00462E4A" w:rsidP="00262CBA">
      <w:pPr>
        <w:adjustRightInd/>
        <w:ind w:left="720"/>
        <w:jc w:val="both"/>
        <w:rPr>
          <w:rFonts w:ascii="Arial" w:eastAsia="Arial" w:hAnsi="Arial" w:cs="Arial"/>
          <w:i/>
          <w:sz w:val="22"/>
          <w:szCs w:val="22"/>
          <w:lang w:val="es-CO" w:eastAsia="es-CO" w:bidi="es-CO"/>
        </w:rPr>
      </w:pPr>
    </w:p>
    <w:tbl>
      <w:tblPr>
        <w:tblStyle w:val="Tabladecuadrcula4-nfasis641"/>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2551"/>
      </w:tblGrid>
      <w:tr w:rsidR="00E93D6B" w:rsidRPr="00BA7FCB" w14:paraId="3F09F7B7" w14:textId="77777777" w:rsidTr="00646737">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hideMark/>
          </w:tcPr>
          <w:p w14:paraId="693F9994" w14:textId="77777777" w:rsidR="00262CBA" w:rsidRPr="00BA7FCB" w:rsidRDefault="00262CBA" w:rsidP="00262CBA">
            <w:pPr>
              <w:adjustRightInd/>
              <w:jc w:val="center"/>
              <w:rPr>
                <w:rFonts w:ascii="Arial" w:eastAsia="Times New Roman" w:hAnsi="Arial" w:cs="Arial"/>
                <w:i/>
                <w:color w:val="FFFFFF" w:themeColor="background1"/>
                <w:sz w:val="18"/>
                <w:szCs w:val="18"/>
              </w:rPr>
            </w:pPr>
            <w:r w:rsidRPr="00BA7FCB">
              <w:rPr>
                <w:rFonts w:ascii="Arial" w:eastAsia="Times New Roman" w:hAnsi="Arial" w:cs="Arial"/>
                <w:i/>
                <w:color w:val="FFFFFF" w:themeColor="background1"/>
                <w:sz w:val="18"/>
                <w:szCs w:val="18"/>
              </w:rPr>
              <w:t xml:space="preserve">TIPO DE PRODUCTOR </w:t>
            </w:r>
          </w:p>
        </w:tc>
        <w:tc>
          <w:tcPr>
            <w:tcW w:w="198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7F3A466" w14:textId="77777777" w:rsidR="00262CBA" w:rsidRPr="00BA7FCB" w:rsidRDefault="00262CBA" w:rsidP="00262CBA">
            <w:pPr>
              <w:adjustRightInd/>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FFFFFF" w:themeColor="background1"/>
                <w:sz w:val="18"/>
                <w:szCs w:val="18"/>
              </w:rPr>
            </w:pPr>
            <w:r w:rsidRPr="00BA7FCB">
              <w:rPr>
                <w:rFonts w:ascii="Arial" w:eastAsia="Times New Roman" w:hAnsi="Arial" w:cs="Arial"/>
                <w:i/>
                <w:color w:val="FFFFFF" w:themeColor="background1"/>
                <w:sz w:val="18"/>
                <w:szCs w:val="18"/>
              </w:rPr>
              <w:t>SUBSIDIO ADICIONAL</w:t>
            </w:r>
          </w:p>
        </w:tc>
        <w:tc>
          <w:tcPr>
            <w:tcW w:w="255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8F6AA87" w14:textId="77777777" w:rsidR="00262CBA" w:rsidRPr="00BA7FCB" w:rsidRDefault="00262CBA" w:rsidP="00262CBA">
            <w:pPr>
              <w:adjustRightInd/>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FFFFFF" w:themeColor="background1"/>
                <w:sz w:val="18"/>
                <w:szCs w:val="18"/>
              </w:rPr>
            </w:pPr>
            <w:r w:rsidRPr="00BA7FCB">
              <w:rPr>
                <w:rFonts w:ascii="Arial" w:eastAsia="Times New Roman" w:hAnsi="Arial" w:cs="Arial"/>
                <w:i/>
                <w:color w:val="FFFFFF" w:themeColor="background1"/>
                <w:sz w:val="18"/>
                <w:szCs w:val="18"/>
              </w:rPr>
              <w:t>TASA INTERÉS</w:t>
            </w:r>
          </w:p>
          <w:p w14:paraId="59F8F633" w14:textId="77777777" w:rsidR="00262CBA" w:rsidRPr="00BA7FCB" w:rsidRDefault="00262CBA" w:rsidP="00262CBA">
            <w:pPr>
              <w:adjustRightInd/>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FFFFFF" w:themeColor="background1"/>
                <w:sz w:val="18"/>
                <w:szCs w:val="18"/>
              </w:rPr>
            </w:pPr>
            <w:r w:rsidRPr="00BA7FCB">
              <w:rPr>
                <w:rFonts w:ascii="Arial" w:eastAsia="Times New Roman" w:hAnsi="Arial" w:cs="Arial"/>
                <w:i/>
                <w:color w:val="FFFFFF" w:themeColor="background1"/>
                <w:sz w:val="18"/>
                <w:szCs w:val="18"/>
              </w:rPr>
              <w:t>CON SUBSIDIO ADICIONAL</w:t>
            </w:r>
          </w:p>
        </w:tc>
      </w:tr>
      <w:tr w:rsidR="00E93D6B" w:rsidRPr="00BA7FCB" w14:paraId="0D23DADE" w14:textId="77777777" w:rsidTr="00E93D6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7C71049D" w14:textId="77777777" w:rsidR="00262CBA" w:rsidRPr="00BA7FCB" w:rsidRDefault="00262CBA" w:rsidP="00262CBA">
            <w:pPr>
              <w:adjustRightInd/>
              <w:jc w:val="both"/>
              <w:rPr>
                <w:rFonts w:ascii="Arial" w:eastAsia="Times New Roman" w:hAnsi="Arial" w:cs="Arial"/>
                <w:i/>
                <w:sz w:val="18"/>
                <w:szCs w:val="18"/>
              </w:rPr>
            </w:pPr>
            <w:r w:rsidRPr="00BA7FCB">
              <w:rPr>
                <w:rFonts w:ascii="Arial" w:eastAsia="Times New Roman" w:hAnsi="Arial" w:cs="Arial"/>
                <w:i/>
                <w:sz w:val="18"/>
                <w:szCs w:val="18"/>
              </w:rPr>
              <w:t>Pequeño Productor</w:t>
            </w:r>
          </w:p>
        </w:tc>
        <w:tc>
          <w:tcPr>
            <w:tcW w:w="1985" w:type="dxa"/>
            <w:shd w:val="clear" w:color="auto" w:fill="auto"/>
            <w:vAlign w:val="center"/>
          </w:tcPr>
          <w:p w14:paraId="16CAF2C6" w14:textId="77777777" w:rsidR="00262CBA" w:rsidRPr="00BA7FCB"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BA7FCB">
              <w:rPr>
                <w:rFonts w:ascii="Arial" w:eastAsia="Times New Roman" w:hAnsi="Arial" w:cs="Arial"/>
                <w:i/>
                <w:sz w:val="18"/>
                <w:szCs w:val="18"/>
              </w:rPr>
              <w:t>Hasta 3% e.a.</w:t>
            </w:r>
          </w:p>
        </w:tc>
        <w:tc>
          <w:tcPr>
            <w:tcW w:w="2551" w:type="dxa"/>
            <w:shd w:val="clear" w:color="auto" w:fill="auto"/>
            <w:vAlign w:val="center"/>
          </w:tcPr>
          <w:p w14:paraId="02D0539A" w14:textId="77777777" w:rsidR="00262CBA" w:rsidRPr="00BA7FCB"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BA7FCB">
              <w:rPr>
                <w:rFonts w:ascii="Arial" w:eastAsia="Times New Roman" w:hAnsi="Arial" w:cs="Arial"/>
                <w:i/>
                <w:sz w:val="18"/>
                <w:szCs w:val="18"/>
              </w:rPr>
              <w:t>Hasta DTF -1% e.a.</w:t>
            </w:r>
          </w:p>
        </w:tc>
      </w:tr>
      <w:tr w:rsidR="00E93D6B" w:rsidRPr="00BA7FCB" w14:paraId="61C460C7" w14:textId="77777777" w:rsidTr="00E93D6B">
        <w:trPr>
          <w:trHeight w:val="342"/>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339038AA" w14:textId="77777777" w:rsidR="00262CBA" w:rsidRPr="00BA7FCB" w:rsidRDefault="00262CBA" w:rsidP="00262CBA">
            <w:pPr>
              <w:adjustRightInd/>
              <w:jc w:val="both"/>
              <w:rPr>
                <w:rFonts w:ascii="Arial" w:eastAsia="Times New Roman" w:hAnsi="Arial" w:cs="Arial"/>
                <w:i/>
                <w:sz w:val="18"/>
                <w:szCs w:val="18"/>
              </w:rPr>
            </w:pPr>
            <w:r w:rsidRPr="00BA7FCB">
              <w:rPr>
                <w:rFonts w:ascii="Arial" w:eastAsia="Times New Roman" w:hAnsi="Arial" w:cs="Arial"/>
                <w:i/>
                <w:sz w:val="18"/>
                <w:szCs w:val="18"/>
              </w:rPr>
              <w:t>Mediano Productor</w:t>
            </w:r>
          </w:p>
        </w:tc>
        <w:tc>
          <w:tcPr>
            <w:tcW w:w="1985" w:type="dxa"/>
            <w:shd w:val="clear" w:color="auto" w:fill="auto"/>
            <w:vAlign w:val="center"/>
          </w:tcPr>
          <w:p w14:paraId="3EDA9D34" w14:textId="77777777" w:rsidR="00262CBA" w:rsidRPr="00BA7FCB"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r w:rsidRPr="00BA7FCB">
              <w:rPr>
                <w:rFonts w:ascii="Arial" w:eastAsia="Times New Roman" w:hAnsi="Arial" w:cs="Arial"/>
                <w:i/>
                <w:sz w:val="18"/>
                <w:szCs w:val="18"/>
              </w:rPr>
              <w:t>Hasta 2,5% e.a.</w:t>
            </w:r>
          </w:p>
        </w:tc>
        <w:tc>
          <w:tcPr>
            <w:tcW w:w="2551" w:type="dxa"/>
            <w:shd w:val="clear" w:color="auto" w:fill="auto"/>
            <w:vAlign w:val="center"/>
          </w:tcPr>
          <w:p w14:paraId="63CD9B1C" w14:textId="77777777" w:rsidR="00262CBA" w:rsidRPr="00BA7FCB"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r w:rsidRPr="00BA7FCB">
              <w:rPr>
                <w:rFonts w:ascii="Arial" w:eastAsia="Times New Roman" w:hAnsi="Arial" w:cs="Arial"/>
                <w:i/>
                <w:sz w:val="18"/>
                <w:szCs w:val="18"/>
              </w:rPr>
              <w:t>Hasta DTF +1,5% e.a.</w:t>
            </w:r>
          </w:p>
        </w:tc>
      </w:tr>
      <w:tr w:rsidR="00E93D6B" w:rsidRPr="00BA7FCB" w14:paraId="1A819890" w14:textId="77777777" w:rsidTr="00E93D6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14:paraId="45C1A9CE" w14:textId="77777777" w:rsidR="00262CBA" w:rsidRPr="00BA7FCB" w:rsidRDefault="00262CBA" w:rsidP="00262CBA">
            <w:pPr>
              <w:adjustRightInd/>
              <w:jc w:val="both"/>
              <w:rPr>
                <w:rFonts w:ascii="Arial" w:eastAsia="Times New Roman" w:hAnsi="Arial" w:cs="Arial"/>
                <w:i/>
                <w:sz w:val="18"/>
                <w:szCs w:val="18"/>
              </w:rPr>
            </w:pPr>
            <w:r w:rsidRPr="00BA7FCB">
              <w:rPr>
                <w:rFonts w:ascii="Arial" w:eastAsia="Times New Roman" w:hAnsi="Arial" w:cs="Arial"/>
                <w:i/>
                <w:sz w:val="18"/>
                <w:szCs w:val="18"/>
              </w:rPr>
              <w:t>Grande Productor</w:t>
            </w:r>
          </w:p>
        </w:tc>
        <w:tc>
          <w:tcPr>
            <w:tcW w:w="1985" w:type="dxa"/>
            <w:shd w:val="clear" w:color="auto" w:fill="auto"/>
            <w:vAlign w:val="center"/>
          </w:tcPr>
          <w:p w14:paraId="319C12D0" w14:textId="77777777" w:rsidR="00262CBA" w:rsidRPr="00BA7FCB"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i/>
                <w:sz w:val="18"/>
                <w:szCs w:val="18"/>
                <w:lang w:val="es-ES_tradnl" w:eastAsia="es-CO" w:bidi="es-CO"/>
              </w:rPr>
            </w:pPr>
            <w:r w:rsidRPr="00BA7FCB">
              <w:rPr>
                <w:rFonts w:ascii="Arial" w:eastAsia="Times New Roman" w:hAnsi="Arial" w:cs="Arial"/>
                <w:i/>
                <w:sz w:val="18"/>
                <w:szCs w:val="18"/>
              </w:rPr>
              <w:t>Hasta 2,5% e.a.</w:t>
            </w:r>
          </w:p>
        </w:tc>
        <w:tc>
          <w:tcPr>
            <w:tcW w:w="2551" w:type="dxa"/>
            <w:shd w:val="clear" w:color="auto" w:fill="auto"/>
            <w:vAlign w:val="center"/>
          </w:tcPr>
          <w:p w14:paraId="4B8A7A45" w14:textId="77777777" w:rsidR="00262CBA" w:rsidRPr="00BA7FCB"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BA7FCB">
              <w:rPr>
                <w:rFonts w:ascii="Arial" w:eastAsia="Times New Roman" w:hAnsi="Arial" w:cs="Arial"/>
                <w:i/>
                <w:sz w:val="18"/>
                <w:szCs w:val="18"/>
              </w:rPr>
              <w:t>Hasta DTF + 2,5 e.a.</w:t>
            </w:r>
          </w:p>
        </w:tc>
      </w:tr>
      <w:tr w:rsidR="00E93D6B" w:rsidRPr="00BA7FCB" w14:paraId="6C54678F" w14:textId="77777777" w:rsidTr="00E93D6B">
        <w:trPr>
          <w:trHeight w:val="33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78C68A93" w14:textId="77777777" w:rsidR="00262CBA" w:rsidRPr="00BA7FCB" w:rsidRDefault="00262CBA" w:rsidP="00262CBA">
            <w:pPr>
              <w:adjustRightInd/>
              <w:jc w:val="both"/>
              <w:rPr>
                <w:rFonts w:ascii="Arial" w:eastAsia="Times New Roman" w:hAnsi="Arial" w:cs="Arial"/>
                <w:i/>
                <w:sz w:val="18"/>
                <w:szCs w:val="18"/>
              </w:rPr>
            </w:pPr>
            <w:r w:rsidRPr="00BA7FCB">
              <w:rPr>
                <w:rFonts w:ascii="Arial" w:eastAsia="Times New Roman" w:hAnsi="Arial" w:cs="Arial"/>
                <w:i/>
                <w:sz w:val="18"/>
                <w:szCs w:val="18"/>
              </w:rPr>
              <w:t xml:space="preserve">Esquema asociativo </w:t>
            </w:r>
          </w:p>
        </w:tc>
        <w:tc>
          <w:tcPr>
            <w:tcW w:w="1985" w:type="dxa"/>
            <w:shd w:val="clear" w:color="auto" w:fill="auto"/>
            <w:vAlign w:val="center"/>
          </w:tcPr>
          <w:p w14:paraId="73BF276E" w14:textId="77777777" w:rsidR="00262CBA" w:rsidRPr="00BA7FCB"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i/>
                <w:sz w:val="18"/>
                <w:szCs w:val="18"/>
                <w:lang w:val="es-ES_tradnl" w:eastAsia="es-CO" w:bidi="es-CO"/>
              </w:rPr>
            </w:pPr>
            <w:r w:rsidRPr="00BA7FCB">
              <w:rPr>
                <w:rFonts w:ascii="Arial" w:eastAsia="Times New Roman" w:hAnsi="Arial" w:cs="Arial"/>
                <w:i/>
                <w:sz w:val="18"/>
                <w:szCs w:val="18"/>
              </w:rPr>
              <w:t>Hasta 2,5% e.a.</w:t>
            </w:r>
          </w:p>
        </w:tc>
        <w:tc>
          <w:tcPr>
            <w:tcW w:w="2551" w:type="dxa"/>
            <w:shd w:val="clear" w:color="auto" w:fill="auto"/>
            <w:vAlign w:val="center"/>
          </w:tcPr>
          <w:p w14:paraId="075894E2" w14:textId="77777777" w:rsidR="00262CBA" w:rsidRPr="00BA7FCB" w:rsidRDefault="00262CBA" w:rsidP="00262CBA">
            <w:pPr>
              <w:adjustRightIn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18"/>
                <w:szCs w:val="18"/>
              </w:rPr>
            </w:pPr>
            <w:r w:rsidRPr="00BA7FCB">
              <w:rPr>
                <w:rFonts w:ascii="Arial" w:eastAsia="Times New Roman" w:hAnsi="Arial" w:cs="Arial"/>
                <w:i/>
                <w:sz w:val="18"/>
                <w:szCs w:val="18"/>
              </w:rPr>
              <w:t>Hasta DTF -0,5% e.a.</w:t>
            </w:r>
          </w:p>
        </w:tc>
      </w:tr>
      <w:tr w:rsidR="00E93D6B" w:rsidRPr="00BA7FCB" w14:paraId="6F7654BC" w14:textId="77777777" w:rsidTr="00E93D6B">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hideMark/>
          </w:tcPr>
          <w:p w14:paraId="7D15C165" w14:textId="77777777" w:rsidR="00262CBA" w:rsidRPr="00BA7FCB" w:rsidRDefault="00262CBA" w:rsidP="00262CBA">
            <w:pPr>
              <w:adjustRightInd/>
              <w:jc w:val="both"/>
              <w:rPr>
                <w:rFonts w:ascii="Arial" w:eastAsia="Times New Roman" w:hAnsi="Arial" w:cs="Arial"/>
                <w:i/>
                <w:sz w:val="18"/>
                <w:szCs w:val="18"/>
              </w:rPr>
            </w:pPr>
            <w:r w:rsidRPr="00BA7FCB">
              <w:rPr>
                <w:rFonts w:ascii="Arial" w:eastAsia="Times New Roman" w:hAnsi="Arial" w:cs="Arial"/>
                <w:i/>
                <w:sz w:val="18"/>
                <w:szCs w:val="18"/>
              </w:rPr>
              <w:t>Esquema integración</w:t>
            </w:r>
          </w:p>
        </w:tc>
        <w:tc>
          <w:tcPr>
            <w:tcW w:w="1985" w:type="dxa"/>
            <w:shd w:val="clear" w:color="auto" w:fill="auto"/>
            <w:vAlign w:val="center"/>
          </w:tcPr>
          <w:p w14:paraId="46A947FC" w14:textId="77777777" w:rsidR="00262CBA" w:rsidRPr="00BA7FCB"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i/>
                <w:sz w:val="18"/>
                <w:szCs w:val="18"/>
                <w:lang w:val="es-ES_tradnl" w:eastAsia="es-CO" w:bidi="es-CO"/>
              </w:rPr>
            </w:pPr>
            <w:r w:rsidRPr="00BA7FCB">
              <w:rPr>
                <w:rFonts w:ascii="Arial" w:eastAsia="Times New Roman" w:hAnsi="Arial" w:cs="Arial"/>
                <w:i/>
                <w:sz w:val="18"/>
                <w:szCs w:val="18"/>
              </w:rPr>
              <w:t>Hasta 2,5% e.a.</w:t>
            </w:r>
          </w:p>
        </w:tc>
        <w:tc>
          <w:tcPr>
            <w:tcW w:w="2551" w:type="dxa"/>
            <w:shd w:val="clear" w:color="auto" w:fill="auto"/>
            <w:vAlign w:val="center"/>
          </w:tcPr>
          <w:p w14:paraId="673B77F8" w14:textId="77777777" w:rsidR="00262CBA" w:rsidRPr="00BA7FCB" w:rsidRDefault="00262CBA" w:rsidP="00262CBA">
            <w:pPr>
              <w:adjustRightIn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rPr>
            </w:pPr>
            <w:r w:rsidRPr="00BA7FCB">
              <w:rPr>
                <w:rFonts w:ascii="Arial" w:eastAsia="Times New Roman" w:hAnsi="Arial" w:cs="Arial"/>
                <w:i/>
                <w:sz w:val="18"/>
                <w:szCs w:val="18"/>
              </w:rPr>
              <w:t>Hasta DTF -0,5% e.a.</w:t>
            </w:r>
          </w:p>
        </w:tc>
      </w:tr>
    </w:tbl>
    <w:p w14:paraId="299DA2DD" w14:textId="77777777" w:rsidR="00262CBA" w:rsidRPr="00BA7FCB" w:rsidRDefault="00262CBA" w:rsidP="00262CBA">
      <w:pPr>
        <w:adjustRightInd/>
        <w:ind w:left="720"/>
        <w:jc w:val="both"/>
        <w:rPr>
          <w:rFonts w:ascii="Arial" w:eastAsia="Arial" w:hAnsi="Arial" w:cs="Arial"/>
          <w:i/>
          <w:sz w:val="22"/>
          <w:szCs w:val="22"/>
          <w:lang w:val="es-CO" w:eastAsia="es-CO" w:bidi="es-CO"/>
        </w:rPr>
      </w:pPr>
    </w:p>
    <w:p w14:paraId="1F7DC7C9" w14:textId="25A55D3E" w:rsidR="00262CBA" w:rsidRPr="00BA7FCB" w:rsidRDefault="02F9DB10" w:rsidP="02F9DB10">
      <w:pPr>
        <w:adjustRightInd/>
        <w:spacing w:line="0" w:lineRule="atLeast"/>
        <w:ind w:left="284"/>
        <w:jc w:val="both"/>
        <w:rPr>
          <w:rFonts w:ascii="Arial" w:hAnsi="Arial" w:cs="Arial"/>
          <w:i/>
          <w:iCs/>
          <w:sz w:val="22"/>
          <w:szCs w:val="22"/>
          <w:lang w:val="es-CO"/>
        </w:rPr>
      </w:pPr>
      <w:r w:rsidRPr="00BA7FCB">
        <w:rPr>
          <w:rFonts w:ascii="Arial" w:eastAsia="Arial" w:hAnsi="Arial" w:cs="Arial"/>
          <w:i/>
          <w:iCs/>
          <w:color w:val="000000" w:themeColor="text1"/>
          <w:sz w:val="22"/>
          <w:szCs w:val="22"/>
          <w:lang w:val="es-CO" w:eastAsia="es-CO" w:bidi="es-CO"/>
        </w:rPr>
        <w:t>El MADR determinará, dentro de los límites establecidos en el presente artículo,</w:t>
      </w:r>
      <w:r w:rsidRPr="00BA7FCB">
        <w:rPr>
          <w:rFonts w:ascii="Arial" w:eastAsia="Arial" w:hAnsi="Arial" w:cs="Arial"/>
          <w:i/>
          <w:iCs/>
          <w:sz w:val="22"/>
          <w:szCs w:val="22"/>
          <w:lang w:val="es-CO" w:eastAsia="es-CO" w:bidi="es-CO"/>
        </w:rPr>
        <w:t xml:space="preserve"> </w:t>
      </w:r>
      <w:r w:rsidRPr="00BA7FCB">
        <w:rPr>
          <w:rFonts w:ascii="Arial" w:eastAsia="Arial" w:hAnsi="Arial" w:cs="Arial"/>
          <w:i/>
          <w:iCs/>
          <w:color w:val="000000" w:themeColor="text1"/>
          <w:sz w:val="22"/>
          <w:szCs w:val="22"/>
          <w:lang w:val="es-CO" w:eastAsia="es-CO" w:bidi="es-CO"/>
        </w:rPr>
        <w:t>las condiciones que deben acreditarse para el otorgamiento del subsidio adicional a la tasa de interés de los créditos.  Para este efecto, el MADR podrá tener en cuenta la condición de</w:t>
      </w:r>
      <w:r w:rsidRPr="00BA7FCB">
        <w:rPr>
          <w:rFonts w:ascii="Arial" w:eastAsia="Arial" w:hAnsi="Arial" w:cs="Arial"/>
          <w:i/>
          <w:iCs/>
          <w:sz w:val="22"/>
          <w:szCs w:val="22"/>
          <w:lang w:val="es-CO" w:eastAsia="es-CO" w:bidi="es-CO"/>
        </w:rPr>
        <w:t xml:space="preserve"> joven rural y mujer, la existencia de certificaciones </w:t>
      </w:r>
      <w:r w:rsidRPr="00BA7FCB">
        <w:rPr>
          <w:rFonts w:ascii="Arial" w:eastAsia="Arial" w:hAnsi="Arial" w:cs="Arial"/>
          <w:i/>
          <w:iCs/>
          <w:color w:val="000000" w:themeColor="text1"/>
          <w:sz w:val="22"/>
          <w:szCs w:val="22"/>
          <w:lang w:val="es-CO" w:eastAsia="es-CO" w:bidi="es-CO"/>
        </w:rPr>
        <w:t xml:space="preserve">de buenas prácticas agropecuarias expedidas por el ICA u otras entidades aceptadas por el MADR, la constitución de pólizas de seguro agropecuario, la definición de clústeres establecidos por la Unidad de Planificación Rural Agropecuaria – UPRA </w:t>
      </w:r>
      <w:r w:rsidRPr="00BA7FCB">
        <w:rPr>
          <w:rFonts w:ascii="Arial" w:hAnsi="Arial" w:cs="Arial"/>
          <w:i/>
          <w:iCs/>
          <w:sz w:val="22"/>
          <w:szCs w:val="22"/>
        </w:rPr>
        <w:t>y la condición de afrodescendiente e indígena del municipio de Buenaventura</w:t>
      </w:r>
      <w:r w:rsidRPr="00BA7FCB">
        <w:rPr>
          <w:rFonts w:ascii="Arial" w:eastAsia="Arial" w:hAnsi="Arial" w:cs="Arial"/>
          <w:i/>
          <w:iCs/>
          <w:sz w:val="22"/>
          <w:szCs w:val="22"/>
          <w:lang w:val="es-CO" w:eastAsia="es-CO" w:bidi="es-CO"/>
        </w:rPr>
        <w:t>.</w:t>
      </w:r>
      <w:r w:rsidRPr="00BA7FCB">
        <w:rPr>
          <w:rFonts w:ascii="Arial" w:hAnsi="Arial" w:cs="Arial"/>
          <w:i/>
          <w:iCs/>
          <w:sz w:val="22"/>
          <w:szCs w:val="22"/>
          <w:lang w:val="es-CO"/>
        </w:rPr>
        <w:t>”</w:t>
      </w:r>
      <w:bookmarkStart w:id="0" w:name="_Hlk534211388"/>
      <w:bookmarkEnd w:id="0"/>
    </w:p>
    <w:p w14:paraId="37663925" w14:textId="104A19A9" w:rsidR="00C34174" w:rsidRPr="00BA7FCB" w:rsidRDefault="00C34174" w:rsidP="00C34174">
      <w:pPr>
        <w:tabs>
          <w:tab w:val="left" w:pos="426"/>
          <w:tab w:val="left" w:pos="709"/>
          <w:tab w:val="left" w:pos="993"/>
          <w:tab w:val="left" w:pos="1134"/>
          <w:tab w:val="left" w:pos="1418"/>
        </w:tabs>
        <w:spacing w:line="252" w:lineRule="exact"/>
        <w:ind w:right="81"/>
        <w:rPr>
          <w:rFonts w:ascii="Arial" w:eastAsia="Arial" w:hAnsi="Arial" w:cs="Arial"/>
          <w:spacing w:val="-3"/>
          <w:sz w:val="22"/>
          <w:szCs w:val="22"/>
          <w:lang w:eastAsia="es-CO" w:bidi="es-CO"/>
        </w:rPr>
      </w:pPr>
    </w:p>
    <w:p w14:paraId="4467F5F5" w14:textId="77777777" w:rsidR="00FD749F" w:rsidRPr="00BA7FCB" w:rsidRDefault="00FD749F" w:rsidP="00FD749F">
      <w:pPr>
        <w:jc w:val="both"/>
        <w:rPr>
          <w:rFonts w:ascii="Arial" w:eastAsiaTheme="minorHAnsi" w:hAnsi="Arial" w:cs="Arial"/>
          <w:sz w:val="22"/>
          <w:szCs w:val="22"/>
          <w:lang w:eastAsia="es-CO"/>
        </w:rPr>
      </w:pPr>
    </w:p>
    <w:p w14:paraId="63538F98" w14:textId="24D53F24" w:rsidR="00FD749F" w:rsidRPr="00BA7FCB" w:rsidRDefault="00FD749F" w:rsidP="00FD749F">
      <w:pPr>
        <w:jc w:val="both"/>
        <w:rPr>
          <w:rFonts w:ascii="Arial" w:eastAsiaTheme="minorHAnsi" w:hAnsi="Arial" w:cs="Arial"/>
          <w:sz w:val="22"/>
          <w:szCs w:val="22"/>
          <w:lang w:eastAsia="es-CO"/>
        </w:rPr>
      </w:pPr>
      <w:r w:rsidRPr="00BA7FCB">
        <w:rPr>
          <w:rFonts w:ascii="Arial" w:eastAsiaTheme="minorHAnsi" w:hAnsi="Arial" w:cs="Arial"/>
          <w:b/>
          <w:sz w:val="22"/>
          <w:szCs w:val="22"/>
          <w:lang w:eastAsia="es-CO"/>
        </w:rPr>
        <w:t xml:space="preserve">Artículo 2o. </w:t>
      </w:r>
      <w:r w:rsidRPr="00BA7FCB">
        <w:rPr>
          <w:rFonts w:ascii="Arial" w:eastAsiaTheme="minorHAnsi" w:hAnsi="Arial" w:cs="Arial"/>
          <w:sz w:val="22"/>
          <w:szCs w:val="22"/>
          <w:lang w:eastAsia="es-CO"/>
        </w:rPr>
        <w:t xml:space="preserve"> FINAGRO adoptará los procedimientos y medidas necesarias para el desarrollo de la presente resolución, para lo cual expedirá la circular reglamentaria correspondiente.</w:t>
      </w:r>
    </w:p>
    <w:p w14:paraId="17B8A106" w14:textId="77777777" w:rsidR="00FD749F" w:rsidRPr="00BA7FCB" w:rsidRDefault="00FD749F" w:rsidP="00FD749F">
      <w:pPr>
        <w:jc w:val="both"/>
        <w:rPr>
          <w:rFonts w:ascii="Arial" w:eastAsiaTheme="minorHAnsi" w:hAnsi="Arial" w:cs="Arial"/>
          <w:sz w:val="22"/>
          <w:szCs w:val="22"/>
          <w:lang w:eastAsia="es-CO"/>
        </w:rPr>
      </w:pPr>
    </w:p>
    <w:p w14:paraId="2238A522" w14:textId="3C825E6C" w:rsidR="00C34174" w:rsidRPr="00BA7FCB" w:rsidRDefault="00C34174" w:rsidP="00C34174">
      <w:pPr>
        <w:jc w:val="both"/>
        <w:rPr>
          <w:rFonts w:ascii="Arial" w:eastAsiaTheme="minorHAnsi" w:hAnsi="Arial" w:cs="Arial"/>
          <w:b/>
          <w:sz w:val="22"/>
          <w:szCs w:val="22"/>
          <w:lang w:eastAsia="es-CO"/>
        </w:rPr>
      </w:pPr>
      <w:r w:rsidRPr="00BA7FCB">
        <w:rPr>
          <w:rFonts w:ascii="Arial" w:eastAsiaTheme="minorHAnsi" w:hAnsi="Arial" w:cs="Arial"/>
          <w:b/>
          <w:sz w:val="22"/>
          <w:szCs w:val="22"/>
          <w:lang w:eastAsia="es-CO"/>
        </w:rPr>
        <w:t xml:space="preserve">Artículo </w:t>
      </w:r>
      <w:r w:rsidR="00FD749F" w:rsidRPr="00BA7FCB">
        <w:rPr>
          <w:rFonts w:ascii="Arial" w:eastAsiaTheme="minorHAnsi" w:hAnsi="Arial" w:cs="Arial"/>
          <w:b/>
          <w:sz w:val="22"/>
          <w:szCs w:val="22"/>
          <w:lang w:eastAsia="es-CO"/>
        </w:rPr>
        <w:t>3</w:t>
      </w:r>
      <w:r w:rsidRPr="00BA7FCB">
        <w:rPr>
          <w:rFonts w:ascii="Arial" w:eastAsiaTheme="minorHAnsi" w:hAnsi="Arial" w:cs="Arial"/>
          <w:b/>
          <w:sz w:val="22"/>
          <w:szCs w:val="22"/>
          <w:lang w:eastAsia="es-CO"/>
        </w:rPr>
        <w:t xml:space="preserve">o.  </w:t>
      </w:r>
      <w:r w:rsidRPr="00BA7FCB">
        <w:rPr>
          <w:rFonts w:ascii="Arial" w:eastAsiaTheme="minorHAnsi" w:hAnsi="Arial" w:cs="Arial"/>
          <w:sz w:val="22"/>
          <w:szCs w:val="22"/>
          <w:lang w:eastAsia="es-CO"/>
        </w:rPr>
        <w:t xml:space="preserve">La presente resolución rige a partir de la fecha de su publicación en el Diario Oficial y sus efectos aplicarán a partir de la fecha en que FINAGRO disponga de los recursos presupuestales que se destinen para el desarrollo de </w:t>
      </w:r>
      <w:r w:rsidR="003B6016" w:rsidRPr="00BA7FCB">
        <w:rPr>
          <w:rFonts w:ascii="Arial" w:eastAsiaTheme="minorHAnsi" w:hAnsi="Arial" w:cs="Arial"/>
          <w:sz w:val="22"/>
          <w:szCs w:val="22"/>
          <w:lang w:eastAsia="es-CO"/>
        </w:rPr>
        <w:t>e</w:t>
      </w:r>
      <w:r w:rsidRPr="00BA7FCB">
        <w:rPr>
          <w:rFonts w:ascii="Arial" w:eastAsiaTheme="minorHAnsi" w:hAnsi="Arial" w:cs="Arial"/>
          <w:sz w:val="22"/>
          <w:szCs w:val="22"/>
          <w:lang w:eastAsia="es-CO"/>
        </w:rPr>
        <w:t>sta línea.</w:t>
      </w:r>
    </w:p>
    <w:p w14:paraId="056BE09A" w14:textId="77777777" w:rsidR="00FD749F" w:rsidRPr="00BA7FCB" w:rsidRDefault="00FD749F" w:rsidP="00C34174">
      <w:pPr>
        <w:jc w:val="both"/>
        <w:rPr>
          <w:rFonts w:ascii="Arial" w:eastAsiaTheme="minorHAnsi" w:hAnsi="Arial" w:cs="Arial"/>
          <w:sz w:val="22"/>
          <w:szCs w:val="22"/>
          <w:lang w:eastAsia="es-CO"/>
        </w:rPr>
      </w:pPr>
    </w:p>
    <w:p w14:paraId="17FCFE63" w14:textId="74C7521F" w:rsidR="00C34174" w:rsidRPr="00BA7FCB" w:rsidRDefault="00C34174" w:rsidP="00C34174">
      <w:pPr>
        <w:jc w:val="both"/>
        <w:rPr>
          <w:rFonts w:ascii="Arial" w:eastAsiaTheme="minorHAnsi" w:hAnsi="Arial" w:cs="Arial"/>
          <w:sz w:val="22"/>
          <w:szCs w:val="22"/>
          <w:lang w:eastAsia="es-CO"/>
        </w:rPr>
      </w:pPr>
      <w:r w:rsidRPr="00BA7FCB">
        <w:rPr>
          <w:rFonts w:ascii="Arial" w:eastAsiaTheme="minorHAnsi" w:hAnsi="Arial" w:cs="Arial"/>
          <w:b/>
          <w:sz w:val="22"/>
          <w:szCs w:val="22"/>
          <w:lang w:eastAsia="es-CO"/>
        </w:rPr>
        <w:t xml:space="preserve">Artículo </w:t>
      </w:r>
      <w:r w:rsidR="00FD749F" w:rsidRPr="00BA7FCB">
        <w:rPr>
          <w:rFonts w:ascii="Arial" w:eastAsiaTheme="minorHAnsi" w:hAnsi="Arial" w:cs="Arial"/>
          <w:b/>
          <w:sz w:val="22"/>
          <w:szCs w:val="22"/>
          <w:lang w:eastAsia="es-CO"/>
        </w:rPr>
        <w:t>4</w:t>
      </w:r>
      <w:r w:rsidRPr="00BA7FCB">
        <w:rPr>
          <w:rFonts w:ascii="Arial" w:eastAsiaTheme="minorHAnsi" w:hAnsi="Arial" w:cs="Arial"/>
          <w:b/>
          <w:sz w:val="22"/>
          <w:szCs w:val="22"/>
          <w:lang w:eastAsia="es-CO"/>
        </w:rPr>
        <w:t xml:space="preserve">o. </w:t>
      </w:r>
      <w:r w:rsidRPr="00BA7FCB">
        <w:rPr>
          <w:rFonts w:ascii="Arial" w:eastAsiaTheme="minorHAnsi" w:hAnsi="Arial" w:cs="Arial"/>
          <w:sz w:val="22"/>
          <w:szCs w:val="22"/>
          <w:lang w:eastAsia="es-CO"/>
        </w:rPr>
        <w:t xml:space="preserve">Los términos y condiciones establecidos en las demás resoluciones de la Comisión Nacional de Crédito Agropecuario permanecerán inalterados y conservarán toda su vigencia y efecto, en cuanto no se opongan a lo establecido en la presente Resolución.                                                                                                            </w:t>
      </w:r>
    </w:p>
    <w:p w14:paraId="5FB7EA90" w14:textId="77777777" w:rsidR="00C34174" w:rsidRPr="00BA7FCB" w:rsidRDefault="00C34174" w:rsidP="00C34174">
      <w:pPr>
        <w:jc w:val="both"/>
        <w:rPr>
          <w:rFonts w:ascii="Arial" w:eastAsiaTheme="minorHAnsi" w:hAnsi="Arial" w:cs="Arial"/>
          <w:sz w:val="22"/>
          <w:szCs w:val="22"/>
          <w:lang w:eastAsia="es-CO"/>
        </w:rPr>
      </w:pPr>
    </w:p>
    <w:p w14:paraId="2DAE84E8" w14:textId="77777777" w:rsidR="00C34174" w:rsidRPr="00BA7FCB" w:rsidRDefault="00C34174" w:rsidP="00C34174">
      <w:pPr>
        <w:jc w:val="both"/>
        <w:rPr>
          <w:rFonts w:ascii="Arial" w:eastAsiaTheme="minorHAnsi" w:hAnsi="Arial" w:cs="Arial"/>
          <w:sz w:val="22"/>
          <w:szCs w:val="22"/>
          <w:lang w:eastAsia="es-CO"/>
        </w:rPr>
      </w:pPr>
    </w:p>
    <w:p w14:paraId="1B2D9605" w14:textId="5AA49BBE" w:rsidR="00C34174" w:rsidRPr="00BA7FCB" w:rsidRDefault="00C34174" w:rsidP="00C34174">
      <w:pPr>
        <w:jc w:val="both"/>
        <w:rPr>
          <w:rFonts w:ascii="Arial" w:eastAsiaTheme="minorHAnsi" w:hAnsi="Arial" w:cs="Arial"/>
          <w:sz w:val="22"/>
          <w:szCs w:val="22"/>
          <w:lang w:eastAsia="es-CO"/>
        </w:rPr>
      </w:pPr>
      <w:r w:rsidRPr="00BA7FCB">
        <w:rPr>
          <w:rFonts w:ascii="Arial" w:eastAsiaTheme="minorHAnsi" w:hAnsi="Arial" w:cs="Arial"/>
          <w:sz w:val="22"/>
          <w:szCs w:val="22"/>
          <w:lang w:eastAsia="es-CO"/>
        </w:rPr>
        <w:t xml:space="preserve">Dada en Bogotá, D.C. a los </w:t>
      </w:r>
      <w:r w:rsidR="008673E8">
        <w:rPr>
          <w:rFonts w:ascii="Arial" w:eastAsiaTheme="minorHAnsi" w:hAnsi="Arial" w:cs="Arial"/>
          <w:color w:val="FF0000"/>
          <w:sz w:val="22"/>
          <w:szCs w:val="22"/>
          <w:lang w:eastAsia="es-CO"/>
        </w:rPr>
        <w:t>18</w:t>
      </w:r>
      <w:r w:rsidRPr="00BA7FCB">
        <w:rPr>
          <w:rFonts w:ascii="Arial" w:eastAsiaTheme="minorHAnsi" w:hAnsi="Arial" w:cs="Arial"/>
          <w:color w:val="FF0000"/>
          <w:sz w:val="22"/>
          <w:szCs w:val="22"/>
          <w:lang w:eastAsia="es-CO"/>
        </w:rPr>
        <w:t xml:space="preserve"> días del mes </w:t>
      </w:r>
      <w:r w:rsidR="00CF054D" w:rsidRPr="00BA7FCB">
        <w:rPr>
          <w:rFonts w:ascii="Arial" w:eastAsiaTheme="minorHAnsi" w:hAnsi="Arial" w:cs="Arial"/>
          <w:color w:val="FF0000"/>
          <w:sz w:val="22"/>
          <w:szCs w:val="22"/>
          <w:lang w:eastAsia="es-CO"/>
        </w:rPr>
        <w:t xml:space="preserve">de </w:t>
      </w:r>
      <w:r w:rsidR="00E15DE5" w:rsidRPr="00BA7FCB">
        <w:rPr>
          <w:rFonts w:ascii="Arial" w:eastAsiaTheme="minorHAnsi" w:hAnsi="Arial" w:cs="Arial"/>
          <w:color w:val="FF0000"/>
          <w:sz w:val="22"/>
          <w:szCs w:val="22"/>
          <w:lang w:eastAsia="es-CO"/>
        </w:rPr>
        <w:t>octubre</w:t>
      </w:r>
      <w:r w:rsidRPr="00BA7FCB">
        <w:rPr>
          <w:rFonts w:ascii="Arial" w:eastAsiaTheme="minorHAnsi" w:hAnsi="Arial" w:cs="Arial"/>
          <w:color w:val="FF0000"/>
          <w:sz w:val="22"/>
          <w:szCs w:val="22"/>
          <w:lang w:eastAsia="es-CO"/>
        </w:rPr>
        <w:t xml:space="preserve"> </w:t>
      </w:r>
      <w:r w:rsidRPr="00BA7FCB">
        <w:rPr>
          <w:rFonts w:ascii="Arial" w:eastAsiaTheme="minorHAnsi" w:hAnsi="Arial" w:cs="Arial"/>
          <w:sz w:val="22"/>
          <w:szCs w:val="22"/>
          <w:lang w:eastAsia="es-CO"/>
        </w:rPr>
        <w:t xml:space="preserve">de dos mil diecinueve (2019). </w:t>
      </w:r>
    </w:p>
    <w:p w14:paraId="3EE0FA36" w14:textId="77777777" w:rsidR="00C34174" w:rsidRPr="00BA7FCB" w:rsidRDefault="00C34174" w:rsidP="00C34174">
      <w:pPr>
        <w:jc w:val="both"/>
        <w:rPr>
          <w:rFonts w:ascii="Arial" w:eastAsiaTheme="minorHAnsi" w:hAnsi="Arial" w:cs="Arial"/>
          <w:sz w:val="22"/>
          <w:szCs w:val="22"/>
          <w:lang w:eastAsia="es-CO"/>
        </w:rPr>
      </w:pPr>
      <w:bookmarkStart w:id="1" w:name="_GoBack"/>
      <w:bookmarkEnd w:id="1"/>
    </w:p>
    <w:p w14:paraId="57EBAC87" w14:textId="1DBA34A7" w:rsidR="00C34174" w:rsidRPr="00BA7FCB" w:rsidRDefault="00C34174" w:rsidP="00C34174">
      <w:pPr>
        <w:jc w:val="both"/>
        <w:rPr>
          <w:rFonts w:ascii="Arial" w:eastAsiaTheme="minorHAnsi" w:hAnsi="Arial" w:cs="Arial"/>
          <w:sz w:val="22"/>
          <w:szCs w:val="22"/>
          <w:lang w:eastAsia="es-CO"/>
        </w:rPr>
      </w:pPr>
    </w:p>
    <w:p w14:paraId="0B829ADA" w14:textId="2C7B48CE" w:rsidR="00FB2637" w:rsidRPr="00BA7FCB" w:rsidRDefault="00FB2637" w:rsidP="00C34174">
      <w:pPr>
        <w:jc w:val="both"/>
        <w:rPr>
          <w:rFonts w:ascii="Arial" w:eastAsiaTheme="minorHAnsi" w:hAnsi="Arial" w:cs="Arial"/>
          <w:sz w:val="22"/>
          <w:szCs w:val="22"/>
          <w:lang w:eastAsia="es-CO"/>
        </w:rPr>
      </w:pPr>
    </w:p>
    <w:p w14:paraId="10A4D5BD" w14:textId="1EA87167" w:rsidR="00FB2637" w:rsidRPr="00BA7FCB" w:rsidRDefault="00FB2637" w:rsidP="00C34174">
      <w:pPr>
        <w:jc w:val="both"/>
        <w:rPr>
          <w:rFonts w:ascii="Arial" w:eastAsiaTheme="minorHAnsi" w:hAnsi="Arial" w:cs="Arial"/>
          <w:sz w:val="22"/>
          <w:szCs w:val="22"/>
          <w:lang w:eastAsia="es-CO"/>
        </w:rPr>
      </w:pPr>
    </w:p>
    <w:p w14:paraId="3F1349AB" w14:textId="61FE0960" w:rsidR="00FB2637" w:rsidRPr="00BA7FCB" w:rsidRDefault="00FB2637" w:rsidP="00C34174">
      <w:pPr>
        <w:jc w:val="both"/>
        <w:rPr>
          <w:rFonts w:ascii="Arial" w:eastAsiaTheme="minorHAnsi" w:hAnsi="Arial" w:cs="Arial"/>
          <w:sz w:val="22"/>
          <w:szCs w:val="22"/>
          <w:lang w:eastAsia="es-CO"/>
        </w:rPr>
      </w:pPr>
    </w:p>
    <w:p w14:paraId="69BA830F" w14:textId="77777777" w:rsidR="00FB2637" w:rsidRPr="00BA7FCB" w:rsidRDefault="00FB2637" w:rsidP="00C34174">
      <w:pPr>
        <w:jc w:val="both"/>
        <w:rPr>
          <w:rFonts w:ascii="Arial" w:eastAsiaTheme="minorHAnsi" w:hAnsi="Arial" w:cs="Arial"/>
          <w:sz w:val="22"/>
          <w:szCs w:val="22"/>
          <w:lang w:eastAsia="es-CO"/>
        </w:rPr>
      </w:pPr>
    </w:p>
    <w:p w14:paraId="074698C1" w14:textId="77777777" w:rsidR="00C34174" w:rsidRPr="00BA7FCB" w:rsidRDefault="00C34174" w:rsidP="00C34174">
      <w:pPr>
        <w:jc w:val="both"/>
        <w:rPr>
          <w:rFonts w:ascii="Arial" w:eastAsiaTheme="minorHAnsi" w:hAnsi="Arial" w:cs="Arial"/>
          <w:sz w:val="22"/>
          <w:szCs w:val="22"/>
          <w:lang w:eastAsia="es-CO"/>
        </w:rPr>
      </w:pPr>
    </w:p>
    <w:p w14:paraId="3A5ED232" w14:textId="77777777" w:rsidR="00C34174" w:rsidRPr="00BA7FCB" w:rsidRDefault="00C34174" w:rsidP="00C34174">
      <w:pPr>
        <w:jc w:val="both"/>
        <w:rPr>
          <w:rFonts w:ascii="Arial" w:eastAsiaTheme="minorHAnsi" w:hAnsi="Arial" w:cs="Arial"/>
          <w:sz w:val="22"/>
          <w:szCs w:val="22"/>
          <w:lang w:eastAsia="es-CO"/>
        </w:rPr>
      </w:pPr>
    </w:p>
    <w:p w14:paraId="62B296D6" w14:textId="6CB0A436" w:rsidR="00C34174" w:rsidRPr="00BA7FCB" w:rsidRDefault="00F302DE" w:rsidP="00C34174">
      <w:pPr>
        <w:jc w:val="both"/>
        <w:rPr>
          <w:rFonts w:ascii="Arial" w:eastAsiaTheme="minorHAnsi" w:hAnsi="Arial" w:cs="Arial"/>
          <w:sz w:val="22"/>
          <w:szCs w:val="22"/>
          <w:lang w:eastAsia="es-CO"/>
        </w:rPr>
      </w:pPr>
      <w:r w:rsidRPr="00BA7FCB">
        <w:rPr>
          <w:rFonts w:ascii="Arial" w:eastAsiaTheme="minorHAnsi" w:hAnsi="Arial" w:cs="Arial"/>
          <w:sz w:val="22"/>
          <w:szCs w:val="22"/>
          <w:lang w:eastAsia="es-CO"/>
        </w:rPr>
        <w:t>ANDRÉS VALENCIA PINZÓN</w:t>
      </w:r>
      <w:r w:rsidRPr="00BA7FCB">
        <w:rPr>
          <w:rFonts w:ascii="Arial" w:eastAsiaTheme="minorHAnsi" w:hAnsi="Arial" w:cs="Arial"/>
          <w:sz w:val="22"/>
          <w:szCs w:val="22"/>
          <w:lang w:eastAsia="es-CO"/>
        </w:rPr>
        <w:tab/>
      </w:r>
      <w:r w:rsidRPr="00BA7FCB">
        <w:rPr>
          <w:rFonts w:ascii="Arial" w:eastAsiaTheme="minorHAnsi" w:hAnsi="Arial" w:cs="Arial"/>
          <w:sz w:val="22"/>
          <w:szCs w:val="22"/>
          <w:lang w:eastAsia="es-CO"/>
        </w:rPr>
        <w:tab/>
      </w:r>
      <w:r w:rsidRPr="00BA7FCB">
        <w:rPr>
          <w:rFonts w:ascii="Arial" w:eastAsiaTheme="minorHAnsi" w:hAnsi="Arial" w:cs="Arial"/>
          <w:sz w:val="22"/>
          <w:szCs w:val="22"/>
          <w:lang w:eastAsia="es-CO"/>
        </w:rPr>
        <w:tab/>
        <w:t>ANDRÉ</w:t>
      </w:r>
      <w:r w:rsidR="003F241D" w:rsidRPr="00BA7FCB">
        <w:rPr>
          <w:rFonts w:ascii="Arial" w:eastAsiaTheme="minorHAnsi" w:hAnsi="Arial" w:cs="Arial"/>
          <w:sz w:val="22"/>
          <w:szCs w:val="22"/>
          <w:lang w:eastAsia="es-CO"/>
        </w:rPr>
        <w:t xml:space="preserve">S LOZANO </w:t>
      </w:r>
      <w:r w:rsidR="003F241D" w:rsidRPr="00BA7FCB">
        <w:rPr>
          <w:rFonts w:ascii="Arial" w:hAnsi="Arial" w:cs="Arial"/>
          <w:sz w:val="22"/>
          <w:szCs w:val="22"/>
        </w:rPr>
        <w:t>KARANAUSKAS</w:t>
      </w:r>
    </w:p>
    <w:p w14:paraId="7851854D" w14:textId="5ABEBC57" w:rsidR="00C34174" w:rsidRPr="003F241D" w:rsidRDefault="00C34174" w:rsidP="00C34174">
      <w:pPr>
        <w:jc w:val="both"/>
        <w:rPr>
          <w:rFonts w:ascii="Arial" w:eastAsiaTheme="minorHAnsi" w:hAnsi="Arial" w:cs="Arial"/>
          <w:bCs/>
          <w:sz w:val="22"/>
          <w:szCs w:val="22"/>
          <w:lang w:eastAsia="es-CO"/>
        </w:rPr>
      </w:pPr>
      <w:r w:rsidRPr="00BA7FCB">
        <w:rPr>
          <w:rFonts w:ascii="Arial" w:eastAsiaTheme="minorHAnsi" w:hAnsi="Arial" w:cs="Arial"/>
          <w:bCs/>
          <w:sz w:val="22"/>
          <w:szCs w:val="22"/>
          <w:lang w:eastAsia="es-CO"/>
        </w:rPr>
        <w:t xml:space="preserve">           Presidente</w:t>
      </w:r>
      <w:r w:rsidRPr="00BA7FCB">
        <w:rPr>
          <w:rFonts w:ascii="Arial" w:eastAsiaTheme="minorHAnsi" w:hAnsi="Arial" w:cs="Arial"/>
          <w:bCs/>
          <w:sz w:val="22"/>
          <w:szCs w:val="22"/>
          <w:lang w:eastAsia="es-CO"/>
        </w:rPr>
        <w:tab/>
      </w:r>
      <w:r w:rsidRPr="00BA7FCB">
        <w:rPr>
          <w:rFonts w:ascii="Arial" w:eastAsiaTheme="minorHAnsi" w:hAnsi="Arial" w:cs="Arial"/>
          <w:bCs/>
          <w:sz w:val="22"/>
          <w:szCs w:val="22"/>
          <w:lang w:eastAsia="es-CO"/>
        </w:rPr>
        <w:tab/>
      </w:r>
      <w:r w:rsidRPr="00BA7FCB">
        <w:rPr>
          <w:rFonts w:ascii="Arial" w:eastAsiaTheme="minorHAnsi" w:hAnsi="Arial" w:cs="Arial"/>
          <w:bCs/>
          <w:sz w:val="22"/>
          <w:szCs w:val="22"/>
          <w:lang w:eastAsia="es-CO"/>
        </w:rPr>
        <w:tab/>
      </w:r>
      <w:r w:rsidRPr="00BA7FCB">
        <w:rPr>
          <w:rFonts w:ascii="Arial" w:eastAsiaTheme="minorHAnsi" w:hAnsi="Arial" w:cs="Arial"/>
          <w:bCs/>
          <w:sz w:val="22"/>
          <w:szCs w:val="22"/>
          <w:lang w:eastAsia="es-CO"/>
        </w:rPr>
        <w:tab/>
      </w:r>
      <w:r w:rsidRPr="00BA7FCB">
        <w:rPr>
          <w:rFonts w:ascii="Arial" w:eastAsiaTheme="minorHAnsi" w:hAnsi="Arial" w:cs="Arial"/>
          <w:bCs/>
          <w:sz w:val="22"/>
          <w:szCs w:val="22"/>
          <w:lang w:eastAsia="es-CO"/>
        </w:rPr>
        <w:tab/>
      </w:r>
      <w:r w:rsidRPr="00BA7FCB">
        <w:rPr>
          <w:rFonts w:ascii="Arial" w:eastAsiaTheme="minorHAnsi" w:hAnsi="Arial" w:cs="Arial"/>
          <w:bCs/>
          <w:sz w:val="22"/>
          <w:szCs w:val="22"/>
          <w:lang w:eastAsia="es-CO"/>
        </w:rPr>
        <w:tab/>
        <w:t>Secretari</w:t>
      </w:r>
      <w:r w:rsidR="00CF054D" w:rsidRPr="00BA7FCB">
        <w:rPr>
          <w:rFonts w:ascii="Arial" w:eastAsiaTheme="minorHAnsi" w:hAnsi="Arial" w:cs="Arial"/>
          <w:bCs/>
          <w:sz w:val="22"/>
          <w:szCs w:val="22"/>
          <w:lang w:eastAsia="es-CO"/>
        </w:rPr>
        <w:t>o</w:t>
      </w:r>
      <w:r w:rsidRPr="00BA7FCB">
        <w:rPr>
          <w:rFonts w:ascii="Arial" w:eastAsiaTheme="minorHAnsi" w:hAnsi="Arial" w:cs="Arial"/>
          <w:bCs/>
          <w:sz w:val="22"/>
          <w:szCs w:val="22"/>
          <w:lang w:eastAsia="es-CO"/>
        </w:rPr>
        <w:t xml:space="preserve"> Técnic</w:t>
      </w:r>
      <w:r w:rsidR="00CF054D" w:rsidRPr="00BA7FCB">
        <w:rPr>
          <w:rFonts w:ascii="Arial" w:eastAsiaTheme="minorHAnsi" w:hAnsi="Arial" w:cs="Arial"/>
          <w:bCs/>
          <w:sz w:val="22"/>
          <w:szCs w:val="22"/>
          <w:lang w:eastAsia="es-CO"/>
        </w:rPr>
        <w:t>o</w:t>
      </w:r>
      <w:r w:rsidRPr="003F241D">
        <w:rPr>
          <w:rFonts w:ascii="Arial" w:eastAsiaTheme="minorHAnsi" w:hAnsi="Arial" w:cs="Arial"/>
          <w:bCs/>
          <w:sz w:val="22"/>
          <w:szCs w:val="22"/>
          <w:lang w:eastAsia="es-CO"/>
        </w:rPr>
        <w:tab/>
      </w:r>
    </w:p>
    <w:p w14:paraId="6A73DAF3" w14:textId="77777777" w:rsidR="00674E74" w:rsidRDefault="00674E74">
      <w:pPr>
        <w:rPr>
          <w:rFonts w:ascii="Arial" w:hAnsi="Arial" w:cs="Arial"/>
          <w:sz w:val="22"/>
          <w:szCs w:val="22"/>
        </w:rPr>
      </w:pPr>
    </w:p>
    <w:p w14:paraId="79A37F67" w14:textId="77777777" w:rsidR="003F241D" w:rsidRDefault="003F241D">
      <w:pPr>
        <w:rPr>
          <w:rFonts w:ascii="Arial" w:hAnsi="Arial" w:cs="Arial"/>
          <w:sz w:val="22"/>
          <w:szCs w:val="22"/>
        </w:rPr>
      </w:pPr>
    </w:p>
    <w:p w14:paraId="105B9E8A" w14:textId="77777777" w:rsidR="003F241D" w:rsidRPr="003F241D" w:rsidRDefault="003F241D" w:rsidP="00E5096D">
      <w:pPr>
        <w:widowControl/>
        <w:autoSpaceDE/>
        <w:autoSpaceDN/>
        <w:adjustRightInd/>
        <w:spacing w:after="160" w:line="259" w:lineRule="auto"/>
        <w:rPr>
          <w:rFonts w:ascii="Arial" w:hAnsi="Arial" w:cs="Arial"/>
          <w:sz w:val="22"/>
          <w:szCs w:val="22"/>
        </w:rPr>
      </w:pPr>
      <w:r w:rsidRPr="003F241D">
        <w:rPr>
          <w:rFonts w:ascii="Arial" w:hAnsi="Arial" w:cs="Arial"/>
          <w:sz w:val="22"/>
          <w:szCs w:val="22"/>
        </w:rPr>
        <w:t xml:space="preserve"> </w:t>
      </w:r>
    </w:p>
    <w:sectPr w:rsidR="003F241D" w:rsidRPr="003F241D">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537FE" w16cid:durableId="214049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770"/>
    <w:multiLevelType w:val="hybridMultilevel"/>
    <w:tmpl w:val="39EC689E"/>
    <w:lvl w:ilvl="0" w:tplc="257A106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D7109FD"/>
    <w:multiLevelType w:val="hybridMultilevel"/>
    <w:tmpl w:val="3DA44144"/>
    <w:lvl w:ilvl="0" w:tplc="5A025C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687140"/>
    <w:multiLevelType w:val="hybridMultilevel"/>
    <w:tmpl w:val="159C67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995A74"/>
    <w:multiLevelType w:val="hybridMultilevel"/>
    <w:tmpl w:val="A3429E4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74"/>
    <w:rsid w:val="000115F1"/>
    <w:rsid w:val="00017F68"/>
    <w:rsid w:val="00052FB3"/>
    <w:rsid w:val="00053AF1"/>
    <w:rsid w:val="000564D3"/>
    <w:rsid w:val="000C1036"/>
    <w:rsid w:val="000D2377"/>
    <w:rsid w:val="000E2810"/>
    <w:rsid w:val="000E2959"/>
    <w:rsid w:val="000E5CE3"/>
    <w:rsid w:val="000F2FE0"/>
    <w:rsid w:val="00100421"/>
    <w:rsid w:val="00100B68"/>
    <w:rsid w:val="00105194"/>
    <w:rsid w:val="00113E1F"/>
    <w:rsid w:val="001175E1"/>
    <w:rsid w:val="00130307"/>
    <w:rsid w:val="00154E5C"/>
    <w:rsid w:val="001855A5"/>
    <w:rsid w:val="001A22DF"/>
    <w:rsid w:val="001A51F2"/>
    <w:rsid w:val="001C6871"/>
    <w:rsid w:val="001D3677"/>
    <w:rsid w:val="001F42E7"/>
    <w:rsid w:val="001F5CB8"/>
    <w:rsid w:val="00203E1C"/>
    <w:rsid w:val="002212D1"/>
    <w:rsid w:val="00236C3A"/>
    <w:rsid w:val="00240CFE"/>
    <w:rsid w:val="002525F3"/>
    <w:rsid w:val="0025453B"/>
    <w:rsid w:val="00254F18"/>
    <w:rsid w:val="00262CBA"/>
    <w:rsid w:val="002D173A"/>
    <w:rsid w:val="00322348"/>
    <w:rsid w:val="003472CF"/>
    <w:rsid w:val="00350BE1"/>
    <w:rsid w:val="00371D61"/>
    <w:rsid w:val="0037302A"/>
    <w:rsid w:val="00385827"/>
    <w:rsid w:val="003B14DC"/>
    <w:rsid w:val="003B6016"/>
    <w:rsid w:val="003C3D61"/>
    <w:rsid w:val="003E01FE"/>
    <w:rsid w:val="003F241D"/>
    <w:rsid w:val="003F7B60"/>
    <w:rsid w:val="00424E9B"/>
    <w:rsid w:val="00462E4A"/>
    <w:rsid w:val="00482469"/>
    <w:rsid w:val="00482BDA"/>
    <w:rsid w:val="00483EAC"/>
    <w:rsid w:val="0048419E"/>
    <w:rsid w:val="00491460"/>
    <w:rsid w:val="00494991"/>
    <w:rsid w:val="00495B53"/>
    <w:rsid w:val="00587E63"/>
    <w:rsid w:val="00596F9C"/>
    <w:rsid w:val="005F0D29"/>
    <w:rsid w:val="00625941"/>
    <w:rsid w:val="00641098"/>
    <w:rsid w:val="00641AEE"/>
    <w:rsid w:val="00642EA0"/>
    <w:rsid w:val="0064367E"/>
    <w:rsid w:val="00646737"/>
    <w:rsid w:val="00654824"/>
    <w:rsid w:val="00674E74"/>
    <w:rsid w:val="006A49F6"/>
    <w:rsid w:val="006A5A67"/>
    <w:rsid w:val="006C2826"/>
    <w:rsid w:val="006E0D60"/>
    <w:rsid w:val="006E0FCB"/>
    <w:rsid w:val="00722E75"/>
    <w:rsid w:val="007239B1"/>
    <w:rsid w:val="0073001E"/>
    <w:rsid w:val="00735AAE"/>
    <w:rsid w:val="007504A1"/>
    <w:rsid w:val="00752C5F"/>
    <w:rsid w:val="0076753A"/>
    <w:rsid w:val="00774F0A"/>
    <w:rsid w:val="00790AFC"/>
    <w:rsid w:val="00791E2C"/>
    <w:rsid w:val="007A2E53"/>
    <w:rsid w:val="007C674A"/>
    <w:rsid w:val="007D2775"/>
    <w:rsid w:val="007E5FB7"/>
    <w:rsid w:val="00831C68"/>
    <w:rsid w:val="00864A5B"/>
    <w:rsid w:val="008673E8"/>
    <w:rsid w:val="0088097D"/>
    <w:rsid w:val="00885DBA"/>
    <w:rsid w:val="008874B6"/>
    <w:rsid w:val="008A7FFE"/>
    <w:rsid w:val="008C2BF4"/>
    <w:rsid w:val="009071C1"/>
    <w:rsid w:val="0090795C"/>
    <w:rsid w:val="00934136"/>
    <w:rsid w:val="0097005E"/>
    <w:rsid w:val="00975F00"/>
    <w:rsid w:val="009B224D"/>
    <w:rsid w:val="009C1226"/>
    <w:rsid w:val="009C7BFC"/>
    <w:rsid w:val="009D5EAB"/>
    <w:rsid w:val="009D7F1B"/>
    <w:rsid w:val="00A05DE2"/>
    <w:rsid w:val="00A1642A"/>
    <w:rsid w:val="00A25493"/>
    <w:rsid w:val="00A50727"/>
    <w:rsid w:val="00A65EA2"/>
    <w:rsid w:val="00A660D1"/>
    <w:rsid w:val="00A71052"/>
    <w:rsid w:val="00A84E79"/>
    <w:rsid w:val="00AA4A90"/>
    <w:rsid w:val="00AC4DEC"/>
    <w:rsid w:val="00AD4487"/>
    <w:rsid w:val="00AD4AD8"/>
    <w:rsid w:val="00AE2ABF"/>
    <w:rsid w:val="00AE2FE7"/>
    <w:rsid w:val="00AF4A8B"/>
    <w:rsid w:val="00B40C4F"/>
    <w:rsid w:val="00B60266"/>
    <w:rsid w:val="00B63928"/>
    <w:rsid w:val="00B70420"/>
    <w:rsid w:val="00B76858"/>
    <w:rsid w:val="00BA7FCB"/>
    <w:rsid w:val="00BE0E1D"/>
    <w:rsid w:val="00BF3963"/>
    <w:rsid w:val="00BF5862"/>
    <w:rsid w:val="00C30BAD"/>
    <w:rsid w:val="00C34174"/>
    <w:rsid w:val="00C44129"/>
    <w:rsid w:val="00C64D32"/>
    <w:rsid w:val="00C768A7"/>
    <w:rsid w:val="00C9083D"/>
    <w:rsid w:val="00CC3659"/>
    <w:rsid w:val="00CD17B1"/>
    <w:rsid w:val="00CF054D"/>
    <w:rsid w:val="00CF2C58"/>
    <w:rsid w:val="00D008EA"/>
    <w:rsid w:val="00D24ED0"/>
    <w:rsid w:val="00D33BB9"/>
    <w:rsid w:val="00D37764"/>
    <w:rsid w:val="00D53D7C"/>
    <w:rsid w:val="00DC02B4"/>
    <w:rsid w:val="00DF65A0"/>
    <w:rsid w:val="00E04D04"/>
    <w:rsid w:val="00E06566"/>
    <w:rsid w:val="00E15DE5"/>
    <w:rsid w:val="00E313E4"/>
    <w:rsid w:val="00E37734"/>
    <w:rsid w:val="00E5096D"/>
    <w:rsid w:val="00E67792"/>
    <w:rsid w:val="00E93A38"/>
    <w:rsid w:val="00E93D6B"/>
    <w:rsid w:val="00EB6AD2"/>
    <w:rsid w:val="00EC649A"/>
    <w:rsid w:val="00EE2798"/>
    <w:rsid w:val="00EE4FD5"/>
    <w:rsid w:val="00F2372B"/>
    <w:rsid w:val="00F302DE"/>
    <w:rsid w:val="00F37713"/>
    <w:rsid w:val="00F437DA"/>
    <w:rsid w:val="00F546E8"/>
    <w:rsid w:val="00F61944"/>
    <w:rsid w:val="00F70FA2"/>
    <w:rsid w:val="00F74FC1"/>
    <w:rsid w:val="00F8068A"/>
    <w:rsid w:val="00F97BDA"/>
    <w:rsid w:val="00FA082E"/>
    <w:rsid w:val="00FA38B6"/>
    <w:rsid w:val="00FB06D2"/>
    <w:rsid w:val="00FB2637"/>
    <w:rsid w:val="00FD3798"/>
    <w:rsid w:val="00FD749F"/>
    <w:rsid w:val="00FF5C78"/>
    <w:rsid w:val="00FF6358"/>
    <w:rsid w:val="02F9DB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DAD0"/>
  <w15:chartTrackingRefBased/>
  <w15:docId w15:val="{BF6AFDD4-7F76-40C6-BB0D-6A566E9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74"/>
    <w:pPr>
      <w:widowControl w:val="0"/>
      <w:autoSpaceDE w:val="0"/>
      <w:autoSpaceDN w:val="0"/>
      <w:adjustRightInd w:val="0"/>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C34174"/>
    <w:pPr>
      <w:widowControl/>
      <w:autoSpaceDE/>
      <w:autoSpaceDN/>
      <w:adjustRightInd/>
      <w:ind w:left="720"/>
      <w:contextualSpacing/>
    </w:pPr>
    <w:rPr>
      <w:rFonts w:eastAsia="Times New Roman"/>
    </w:rPr>
  </w:style>
  <w:style w:type="paragraph" w:styleId="Textoindependiente">
    <w:name w:val="Body Text"/>
    <w:basedOn w:val="Normal"/>
    <w:link w:val="TextoindependienteCar"/>
    <w:rsid w:val="00C34174"/>
    <w:pPr>
      <w:widowControl/>
      <w:autoSpaceDE/>
      <w:autoSpaceDN/>
      <w:adjustRightInd/>
      <w:jc w:val="both"/>
    </w:pPr>
    <w:rPr>
      <w:rFonts w:ascii="Arial" w:eastAsia="Times New Roman" w:hAnsi="Arial" w:cs="Arial"/>
    </w:rPr>
  </w:style>
  <w:style w:type="character" w:customStyle="1" w:styleId="TextoindependienteCar">
    <w:name w:val="Texto independiente Car"/>
    <w:basedOn w:val="Fuentedeprrafopredeter"/>
    <w:link w:val="Textoindependiente"/>
    <w:rsid w:val="00C34174"/>
    <w:rPr>
      <w:rFonts w:ascii="Arial" w:eastAsia="Times New Roman" w:hAnsi="Arial" w:cs="Arial"/>
      <w:sz w:val="24"/>
      <w:szCs w:val="24"/>
      <w:lang w:val="es-ES" w:eastAsia="es-ES"/>
    </w:rPr>
  </w:style>
  <w:style w:type="table" w:styleId="Tablaconcuadrcula">
    <w:name w:val="Table Grid"/>
    <w:basedOn w:val="Tablanormal"/>
    <w:uiPriority w:val="39"/>
    <w:rsid w:val="00C3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Normal"/>
    <w:uiPriority w:val="99"/>
    <w:rsid w:val="00C34174"/>
    <w:pPr>
      <w:widowControl/>
      <w:adjustRightInd/>
      <w:spacing w:line="240" w:lineRule="atLeast"/>
      <w:jc w:val="center"/>
    </w:pPr>
    <w:rPr>
      <w:rFonts w:eastAsia="Times New Roman"/>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C3417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17F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F68"/>
    <w:rPr>
      <w:rFonts w:ascii="Segoe UI" w:eastAsia="Calibri" w:hAnsi="Segoe UI" w:cs="Segoe UI"/>
      <w:sz w:val="18"/>
      <w:szCs w:val="18"/>
      <w:lang w:val="es-ES" w:eastAsia="es-ES"/>
    </w:rPr>
  </w:style>
  <w:style w:type="character" w:styleId="Refdecomentario">
    <w:name w:val="annotation reference"/>
    <w:basedOn w:val="Fuentedeprrafopredeter"/>
    <w:uiPriority w:val="99"/>
    <w:semiHidden/>
    <w:unhideWhenUsed/>
    <w:rsid w:val="00F546E8"/>
    <w:rPr>
      <w:sz w:val="16"/>
      <w:szCs w:val="16"/>
    </w:rPr>
  </w:style>
  <w:style w:type="paragraph" w:styleId="Textocomentario">
    <w:name w:val="annotation text"/>
    <w:basedOn w:val="Normal"/>
    <w:link w:val="TextocomentarioCar"/>
    <w:uiPriority w:val="99"/>
    <w:semiHidden/>
    <w:unhideWhenUsed/>
    <w:rsid w:val="00F546E8"/>
    <w:rPr>
      <w:sz w:val="20"/>
      <w:szCs w:val="20"/>
    </w:rPr>
  </w:style>
  <w:style w:type="character" w:customStyle="1" w:styleId="TextocomentarioCar">
    <w:name w:val="Texto comentario Car"/>
    <w:basedOn w:val="Fuentedeprrafopredeter"/>
    <w:link w:val="Textocomentario"/>
    <w:uiPriority w:val="99"/>
    <w:semiHidden/>
    <w:rsid w:val="00F546E8"/>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546E8"/>
    <w:rPr>
      <w:b/>
      <w:bCs/>
    </w:rPr>
  </w:style>
  <w:style w:type="character" w:customStyle="1" w:styleId="AsuntodelcomentarioCar">
    <w:name w:val="Asunto del comentario Car"/>
    <w:basedOn w:val="TextocomentarioCar"/>
    <w:link w:val="Asuntodelcomentario"/>
    <w:uiPriority w:val="99"/>
    <w:semiHidden/>
    <w:rsid w:val="00F546E8"/>
    <w:rPr>
      <w:rFonts w:ascii="Times New Roman" w:eastAsia="Calibri" w:hAnsi="Times New Roman" w:cs="Times New Roman"/>
      <w:b/>
      <w:bCs/>
      <w:sz w:val="20"/>
      <w:szCs w:val="20"/>
      <w:lang w:val="es-ES" w:eastAsia="es-ES"/>
    </w:rPr>
  </w:style>
  <w:style w:type="table" w:customStyle="1" w:styleId="Tabladecuadrcula4-nfasis641">
    <w:name w:val="Tabla de cuadrícula 4 - Énfasis 641"/>
    <w:basedOn w:val="Tablanormal"/>
    <w:next w:val="Tabladecuadrcula4-nfasis6"/>
    <w:uiPriority w:val="49"/>
    <w:rsid w:val="00262CBA"/>
    <w:pPr>
      <w:spacing w:after="0" w:line="240" w:lineRule="auto"/>
    </w:pPr>
    <w:rPr>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262C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0F2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9634">
      <w:bodyDiv w:val="1"/>
      <w:marLeft w:val="0"/>
      <w:marRight w:val="0"/>
      <w:marTop w:val="0"/>
      <w:marBottom w:val="0"/>
      <w:divBdr>
        <w:top w:val="none" w:sz="0" w:space="0" w:color="auto"/>
        <w:left w:val="none" w:sz="0" w:space="0" w:color="auto"/>
        <w:bottom w:val="none" w:sz="0" w:space="0" w:color="auto"/>
        <w:right w:val="none" w:sz="0" w:space="0" w:color="auto"/>
      </w:divBdr>
    </w:div>
    <w:div w:id="14899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2F9C-ED2F-456C-BC88-440614E8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Lorena Hurtado Beltrán</dc:creator>
  <cp:keywords/>
  <dc:description/>
  <cp:lastModifiedBy>Andres Lozano</cp:lastModifiedBy>
  <cp:revision>5</cp:revision>
  <dcterms:created xsi:type="dcterms:W3CDTF">2019-10-06T21:30:00Z</dcterms:created>
  <dcterms:modified xsi:type="dcterms:W3CDTF">2019-10-06T21:31:00Z</dcterms:modified>
</cp:coreProperties>
</file>