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CA4" w:rsidRPr="00F10E3A" w:rsidRDefault="00AB3CA4" w:rsidP="00AB3CA4">
      <w:pPr>
        <w:pStyle w:val="Ttulo1"/>
        <w:spacing w:before="75"/>
        <w:ind w:left="0" w:right="81"/>
      </w:pPr>
      <w:bookmarkStart w:id="0" w:name="_GoBack"/>
      <w:bookmarkEnd w:id="0"/>
      <w:r w:rsidRPr="00F10E3A">
        <w:t>REPÚBLICA DE</w:t>
      </w:r>
      <w:r w:rsidRPr="00F10E3A">
        <w:rPr>
          <w:spacing w:val="-5"/>
        </w:rPr>
        <w:t xml:space="preserve"> </w:t>
      </w:r>
      <w:r w:rsidRPr="00F10E3A">
        <w:t>COLOMBIA</w:t>
      </w:r>
    </w:p>
    <w:p w:rsidR="00AB3CA4" w:rsidRPr="00F10E3A" w:rsidRDefault="00AB3CA4" w:rsidP="00AB3CA4">
      <w:pPr>
        <w:pStyle w:val="Textoindependiente"/>
        <w:spacing w:before="1"/>
        <w:ind w:right="81"/>
        <w:rPr>
          <w:b/>
        </w:rPr>
      </w:pPr>
    </w:p>
    <w:p w:rsidR="00AB3CA4" w:rsidRPr="00F10E3A" w:rsidRDefault="00AB3CA4" w:rsidP="00AB3CA4">
      <w:pPr>
        <w:spacing w:line="477" w:lineRule="auto"/>
        <w:ind w:right="81"/>
        <w:jc w:val="center"/>
        <w:rPr>
          <w:b/>
        </w:rPr>
      </w:pPr>
      <w:r w:rsidRPr="00F10E3A">
        <w:rPr>
          <w:b/>
        </w:rPr>
        <w:t>COMISIÓN NACIONAL DE CRÉDITO</w:t>
      </w:r>
      <w:r w:rsidRPr="00F10E3A">
        <w:rPr>
          <w:b/>
          <w:spacing w:val="-23"/>
        </w:rPr>
        <w:t xml:space="preserve"> </w:t>
      </w:r>
      <w:r w:rsidRPr="00F10E3A">
        <w:rPr>
          <w:b/>
        </w:rPr>
        <w:t xml:space="preserve">AGROPECUARIO </w:t>
      </w:r>
    </w:p>
    <w:p w:rsidR="00773AFB" w:rsidRPr="00F10E3A" w:rsidRDefault="00773AFB" w:rsidP="00773AFB">
      <w:pPr>
        <w:pStyle w:val="c5"/>
        <w:tabs>
          <w:tab w:val="left" w:pos="204"/>
        </w:tabs>
        <w:spacing w:line="240" w:lineRule="auto"/>
        <w:rPr>
          <w:rFonts w:ascii="Arial" w:hAnsi="Arial" w:cs="Arial"/>
          <w:b/>
          <w:color w:val="000000" w:themeColor="text1"/>
          <w:sz w:val="22"/>
          <w:szCs w:val="22"/>
          <w:lang w:val="es-CO"/>
        </w:rPr>
      </w:pPr>
      <w:r w:rsidRPr="00F10E3A">
        <w:rPr>
          <w:rFonts w:ascii="Arial" w:hAnsi="Arial" w:cs="Arial"/>
          <w:b/>
          <w:color w:val="000000" w:themeColor="text1"/>
          <w:sz w:val="22"/>
          <w:szCs w:val="22"/>
          <w:lang w:val="es-CO"/>
        </w:rPr>
        <w:t>RESOLUCIÓN No. ___ DE 2019</w:t>
      </w:r>
    </w:p>
    <w:p w:rsidR="00773AFB" w:rsidRPr="00F10E3A" w:rsidRDefault="00773AFB" w:rsidP="00773AFB">
      <w:pPr>
        <w:pStyle w:val="c5"/>
        <w:tabs>
          <w:tab w:val="left" w:pos="204"/>
        </w:tabs>
        <w:spacing w:line="240" w:lineRule="auto"/>
        <w:rPr>
          <w:rFonts w:ascii="Arial" w:hAnsi="Arial" w:cs="Arial"/>
          <w:b/>
          <w:color w:val="000000" w:themeColor="text1"/>
          <w:sz w:val="22"/>
          <w:szCs w:val="22"/>
          <w:lang w:val="es-CO"/>
        </w:rPr>
      </w:pPr>
      <w:r w:rsidRPr="00F10E3A">
        <w:rPr>
          <w:rFonts w:ascii="Arial" w:hAnsi="Arial" w:cs="Arial"/>
          <w:b/>
          <w:color w:val="000000" w:themeColor="text1"/>
          <w:sz w:val="22"/>
          <w:szCs w:val="22"/>
          <w:lang w:val="es-CO"/>
        </w:rPr>
        <w:t>(_________)</w:t>
      </w:r>
    </w:p>
    <w:p w:rsidR="00AB3CA4" w:rsidRPr="00F10E3A" w:rsidRDefault="00AB3CA4" w:rsidP="00AB3CA4">
      <w:pPr>
        <w:pStyle w:val="Textoindependiente"/>
        <w:spacing w:before="7"/>
        <w:ind w:right="81"/>
        <w:rPr>
          <w:b/>
        </w:rPr>
      </w:pPr>
    </w:p>
    <w:p w:rsidR="00AB3CA4" w:rsidRPr="00F10E3A" w:rsidRDefault="00AB3CA4" w:rsidP="00773AFB">
      <w:pPr>
        <w:pStyle w:val="c5"/>
        <w:tabs>
          <w:tab w:val="left" w:pos="1479"/>
        </w:tabs>
        <w:spacing w:line="240" w:lineRule="auto"/>
        <w:rPr>
          <w:rFonts w:ascii="Arial" w:eastAsia="Arial" w:hAnsi="Arial" w:cs="Arial"/>
          <w:i/>
          <w:sz w:val="22"/>
          <w:szCs w:val="22"/>
          <w:lang w:eastAsia="es-CO" w:bidi="es-CO"/>
        </w:rPr>
      </w:pPr>
      <w:r w:rsidRPr="00F10E3A">
        <w:rPr>
          <w:rFonts w:ascii="Arial" w:hAnsi="Arial" w:cs="Arial"/>
          <w:i/>
          <w:sz w:val="22"/>
          <w:szCs w:val="22"/>
        </w:rPr>
        <w:t xml:space="preserve">"Por la cual se establece la línea de crédito </w:t>
      </w:r>
      <w:r w:rsidR="00C47E1E" w:rsidRPr="00F10E3A">
        <w:rPr>
          <w:rFonts w:ascii="Arial" w:hAnsi="Arial" w:cs="Arial"/>
          <w:i/>
          <w:sz w:val="22"/>
          <w:szCs w:val="22"/>
        </w:rPr>
        <w:t>para financiar el pago de pasivos no financieros a cargo de productores agropecuarios</w:t>
      </w:r>
      <w:r w:rsidR="0004553D" w:rsidRPr="00F10E3A">
        <w:rPr>
          <w:rFonts w:ascii="Arial" w:hAnsi="Arial" w:cs="Arial"/>
          <w:i/>
          <w:sz w:val="22"/>
          <w:szCs w:val="22"/>
        </w:rPr>
        <w:t xml:space="preserve">, </w:t>
      </w:r>
      <w:r w:rsidR="00893B36" w:rsidRPr="00F10E3A">
        <w:rPr>
          <w:rFonts w:ascii="Arial" w:hAnsi="Arial" w:cs="Arial"/>
          <w:i/>
          <w:sz w:val="22"/>
          <w:szCs w:val="22"/>
        </w:rPr>
        <w:t xml:space="preserve">acuícolas, </w:t>
      </w:r>
      <w:r w:rsidR="000F51B7" w:rsidRPr="00F10E3A">
        <w:rPr>
          <w:rFonts w:ascii="Arial" w:hAnsi="Arial" w:cs="Arial"/>
          <w:i/>
          <w:sz w:val="22"/>
          <w:szCs w:val="22"/>
        </w:rPr>
        <w:t>piscícolas</w:t>
      </w:r>
      <w:r w:rsidR="0004553D" w:rsidRPr="00F10E3A">
        <w:rPr>
          <w:rFonts w:ascii="Arial" w:hAnsi="Arial" w:cs="Arial"/>
          <w:i/>
          <w:sz w:val="22"/>
          <w:szCs w:val="22"/>
        </w:rPr>
        <w:t xml:space="preserve"> </w:t>
      </w:r>
      <w:r w:rsidR="006606AB" w:rsidRPr="00F10E3A">
        <w:rPr>
          <w:rFonts w:ascii="Arial" w:hAnsi="Arial" w:cs="Arial"/>
          <w:i/>
          <w:sz w:val="22"/>
          <w:szCs w:val="22"/>
        </w:rPr>
        <w:t>y</w:t>
      </w:r>
      <w:r w:rsidR="0004553D" w:rsidRPr="00F10E3A">
        <w:rPr>
          <w:rFonts w:ascii="Arial" w:hAnsi="Arial" w:cs="Arial"/>
          <w:i/>
          <w:sz w:val="22"/>
          <w:szCs w:val="22"/>
        </w:rPr>
        <w:t xml:space="preserve"> pesqueros</w:t>
      </w:r>
      <w:r w:rsidR="00C47E1E" w:rsidRPr="00F10E3A">
        <w:rPr>
          <w:rFonts w:ascii="Arial" w:hAnsi="Arial" w:cs="Arial"/>
          <w:i/>
          <w:sz w:val="22"/>
          <w:szCs w:val="22"/>
        </w:rPr>
        <w:t xml:space="preserve"> en los departamentos de </w:t>
      </w:r>
      <w:r w:rsidR="006C4F15">
        <w:rPr>
          <w:rFonts w:ascii="Arial" w:hAnsi="Arial" w:cs="Arial"/>
          <w:i/>
          <w:sz w:val="22"/>
          <w:szCs w:val="22"/>
        </w:rPr>
        <w:t>Guaviare</w:t>
      </w:r>
      <w:r w:rsidR="00773AFB" w:rsidRPr="00F10E3A">
        <w:rPr>
          <w:rFonts w:ascii="Arial" w:hAnsi="Arial" w:cs="Arial"/>
          <w:i/>
          <w:sz w:val="22"/>
          <w:szCs w:val="22"/>
        </w:rPr>
        <w:t xml:space="preserve">, Meta y los municipios de Medina, </w:t>
      </w:r>
      <w:proofErr w:type="spellStart"/>
      <w:r w:rsidR="00773AFB" w:rsidRPr="00F10E3A">
        <w:rPr>
          <w:rFonts w:ascii="Arial" w:hAnsi="Arial" w:cs="Arial"/>
          <w:i/>
          <w:sz w:val="22"/>
          <w:szCs w:val="22"/>
        </w:rPr>
        <w:t>Quetame</w:t>
      </w:r>
      <w:proofErr w:type="spellEnd"/>
      <w:r w:rsidR="00773AFB" w:rsidRPr="00F10E3A">
        <w:rPr>
          <w:rFonts w:ascii="Arial" w:hAnsi="Arial" w:cs="Arial"/>
          <w:i/>
          <w:sz w:val="22"/>
          <w:szCs w:val="22"/>
        </w:rPr>
        <w:t xml:space="preserve">, </w:t>
      </w:r>
      <w:proofErr w:type="spellStart"/>
      <w:r w:rsidR="00773AFB" w:rsidRPr="00F10E3A">
        <w:rPr>
          <w:rFonts w:ascii="Arial" w:hAnsi="Arial" w:cs="Arial"/>
          <w:i/>
          <w:sz w:val="22"/>
          <w:szCs w:val="22"/>
        </w:rPr>
        <w:t>Paratebueno</w:t>
      </w:r>
      <w:proofErr w:type="spellEnd"/>
      <w:r w:rsidR="00773AFB" w:rsidRPr="00F10E3A">
        <w:rPr>
          <w:rFonts w:ascii="Arial" w:hAnsi="Arial" w:cs="Arial"/>
          <w:i/>
          <w:sz w:val="22"/>
          <w:szCs w:val="22"/>
        </w:rPr>
        <w:t xml:space="preserve"> y </w:t>
      </w:r>
      <w:proofErr w:type="spellStart"/>
      <w:r w:rsidR="00773AFB" w:rsidRPr="00F10E3A">
        <w:rPr>
          <w:rFonts w:ascii="Arial" w:hAnsi="Arial" w:cs="Arial"/>
          <w:i/>
          <w:sz w:val="22"/>
          <w:szCs w:val="22"/>
        </w:rPr>
        <w:t>Guayabetal</w:t>
      </w:r>
      <w:proofErr w:type="spellEnd"/>
      <w:r w:rsidR="00773AFB" w:rsidRPr="00F10E3A">
        <w:rPr>
          <w:rFonts w:ascii="Arial" w:hAnsi="Arial" w:cs="Arial"/>
          <w:i/>
          <w:sz w:val="22"/>
          <w:szCs w:val="22"/>
        </w:rPr>
        <w:t xml:space="preserve"> (Cundinamarca) y Villanueva (Casanare)</w:t>
      </w:r>
      <w:r w:rsidR="00773AFB" w:rsidRPr="00F10E3A">
        <w:rPr>
          <w:rFonts w:ascii="Arial" w:eastAsia="Arial" w:hAnsi="Arial" w:cs="Arial"/>
          <w:i/>
          <w:sz w:val="22"/>
          <w:szCs w:val="22"/>
          <w:lang w:eastAsia="es-CO" w:bidi="es-CO"/>
        </w:rPr>
        <w:t xml:space="preserve"> </w:t>
      </w:r>
      <w:r w:rsidR="00C47E1E" w:rsidRPr="00F10E3A">
        <w:rPr>
          <w:rFonts w:ascii="Arial" w:hAnsi="Arial" w:cs="Arial"/>
          <w:i/>
          <w:sz w:val="22"/>
          <w:szCs w:val="22"/>
        </w:rPr>
        <w:t xml:space="preserve">afectados </w:t>
      </w:r>
      <w:r w:rsidR="00773AFB" w:rsidRPr="00F10E3A">
        <w:rPr>
          <w:rFonts w:ascii="Arial" w:hAnsi="Arial" w:cs="Arial"/>
          <w:i/>
          <w:sz w:val="22"/>
          <w:szCs w:val="22"/>
        </w:rPr>
        <w:t xml:space="preserve">el cierre de la Vía al </w:t>
      </w:r>
      <w:proofErr w:type="gramStart"/>
      <w:r w:rsidR="00773AFB" w:rsidRPr="00F10E3A">
        <w:rPr>
          <w:rFonts w:ascii="Arial" w:hAnsi="Arial" w:cs="Arial"/>
          <w:i/>
          <w:sz w:val="22"/>
          <w:szCs w:val="22"/>
        </w:rPr>
        <w:t>Llano</w:t>
      </w:r>
      <w:r w:rsidR="002528CA" w:rsidRPr="00F10E3A">
        <w:rPr>
          <w:rFonts w:ascii="Arial" w:hAnsi="Arial" w:cs="Arial"/>
          <w:i/>
          <w:sz w:val="22"/>
          <w:szCs w:val="22"/>
        </w:rPr>
        <w:t xml:space="preserve"> </w:t>
      </w:r>
      <w:r w:rsidRPr="00F10E3A">
        <w:rPr>
          <w:rFonts w:ascii="Arial" w:hAnsi="Arial" w:cs="Arial"/>
          <w:i/>
          <w:sz w:val="22"/>
          <w:szCs w:val="22"/>
        </w:rPr>
        <w:t>”</w:t>
      </w:r>
      <w:proofErr w:type="gramEnd"/>
    </w:p>
    <w:p w:rsidR="00AB3CA4" w:rsidRPr="00F10E3A" w:rsidRDefault="00AB3CA4" w:rsidP="00773AFB">
      <w:pPr>
        <w:pStyle w:val="Textoindependiente"/>
        <w:spacing w:before="10"/>
        <w:ind w:right="81"/>
        <w:jc w:val="center"/>
        <w:rPr>
          <w:i/>
        </w:rPr>
      </w:pPr>
    </w:p>
    <w:p w:rsidR="00AB3CA4" w:rsidRPr="00F10E3A" w:rsidRDefault="00AB3CA4" w:rsidP="00AB3CA4">
      <w:pPr>
        <w:pStyle w:val="Ttulo1"/>
        <w:ind w:left="0" w:right="81"/>
      </w:pPr>
    </w:p>
    <w:p w:rsidR="00AB3CA4" w:rsidRPr="00F10E3A" w:rsidRDefault="00AB3CA4" w:rsidP="00AB3CA4">
      <w:pPr>
        <w:pStyle w:val="Ttulo1"/>
        <w:ind w:left="0" w:right="81"/>
      </w:pPr>
      <w:r w:rsidRPr="00F10E3A">
        <w:t>LA COMISIÓN NACIONAL DE CRÉDITO AGROPECUARIO</w:t>
      </w:r>
    </w:p>
    <w:p w:rsidR="00787ACA" w:rsidRPr="00F10E3A" w:rsidRDefault="00787ACA" w:rsidP="00764095"/>
    <w:p w:rsidR="00764095" w:rsidRPr="00F10E3A" w:rsidRDefault="00764095" w:rsidP="00764095">
      <w:r w:rsidRPr="00F10E3A">
        <w:t xml:space="preserve">En ejercicio de las facultades conferidas </w:t>
      </w:r>
      <w:bookmarkStart w:id="1" w:name="_Hlk531618272"/>
      <w:r w:rsidR="000A65D3" w:rsidRPr="00F10E3A">
        <w:t>por</w:t>
      </w:r>
      <w:r w:rsidRPr="00F10E3A">
        <w:t xml:space="preserve"> los artículos 218 y 220 del Estatuto Orgánico del Sistema Financiero, el Decreto Ley 2371 de 2015 </w:t>
      </w:r>
      <w:bookmarkEnd w:id="1"/>
      <w:r w:rsidRPr="00F10E3A">
        <w:t xml:space="preserve">y el Decreto 1313 de 1990 y, </w:t>
      </w:r>
    </w:p>
    <w:p w:rsidR="00764095" w:rsidRPr="00F10E3A" w:rsidRDefault="00764095" w:rsidP="00AB3CA4">
      <w:pPr>
        <w:pStyle w:val="Textoindependiente"/>
        <w:ind w:right="81"/>
        <w:jc w:val="center"/>
      </w:pPr>
    </w:p>
    <w:p w:rsidR="00AB3CA4" w:rsidRPr="00F10E3A" w:rsidRDefault="00AB3CA4" w:rsidP="00AB3CA4">
      <w:pPr>
        <w:pStyle w:val="Textoindependiente"/>
        <w:spacing w:before="9"/>
        <w:ind w:right="81"/>
      </w:pPr>
    </w:p>
    <w:p w:rsidR="00AB3CA4" w:rsidRPr="00F10E3A" w:rsidRDefault="00AB3CA4" w:rsidP="00AB3CA4">
      <w:pPr>
        <w:pStyle w:val="Ttulo1"/>
        <w:ind w:left="0" w:right="81"/>
      </w:pPr>
      <w:r w:rsidRPr="00F10E3A">
        <w:t>CONSIDERANDO</w:t>
      </w:r>
    </w:p>
    <w:p w:rsidR="00AB3CA4" w:rsidRPr="00F10E3A" w:rsidRDefault="00AB3CA4" w:rsidP="00AB3CA4">
      <w:pPr>
        <w:pStyle w:val="Textoindependiente"/>
        <w:spacing w:before="3"/>
        <w:ind w:right="81"/>
        <w:rPr>
          <w:b/>
        </w:rPr>
      </w:pPr>
    </w:p>
    <w:p w:rsidR="00543B34" w:rsidRPr="00F10E3A" w:rsidRDefault="00543B34" w:rsidP="00543B34">
      <w:pPr>
        <w:spacing w:line="0" w:lineRule="atLeast"/>
        <w:rPr>
          <w:rFonts w:cs="Arial"/>
          <w:snapToGrid w:val="0"/>
        </w:rPr>
      </w:pPr>
      <w:r w:rsidRPr="00F10E3A">
        <w:rPr>
          <w:rFonts w:cs="Arial"/>
          <w:b/>
          <w:snapToGrid w:val="0"/>
        </w:rPr>
        <w:t xml:space="preserve">Primero. </w:t>
      </w:r>
      <w:r w:rsidRPr="00F10E3A">
        <w:rPr>
          <w:rFonts w:cs="Arial"/>
          <w:snapToGrid w:val="0"/>
        </w:rPr>
        <w:t>Que de acuerdo con lo dispuesto en el numeral 2. del artículo 218 del Estatuto Orgánico del Sistema Financiero, modificado por el artículo 2o. del Decreto Ley 2371 de 2015, la Comisión Nacional de Crédito Agropecuario - CNCA, podrá:</w:t>
      </w:r>
    </w:p>
    <w:p w:rsidR="00543B34" w:rsidRPr="00F10E3A" w:rsidRDefault="00543B34" w:rsidP="00543B34">
      <w:pPr>
        <w:spacing w:line="0" w:lineRule="atLeast"/>
        <w:rPr>
          <w:rFonts w:cs="Arial"/>
          <w:snapToGrid w:val="0"/>
        </w:rPr>
      </w:pPr>
    </w:p>
    <w:p w:rsidR="00543B34" w:rsidRPr="00F10E3A" w:rsidRDefault="00543B34" w:rsidP="00543B34">
      <w:pPr>
        <w:spacing w:line="0" w:lineRule="atLeast"/>
        <w:rPr>
          <w:rFonts w:cs="Arial"/>
          <w:i/>
          <w:snapToGrid w:val="0"/>
        </w:rPr>
      </w:pPr>
      <w:r w:rsidRPr="00F10E3A">
        <w:rPr>
          <w:rFonts w:cs="Arial"/>
          <w:i/>
          <w:snapToGrid w:val="0"/>
        </w:rPr>
        <w:t>“(…)</w:t>
      </w:r>
    </w:p>
    <w:p w:rsidR="00543B34" w:rsidRPr="00F10E3A" w:rsidRDefault="00543B34" w:rsidP="00543B34">
      <w:pPr>
        <w:spacing w:line="120" w:lineRule="auto"/>
        <w:rPr>
          <w:rFonts w:cs="Arial"/>
          <w:i/>
          <w:color w:val="000000"/>
        </w:rPr>
      </w:pPr>
    </w:p>
    <w:p w:rsidR="00543B34" w:rsidRPr="00F10E3A" w:rsidRDefault="00543B34" w:rsidP="00543B34">
      <w:pPr>
        <w:rPr>
          <w:rFonts w:cs="Arial"/>
          <w:i/>
          <w:color w:val="000000" w:themeColor="text1"/>
        </w:rPr>
      </w:pPr>
      <w:r w:rsidRPr="00F10E3A">
        <w:rPr>
          <w:rFonts w:cs="Arial"/>
          <w:i/>
          <w:color w:val="000000"/>
        </w:rPr>
        <w:t>b) Establecer las actividades, los costos y los porcentajes de estos últimos que podrán ser objeto de financiación por parte de las entidades que integran el Sistema Nacional de Crédito Agropecuario. </w:t>
      </w:r>
    </w:p>
    <w:p w:rsidR="00543B34" w:rsidRPr="00F10E3A" w:rsidRDefault="00543B34" w:rsidP="00543B34">
      <w:pPr>
        <w:spacing w:line="120" w:lineRule="auto"/>
        <w:rPr>
          <w:rFonts w:cs="Arial"/>
          <w:i/>
          <w:color w:val="000000"/>
        </w:rPr>
      </w:pPr>
    </w:p>
    <w:p w:rsidR="00543B34" w:rsidRPr="00F10E3A" w:rsidRDefault="00543B34" w:rsidP="00543B34">
      <w:pPr>
        <w:rPr>
          <w:rFonts w:cs="Arial"/>
          <w:i/>
          <w:color w:val="000000" w:themeColor="text1"/>
        </w:rPr>
      </w:pPr>
      <w:r w:rsidRPr="00F10E3A">
        <w:rPr>
          <w:rFonts w:cs="Arial"/>
          <w:i/>
          <w:color w:val="000000"/>
        </w:rPr>
        <w:t>c) Fijar, dentro de los límites de carácter general que señale la Junta Directiva del Banco de la República, las políticas sobre las tasas de interés que se cobrarán a los usuarios del crédito por parte de las entidades que integran el Sistema Nacional de Crédito Agropecuario. </w:t>
      </w:r>
    </w:p>
    <w:p w:rsidR="00543B34" w:rsidRPr="00F10E3A" w:rsidRDefault="00543B34" w:rsidP="00543B34">
      <w:pPr>
        <w:spacing w:line="120" w:lineRule="auto"/>
        <w:rPr>
          <w:rFonts w:cs="Arial"/>
          <w:i/>
          <w:color w:val="000000"/>
        </w:rPr>
      </w:pPr>
    </w:p>
    <w:p w:rsidR="00543B34" w:rsidRPr="00F10E3A" w:rsidRDefault="00543B34" w:rsidP="00543B34">
      <w:pPr>
        <w:rPr>
          <w:rFonts w:cs="Arial"/>
          <w:i/>
          <w:color w:val="000000"/>
        </w:rPr>
      </w:pPr>
      <w:r w:rsidRPr="00F10E3A">
        <w:rPr>
          <w:rFonts w:cs="Arial"/>
          <w:i/>
          <w:color w:val="000000"/>
        </w:rPr>
        <w:t>(…)</w:t>
      </w:r>
    </w:p>
    <w:p w:rsidR="00543B34" w:rsidRPr="00F10E3A" w:rsidRDefault="00543B34" w:rsidP="00543B34">
      <w:pPr>
        <w:spacing w:line="120" w:lineRule="auto"/>
        <w:rPr>
          <w:rFonts w:cs="Arial"/>
          <w:i/>
          <w:color w:val="000000"/>
        </w:rPr>
      </w:pPr>
    </w:p>
    <w:p w:rsidR="00543B34" w:rsidRPr="00F10E3A" w:rsidRDefault="00543B34" w:rsidP="00543B34">
      <w:pPr>
        <w:rPr>
          <w:rFonts w:cs="Arial"/>
          <w:i/>
          <w:color w:val="000000"/>
        </w:rPr>
      </w:pPr>
      <w:r w:rsidRPr="00F10E3A">
        <w:rPr>
          <w:rFonts w:cs="Arial"/>
          <w:i/>
          <w:color w:val="000000"/>
        </w:rPr>
        <w:t>f) Fijar las tasas y márgenes de redescuento de las operaciones que apruebe FINAGRO.</w:t>
      </w:r>
    </w:p>
    <w:p w:rsidR="00543B34" w:rsidRPr="00F10E3A" w:rsidRDefault="00543B34" w:rsidP="00543B34">
      <w:pPr>
        <w:spacing w:line="120" w:lineRule="auto"/>
        <w:rPr>
          <w:rFonts w:cs="Arial"/>
          <w:i/>
          <w:color w:val="000000"/>
        </w:rPr>
      </w:pPr>
    </w:p>
    <w:p w:rsidR="00543B34" w:rsidRPr="00F10E3A" w:rsidRDefault="00543B34" w:rsidP="00543B34">
      <w:pPr>
        <w:rPr>
          <w:rFonts w:cs="Arial"/>
          <w:i/>
          <w:color w:val="000000" w:themeColor="text1"/>
        </w:rPr>
      </w:pPr>
      <w:r w:rsidRPr="00F10E3A">
        <w:rPr>
          <w:rFonts w:cs="Arial"/>
          <w:i/>
          <w:color w:val="000000"/>
        </w:rPr>
        <w:t>(…)”</w:t>
      </w:r>
    </w:p>
    <w:p w:rsidR="00543B34" w:rsidRPr="00F10E3A" w:rsidRDefault="00543B34" w:rsidP="00543B34">
      <w:pPr>
        <w:spacing w:line="0" w:lineRule="atLeast"/>
        <w:rPr>
          <w:rFonts w:cs="Arial"/>
          <w:snapToGrid w:val="0"/>
        </w:rPr>
      </w:pPr>
    </w:p>
    <w:p w:rsidR="00543B34" w:rsidRPr="00F10E3A" w:rsidRDefault="00543B34" w:rsidP="00543B34">
      <w:r w:rsidRPr="00F10E3A">
        <w:rPr>
          <w:b/>
        </w:rPr>
        <w:t xml:space="preserve">Segundo. </w:t>
      </w:r>
      <w:r w:rsidRPr="00F10E3A">
        <w:t>Que de acuerdo con lo dispuesto en el artículo 220 del Estatuto Orgánico del Sistema Financiero, la CNCA “</w:t>
      </w:r>
      <w:r w:rsidRPr="00F10E3A">
        <w:rPr>
          <w:i/>
        </w:rPr>
        <w:t>definirá las líneas de crédito que otorgarán las entidades que integran el Sistema Nacional de Crédito Agropecuario, y las instituciones bancarias y financieras debidamente autorizadas por la Superintendencia Bancaria, para conceder créditos con destino al sector agropecuario, afines y similares</w:t>
      </w:r>
      <w:r w:rsidRPr="00F10E3A">
        <w:t xml:space="preserve"> (…)”.</w:t>
      </w:r>
    </w:p>
    <w:p w:rsidR="00543B34" w:rsidRPr="00F10E3A" w:rsidRDefault="00543B34" w:rsidP="00543B34"/>
    <w:p w:rsidR="00543B34" w:rsidRPr="00F10E3A" w:rsidRDefault="00543B34" w:rsidP="00543B34">
      <w:pPr>
        <w:rPr>
          <w:rFonts w:cs="Arial"/>
          <w:color w:val="000000" w:themeColor="text1"/>
        </w:rPr>
      </w:pPr>
      <w:r w:rsidRPr="00F10E3A">
        <w:rPr>
          <w:rFonts w:cs="Arial"/>
          <w:b/>
          <w:color w:val="000000" w:themeColor="text1"/>
        </w:rPr>
        <w:t xml:space="preserve">Tercero. </w:t>
      </w:r>
      <w:r w:rsidRPr="00F10E3A">
        <w:rPr>
          <w:rFonts w:cs="Arial"/>
          <w:color w:val="000000" w:themeColor="text1"/>
        </w:rPr>
        <w:t>Que</w:t>
      </w:r>
      <w:r w:rsidR="005E2119" w:rsidRPr="00F10E3A">
        <w:rPr>
          <w:rFonts w:cs="Arial"/>
          <w:color w:val="000000" w:themeColor="text1"/>
        </w:rPr>
        <w:t xml:space="preserve"> </w:t>
      </w:r>
      <w:r w:rsidR="0010314E" w:rsidRPr="00F10E3A">
        <w:rPr>
          <w:rFonts w:cs="Arial"/>
          <w:color w:val="000000" w:themeColor="text1"/>
        </w:rPr>
        <w:t>se ha</w:t>
      </w:r>
      <w:r w:rsidR="0020625E" w:rsidRPr="00F10E3A">
        <w:rPr>
          <w:rFonts w:cs="Arial"/>
          <w:color w:val="000000" w:themeColor="text1"/>
        </w:rPr>
        <w:t>n</w:t>
      </w:r>
      <w:r w:rsidR="0010314E" w:rsidRPr="00F10E3A">
        <w:rPr>
          <w:rFonts w:cs="Arial"/>
          <w:color w:val="000000" w:themeColor="text1"/>
        </w:rPr>
        <w:t xml:space="preserve"> venido presentando cierres parciales </w:t>
      </w:r>
      <w:r w:rsidR="00EC7D15" w:rsidRPr="00F10E3A">
        <w:rPr>
          <w:rFonts w:cs="Arial"/>
          <w:color w:val="000000" w:themeColor="text1"/>
          <w:szCs w:val="22"/>
        </w:rPr>
        <w:t>de la Vía al Llano</w:t>
      </w:r>
      <w:r w:rsidR="00D33416" w:rsidRPr="00F10E3A">
        <w:t xml:space="preserve"> </w:t>
      </w:r>
      <w:r w:rsidR="0020625E" w:rsidRPr="00F10E3A">
        <w:t>y se ha declarado el cierre total a</w:t>
      </w:r>
      <w:r w:rsidR="00315261" w:rsidRPr="00F10E3A">
        <w:rPr>
          <w:rFonts w:cs="Arial"/>
          <w:color w:val="000000" w:themeColor="text1"/>
        </w:rPr>
        <w:t xml:space="preserve"> partir del</w:t>
      </w:r>
      <w:r w:rsidR="00D33416" w:rsidRPr="00F10E3A">
        <w:rPr>
          <w:rFonts w:cs="Arial"/>
          <w:color w:val="000000" w:themeColor="text1"/>
        </w:rPr>
        <w:t xml:space="preserve"> </w:t>
      </w:r>
      <w:r w:rsidR="00315261" w:rsidRPr="00F10E3A">
        <w:t>14</w:t>
      </w:r>
      <w:r w:rsidR="00D33416" w:rsidRPr="00F10E3A">
        <w:t xml:space="preserve"> de </w:t>
      </w:r>
      <w:r w:rsidR="00315261" w:rsidRPr="00F10E3A">
        <w:t>junio de 2019</w:t>
      </w:r>
      <w:r w:rsidR="00A3030B" w:rsidRPr="00F10E3A">
        <w:t>, lo cual</w:t>
      </w:r>
      <w:r w:rsidR="00D33416" w:rsidRPr="00F10E3A">
        <w:t xml:space="preserve"> </w:t>
      </w:r>
      <w:r w:rsidR="00293A09" w:rsidRPr="00F10E3A">
        <w:t>ha</w:t>
      </w:r>
      <w:r w:rsidR="00D32985" w:rsidRPr="00F10E3A">
        <w:t xml:space="preserve"> </w:t>
      </w:r>
      <w:r w:rsidR="0010314E" w:rsidRPr="00F10E3A">
        <w:t>generado</w:t>
      </w:r>
      <w:r w:rsidR="005E2119" w:rsidRPr="00F10E3A">
        <w:rPr>
          <w:rFonts w:cs="Arial"/>
          <w:color w:val="000000" w:themeColor="text1"/>
        </w:rPr>
        <w:t xml:space="preserve"> </w:t>
      </w:r>
      <w:r w:rsidR="00D33416" w:rsidRPr="00F10E3A">
        <w:rPr>
          <w:rFonts w:cs="Arial"/>
          <w:color w:val="000000" w:themeColor="text1"/>
        </w:rPr>
        <w:t xml:space="preserve">altas pérdidas </w:t>
      </w:r>
      <w:r w:rsidR="005E2119" w:rsidRPr="00F10E3A">
        <w:rPr>
          <w:rFonts w:cs="Arial"/>
          <w:color w:val="000000" w:themeColor="text1"/>
        </w:rPr>
        <w:t>econ</w:t>
      </w:r>
      <w:r w:rsidR="00D33416" w:rsidRPr="00F10E3A">
        <w:rPr>
          <w:rFonts w:cs="Arial"/>
          <w:color w:val="000000" w:themeColor="text1"/>
        </w:rPr>
        <w:t>ómicas a nivel nacional</w:t>
      </w:r>
      <w:r w:rsidR="004205BD" w:rsidRPr="00F10E3A">
        <w:rPr>
          <w:rFonts w:cs="Arial"/>
          <w:color w:val="000000" w:themeColor="text1"/>
        </w:rPr>
        <w:t>,</w:t>
      </w:r>
      <w:r w:rsidR="00D33416" w:rsidRPr="00F10E3A">
        <w:rPr>
          <w:rFonts w:cs="Arial"/>
          <w:color w:val="000000" w:themeColor="text1"/>
        </w:rPr>
        <w:t xml:space="preserve"> </w:t>
      </w:r>
      <w:r w:rsidR="005E2119" w:rsidRPr="00F10E3A">
        <w:rPr>
          <w:rFonts w:cs="Arial"/>
          <w:color w:val="000000" w:themeColor="text1"/>
        </w:rPr>
        <w:t>en par</w:t>
      </w:r>
      <w:r w:rsidR="00D33416" w:rsidRPr="00F10E3A">
        <w:rPr>
          <w:rFonts w:cs="Arial"/>
          <w:color w:val="000000" w:themeColor="text1"/>
        </w:rPr>
        <w:t>ticular</w:t>
      </w:r>
      <w:r w:rsidR="00FD5C4D" w:rsidRPr="00F10E3A">
        <w:rPr>
          <w:rFonts w:cs="Arial"/>
          <w:color w:val="000000" w:themeColor="text1"/>
        </w:rPr>
        <w:t>,</w:t>
      </w:r>
      <w:r w:rsidR="00D33416" w:rsidRPr="00F10E3A">
        <w:rPr>
          <w:rFonts w:cs="Arial"/>
          <w:color w:val="000000" w:themeColor="text1"/>
        </w:rPr>
        <w:t xml:space="preserve"> en los </w:t>
      </w:r>
      <w:r w:rsidR="00EC7D15" w:rsidRPr="00F10E3A">
        <w:rPr>
          <w:rFonts w:cs="Arial"/>
          <w:color w:val="000000" w:themeColor="text1"/>
        </w:rPr>
        <w:t>d</w:t>
      </w:r>
      <w:r w:rsidR="00EF33B4" w:rsidRPr="00F10E3A">
        <w:rPr>
          <w:rFonts w:cs="Arial"/>
          <w:color w:val="000000" w:themeColor="text1"/>
        </w:rPr>
        <w:t xml:space="preserve">epartamentos </w:t>
      </w:r>
      <w:r w:rsidR="00EC7D15" w:rsidRPr="00F10E3A">
        <w:rPr>
          <w:rFonts w:cs="Arial"/>
          <w:color w:val="000000" w:themeColor="text1"/>
        </w:rPr>
        <w:t xml:space="preserve">de </w:t>
      </w:r>
      <w:r w:rsidR="006C4F15">
        <w:rPr>
          <w:rFonts w:cs="Arial"/>
          <w:color w:val="000000" w:themeColor="text1"/>
        </w:rPr>
        <w:t>Guaviare</w:t>
      </w:r>
      <w:r w:rsidR="00EC7D15" w:rsidRPr="00F10E3A">
        <w:rPr>
          <w:rFonts w:cs="Arial"/>
          <w:color w:val="000000" w:themeColor="text1"/>
        </w:rPr>
        <w:t xml:space="preserve">, Meta y en los municipios de Medina, </w:t>
      </w:r>
      <w:proofErr w:type="spellStart"/>
      <w:r w:rsidR="00EC7D15" w:rsidRPr="00F10E3A">
        <w:rPr>
          <w:rFonts w:cs="Arial"/>
          <w:color w:val="000000" w:themeColor="text1"/>
        </w:rPr>
        <w:t>Quetame</w:t>
      </w:r>
      <w:proofErr w:type="spellEnd"/>
      <w:r w:rsidR="00EC7D15" w:rsidRPr="00F10E3A">
        <w:rPr>
          <w:rFonts w:cs="Arial"/>
          <w:color w:val="000000" w:themeColor="text1"/>
        </w:rPr>
        <w:t xml:space="preserve">, </w:t>
      </w:r>
      <w:proofErr w:type="spellStart"/>
      <w:r w:rsidR="00EC7D15" w:rsidRPr="00F10E3A">
        <w:rPr>
          <w:rFonts w:cs="Arial"/>
          <w:color w:val="000000" w:themeColor="text1"/>
        </w:rPr>
        <w:t>Paratebueno</w:t>
      </w:r>
      <w:proofErr w:type="spellEnd"/>
      <w:r w:rsidR="00EC7D15" w:rsidRPr="00F10E3A">
        <w:rPr>
          <w:rFonts w:cs="Arial"/>
          <w:color w:val="000000" w:themeColor="text1"/>
        </w:rPr>
        <w:t xml:space="preserve"> y </w:t>
      </w:r>
      <w:proofErr w:type="spellStart"/>
      <w:r w:rsidR="00EC7D15" w:rsidRPr="00F10E3A">
        <w:rPr>
          <w:rFonts w:cs="Arial"/>
          <w:color w:val="000000" w:themeColor="text1"/>
        </w:rPr>
        <w:t>Guayabetal</w:t>
      </w:r>
      <w:proofErr w:type="spellEnd"/>
      <w:r w:rsidR="00EC7D15" w:rsidRPr="00F10E3A">
        <w:rPr>
          <w:rFonts w:cs="Arial"/>
          <w:color w:val="000000" w:themeColor="text1"/>
        </w:rPr>
        <w:t xml:space="preserve"> (Cundinamarca) y </w:t>
      </w:r>
      <w:r w:rsidR="00EC7D15" w:rsidRPr="00F10E3A">
        <w:rPr>
          <w:rFonts w:cs="Arial"/>
          <w:color w:val="000000" w:themeColor="text1"/>
        </w:rPr>
        <w:lastRenderedPageBreak/>
        <w:t>Villanueva (Casanare)</w:t>
      </w:r>
      <w:r w:rsidR="004D7347" w:rsidRPr="00F10E3A">
        <w:rPr>
          <w:rFonts w:cs="Arial"/>
          <w:color w:val="000000" w:themeColor="text1"/>
        </w:rPr>
        <w:t xml:space="preserve">, </w:t>
      </w:r>
      <w:r w:rsidR="004205BD" w:rsidRPr="00F10E3A">
        <w:rPr>
          <w:rFonts w:cs="Arial"/>
          <w:szCs w:val="22"/>
          <w:lang w:val="es-ES"/>
        </w:rPr>
        <w:t>viéndose afectado el sector agropecuario</w:t>
      </w:r>
      <w:r w:rsidR="0004553D" w:rsidRPr="00F10E3A">
        <w:rPr>
          <w:rFonts w:cs="Arial"/>
          <w:szCs w:val="22"/>
          <w:lang w:val="es-ES"/>
        </w:rPr>
        <w:t>,</w:t>
      </w:r>
      <w:r w:rsidR="0004553D" w:rsidRPr="00F10E3A">
        <w:t xml:space="preserve"> acuícola</w:t>
      </w:r>
      <w:r w:rsidR="0019211C" w:rsidRPr="00F10E3A">
        <w:t>, piscícola</w:t>
      </w:r>
      <w:r w:rsidR="0004553D" w:rsidRPr="00F10E3A">
        <w:t xml:space="preserve"> y pesquero</w:t>
      </w:r>
      <w:r w:rsidR="00CD58B0" w:rsidRPr="00F10E3A">
        <w:t>,</w:t>
      </w:r>
      <w:r w:rsidR="004205BD" w:rsidRPr="00F10E3A">
        <w:rPr>
          <w:rFonts w:cs="Arial"/>
          <w:szCs w:val="22"/>
          <w:lang w:val="es-ES"/>
        </w:rPr>
        <w:t xml:space="preserve"> entre otros.</w:t>
      </w:r>
    </w:p>
    <w:p w:rsidR="00543B34" w:rsidRPr="00F10E3A" w:rsidRDefault="00543B34" w:rsidP="00543B34">
      <w:pPr>
        <w:rPr>
          <w:rFonts w:cs="Arial"/>
          <w:color w:val="000000" w:themeColor="text1"/>
        </w:rPr>
      </w:pPr>
      <w:r w:rsidRPr="00F10E3A">
        <w:rPr>
          <w:rFonts w:cs="Arial"/>
          <w:color w:val="000000" w:themeColor="text1"/>
        </w:rPr>
        <w:t xml:space="preserve"> </w:t>
      </w:r>
    </w:p>
    <w:p w:rsidR="00872367" w:rsidRPr="00F10E3A" w:rsidRDefault="00543B34" w:rsidP="00B864EA">
      <w:pPr>
        <w:spacing w:after="160" w:line="256" w:lineRule="auto"/>
        <w:contextualSpacing/>
        <w:rPr>
          <w:rFonts w:cs="Arial"/>
          <w:szCs w:val="22"/>
          <w:lang w:val="es-ES"/>
        </w:rPr>
      </w:pPr>
      <w:r w:rsidRPr="00F10E3A">
        <w:rPr>
          <w:rFonts w:cs="Arial"/>
          <w:b/>
          <w:color w:val="000000" w:themeColor="text1"/>
        </w:rPr>
        <w:t xml:space="preserve">Cuarto. </w:t>
      </w:r>
      <w:r w:rsidR="00B864EA" w:rsidRPr="00F10E3A">
        <w:rPr>
          <w:rFonts w:cs="Arial"/>
          <w:szCs w:val="22"/>
          <w:lang w:val="es-ES"/>
        </w:rPr>
        <w:t xml:space="preserve"> Que </w:t>
      </w:r>
      <w:r w:rsidR="00F2341A" w:rsidRPr="00F10E3A">
        <w:rPr>
          <w:rFonts w:cs="Arial"/>
          <w:szCs w:val="22"/>
          <w:lang w:val="es-ES"/>
        </w:rPr>
        <w:t xml:space="preserve">los productores </w:t>
      </w:r>
      <w:r w:rsidR="000958F0" w:rsidRPr="00F10E3A">
        <w:rPr>
          <w:rFonts w:cs="Arial"/>
          <w:szCs w:val="22"/>
          <w:lang w:val="es-ES"/>
        </w:rPr>
        <w:t>han perdido</w:t>
      </w:r>
      <w:r w:rsidR="00F04820" w:rsidRPr="00F10E3A">
        <w:rPr>
          <w:rFonts w:cs="Arial"/>
          <w:szCs w:val="22"/>
          <w:lang w:val="es-ES"/>
        </w:rPr>
        <w:t>, han incurrido en sobrecostos o han dejado</w:t>
      </w:r>
      <w:r w:rsidR="00F2341A" w:rsidRPr="00F10E3A">
        <w:rPr>
          <w:rFonts w:cs="Arial"/>
          <w:szCs w:val="22"/>
          <w:lang w:val="es-ES"/>
        </w:rPr>
        <w:t xml:space="preserve"> de vender a tiempo sus cosechas </w:t>
      </w:r>
      <w:r w:rsidR="00DB310E" w:rsidRPr="00F10E3A">
        <w:rPr>
          <w:rFonts w:cs="Arial"/>
          <w:szCs w:val="22"/>
          <w:lang w:val="es-ES"/>
        </w:rPr>
        <w:t xml:space="preserve">sin </w:t>
      </w:r>
      <w:r w:rsidR="00F2341A" w:rsidRPr="00F10E3A">
        <w:rPr>
          <w:rFonts w:cs="Arial"/>
          <w:szCs w:val="22"/>
          <w:lang w:val="es-ES"/>
        </w:rPr>
        <w:t>recuperar la inversión realizada, ni obtener</w:t>
      </w:r>
      <w:r w:rsidR="00DB310E" w:rsidRPr="00F10E3A">
        <w:rPr>
          <w:rFonts w:cs="Arial"/>
          <w:szCs w:val="22"/>
          <w:lang w:val="es-ES"/>
        </w:rPr>
        <w:t xml:space="preserve"> las</w:t>
      </w:r>
      <w:r w:rsidR="00F2341A" w:rsidRPr="00F10E3A">
        <w:rPr>
          <w:rFonts w:cs="Arial"/>
          <w:szCs w:val="22"/>
          <w:lang w:val="es-ES"/>
        </w:rPr>
        <w:t xml:space="preserve"> ganancias</w:t>
      </w:r>
      <w:r w:rsidR="00DB310E" w:rsidRPr="00F10E3A">
        <w:rPr>
          <w:rFonts w:cs="Arial"/>
          <w:szCs w:val="22"/>
          <w:lang w:val="es-ES"/>
        </w:rPr>
        <w:t xml:space="preserve"> esperadas</w:t>
      </w:r>
      <w:r w:rsidR="00F2341A" w:rsidRPr="00F10E3A">
        <w:rPr>
          <w:rFonts w:cs="Arial"/>
          <w:szCs w:val="22"/>
          <w:lang w:val="es-ES"/>
        </w:rPr>
        <w:t>, por lo que su rentabilidad se vio afectada.</w:t>
      </w:r>
    </w:p>
    <w:p w:rsidR="00543B34" w:rsidRPr="00F10E3A" w:rsidRDefault="00543B34" w:rsidP="00543B34">
      <w:pPr>
        <w:rPr>
          <w:rFonts w:cs="Arial"/>
          <w:lang w:val="es-ES"/>
        </w:rPr>
      </w:pPr>
    </w:p>
    <w:p w:rsidR="00543B34" w:rsidRPr="00F10E3A" w:rsidRDefault="00543B34" w:rsidP="00543B34">
      <w:pPr>
        <w:rPr>
          <w:rFonts w:cs="Arial"/>
          <w:lang w:val="es-ES"/>
        </w:rPr>
      </w:pPr>
      <w:r w:rsidRPr="00F10E3A">
        <w:rPr>
          <w:rFonts w:cs="Arial"/>
          <w:b/>
          <w:lang w:val="es-ES"/>
        </w:rPr>
        <w:t>Quinto.</w:t>
      </w:r>
      <w:r w:rsidRPr="00F10E3A">
        <w:rPr>
          <w:rFonts w:cs="Arial"/>
          <w:lang w:val="es-ES"/>
        </w:rPr>
        <w:t xml:space="preserve"> </w:t>
      </w:r>
      <w:r w:rsidR="00B864EA" w:rsidRPr="00F10E3A">
        <w:rPr>
          <w:rFonts w:cs="Arial"/>
          <w:color w:val="000000" w:themeColor="text1"/>
        </w:rPr>
        <w:t xml:space="preserve">Que </w:t>
      </w:r>
      <w:r w:rsidR="0017691A" w:rsidRPr="00F10E3A">
        <w:rPr>
          <w:rFonts w:cs="Arial"/>
          <w:color w:val="000000" w:themeColor="text1"/>
        </w:rPr>
        <w:t xml:space="preserve">el </w:t>
      </w:r>
      <w:r w:rsidR="00F2341A" w:rsidRPr="00F10E3A">
        <w:rPr>
          <w:rFonts w:cs="Arial"/>
          <w:lang w:val="es-ES"/>
        </w:rPr>
        <w:t xml:space="preserve">Gobierno Nacional </w:t>
      </w:r>
      <w:r w:rsidR="0017691A" w:rsidRPr="00F10E3A">
        <w:rPr>
          <w:rFonts w:cs="Arial"/>
          <w:lang w:val="es-ES"/>
        </w:rPr>
        <w:t xml:space="preserve">considera necesario </w:t>
      </w:r>
      <w:r w:rsidR="00F2341A" w:rsidRPr="00F10E3A">
        <w:rPr>
          <w:rFonts w:cs="Arial"/>
          <w:szCs w:val="22"/>
          <w:lang w:val="es-ES"/>
        </w:rPr>
        <w:t xml:space="preserve">tomar medidas </w:t>
      </w:r>
      <w:r w:rsidR="0017691A" w:rsidRPr="00F10E3A">
        <w:rPr>
          <w:rFonts w:cs="Arial"/>
          <w:szCs w:val="22"/>
          <w:lang w:val="es-ES"/>
        </w:rPr>
        <w:t xml:space="preserve">para </w:t>
      </w:r>
      <w:r w:rsidR="00F2341A" w:rsidRPr="00F10E3A">
        <w:rPr>
          <w:rFonts w:cs="Arial"/>
          <w:szCs w:val="22"/>
          <w:lang w:val="es-ES"/>
        </w:rPr>
        <w:t>mitigar las p</w:t>
      </w:r>
      <w:r w:rsidR="003E15CC" w:rsidRPr="00F10E3A">
        <w:rPr>
          <w:rFonts w:cs="Arial"/>
          <w:szCs w:val="22"/>
          <w:lang w:val="es-ES"/>
        </w:rPr>
        <w:t>é</w:t>
      </w:r>
      <w:r w:rsidR="00F2341A" w:rsidRPr="00F10E3A">
        <w:rPr>
          <w:rFonts w:cs="Arial"/>
          <w:szCs w:val="22"/>
          <w:lang w:val="es-ES"/>
        </w:rPr>
        <w:t xml:space="preserve">rdidas </w:t>
      </w:r>
      <w:r w:rsidR="003E15CC" w:rsidRPr="00F10E3A">
        <w:rPr>
          <w:rFonts w:cs="Arial"/>
          <w:szCs w:val="22"/>
          <w:lang w:val="es-ES"/>
        </w:rPr>
        <w:t xml:space="preserve">generadas </w:t>
      </w:r>
      <w:r w:rsidR="00F2341A" w:rsidRPr="00F10E3A">
        <w:rPr>
          <w:rFonts w:cs="Arial"/>
          <w:szCs w:val="22"/>
          <w:lang w:val="es-ES"/>
        </w:rPr>
        <w:t>por</w:t>
      </w:r>
      <w:r w:rsidR="00EC7D15" w:rsidRPr="00F10E3A">
        <w:rPr>
          <w:rFonts w:cs="Arial"/>
          <w:szCs w:val="22"/>
          <w:lang w:val="es-ES"/>
        </w:rPr>
        <w:t xml:space="preserve"> el cierre de la Vía al Llano</w:t>
      </w:r>
      <w:r w:rsidR="00F2341A" w:rsidRPr="00F10E3A">
        <w:rPr>
          <w:rFonts w:cs="Arial"/>
          <w:szCs w:val="22"/>
          <w:lang w:val="es-ES"/>
        </w:rPr>
        <w:t xml:space="preserve"> que permitan la reactivación financiera de los productores agropecuarios</w:t>
      </w:r>
      <w:r w:rsidR="00AA0E58" w:rsidRPr="00F10E3A">
        <w:rPr>
          <w:rFonts w:cs="Arial"/>
          <w:szCs w:val="22"/>
          <w:lang w:val="es-ES"/>
        </w:rPr>
        <w:t>,</w:t>
      </w:r>
      <w:r w:rsidR="00AA0E58" w:rsidRPr="00F10E3A">
        <w:t xml:space="preserve"> acuícolas</w:t>
      </w:r>
      <w:r w:rsidR="006606AB" w:rsidRPr="00F10E3A">
        <w:t>, piscícolas</w:t>
      </w:r>
      <w:r w:rsidR="00AA0E58" w:rsidRPr="00F10E3A">
        <w:t xml:space="preserve"> y pesqueros</w:t>
      </w:r>
      <w:r w:rsidR="00F2341A" w:rsidRPr="00F10E3A">
        <w:rPr>
          <w:rFonts w:cs="Arial"/>
          <w:szCs w:val="22"/>
          <w:lang w:val="es-ES"/>
        </w:rPr>
        <w:t xml:space="preserve"> de</w:t>
      </w:r>
      <w:r w:rsidR="003E15CC" w:rsidRPr="00F10E3A">
        <w:rPr>
          <w:rFonts w:cs="Arial"/>
          <w:szCs w:val="22"/>
          <w:lang w:val="es-ES"/>
        </w:rPr>
        <w:t xml:space="preserve"> los </w:t>
      </w:r>
      <w:r w:rsidR="004D7347" w:rsidRPr="00F10E3A">
        <w:rPr>
          <w:rFonts w:cs="Arial"/>
          <w:color w:val="000000" w:themeColor="text1"/>
        </w:rPr>
        <w:t xml:space="preserve">departamentos de </w:t>
      </w:r>
      <w:r w:rsidR="006C4F15">
        <w:rPr>
          <w:rFonts w:cs="Arial"/>
          <w:color w:val="000000" w:themeColor="text1"/>
        </w:rPr>
        <w:t>Guaviare</w:t>
      </w:r>
      <w:r w:rsidR="004D7347" w:rsidRPr="00F10E3A">
        <w:rPr>
          <w:rFonts w:cs="Arial"/>
          <w:color w:val="000000" w:themeColor="text1"/>
        </w:rPr>
        <w:t xml:space="preserve">, Meta y los municipios de Medina, </w:t>
      </w:r>
      <w:proofErr w:type="spellStart"/>
      <w:r w:rsidR="004D7347" w:rsidRPr="00F10E3A">
        <w:rPr>
          <w:rFonts w:cs="Arial"/>
          <w:color w:val="000000" w:themeColor="text1"/>
        </w:rPr>
        <w:t>Quetame</w:t>
      </w:r>
      <w:proofErr w:type="spellEnd"/>
      <w:r w:rsidR="004D7347" w:rsidRPr="00F10E3A">
        <w:rPr>
          <w:rFonts w:cs="Arial"/>
          <w:color w:val="000000" w:themeColor="text1"/>
        </w:rPr>
        <w:t xml:space="preserve">, </w:t>
      </w:r>
      <w:proofErr w:type="spellStart"/>
      <w:r w:rsidR="004D7347" w:rsidRPr="00F10E3A">
        <w:rPr>
          <w:rFonts w:cs="Arial"/>
          <w:color w:val="000000" w:themeColor="text1"/>
        </w:rPr>
        <w:t>Paratebueno</w:t>
      </w:r>
      <w:proofErr w:type="spellEnd"/>
      <w:r w:rsidR="004D7347" w:rsidRPr="00F10E3A">
        <w:rPr>
          <w:rFonts w:cs="Arial"/>
          <w:color w:val="000000" w:themeColor="text1"/>
        </w:rPr>
        <w:t xml:space="preserve"> y </w:t>
      </w:r>
      <w:proofErr w:type="spellStart"/>
      <w:r w:rsidR="004D7347" w:rsidRPr="00F10E3A">
        <w:rPr>
          <w:rFonts w:cs="Arial"/>
          <w:color w:val="000000" w:themeColor="text1"/>
        </w:rPr>
        <w:t>Guayabetal</w:t>
      </w:r>
      <w:proofErr w:type="spellEnd"/>
      <w:r w:rsidR="004D7347" w:rsidRPr="00F10E3A">
        <w:rPr>
          <w:rFonts w:cs="Arial"/>
          <w:color w:val="000000" w:themeColor="text1"/>
        </w:rPr>
        <w:t xml:space="preserve"> (Cundinamarca) y Villanueva (Casanare)</w:t>
      </w:r>
      <w:r w:rsidR="00F2341A" w:rsidRPr="00F10E3A">
        <w:rPr>
          <w:rFonts w:cs="Arial"/>
          <w:szCs w:val="22"/>
          <w:lang w:val="es-ES"/>
        </w:rPr>
        <w:t>, así como su permanencia en la actividad</w:t>
      </w:r>
      <w:r w:rsidR="003E15CC" w:rsidRPr="00F10E3A">
        <w:rPr>
          <w:rFonts w:cs="Arial"/>
          <w:szCs w:val="22"/>
          <w:lang w:val="es-ES"/>
        </w:rPr>
        <w:t>,</w:t>
      </w:r>
      <w:r w:rsidR="0017691A" w:rsidRPr="00F10E3A">
        <w:rPr>
          <w:rFonts w:cs="Arial"/>
          <w:szCs w:val="22"/>
          <w:lang w:val="es-ES"/>
        </w:rPr>
        <w:t xml:space="preserve"> y en este marco se propone </w:t>
      </w:r>
      <w:r w:rsidR="0030479F" w:rsidRPr="00F10E3A">
        <w:rPr>
          <w:rFonts w:cs="Arial"/>
          <w:szCs w:val="22"/>
          <w:lang w:val="es-ES"/>
        </w:rPr>
        <w:t xml:space="preserve">la implementación de </w:t>
      </w:r>
      <w:r w:rsidR="00F2341A" w:rsidRPr="00F10E3A">
        <w:rPr>
          <w:rFonts w:cs="Arial"/>
          <w:szCs w:val="22"/>
          <w:lang w:val="es-ES"/>
        </w:rPr>
        <w:t xml:space="preserve">una línea de crédito en condiciones de fomento para financiar </w:t>
      </w:r>
      <w:r w:rsidR="006E3A75" w:rsidRPr="00F10E3A">
        <w:rPr>
          <w:rFonts w:cs="Arial"/>
          <w:szCs w:val="22"/>
          <w:lang w:val="es-ES"/>
        </w:rPr>
        <w:t xml:space="preserve">el pago de </w:t>
      </w:r>
      <w:r w:rsidR="00F2341A" w:rsidRPr="00F10E3A">
        <w:rPr>
          <w:rFonts w:cs="Arial"/>
          <w:szCs w:val="22"/>
          <w:lang w:val="es-ES"/>
        </w:rPr>
        <w:t>pasivos no financieros</w:t>
      </w:r>
      <w:r w:rsidR="005E6282" w:rsidRPr="00F10E3A">
        <w:rPr>
          <w:rFonts w:cs="Arial"/>
          <w:szCs w:val="22"/>
          <w:lang w:val="es-ES"/>
        </w:rPr>
        <w:t>.</w:t>
      </w:r>
    </w:p>
    <w:p w:rsidR="0017691A" w:rsidRPr="00F10E3A" w:rsidRDefault="0017691A" w:rsidP="00CB7D63">
      <w:pPr>
        <w:rPr>
          <w:rFonts w:cs="Arial"/>
          <w:b/>
          <w:lang w:val="es-ES"/>
        </w:rPr>
      </w:pPr>
    </w:p>
    <w:p w:rsidR="009833C6" w:rsidRPr="00F10E3A" w:rsidRDefault="00543B34" w:rsidP="009833C6">
      <w:pPr>
        <w:rPr>
          <w:color w:val="808080" w:themeColor="background1" w:themeShade="80"/>
        </w:rPr>
      </w:pPr>
      <w:r w:rsidRPr="00F10E3A">
        <w:rPr>
          <w:rFonts w:cs="Arial"/>
          <w:b/>
          <w:lang w:val="es-ES"/>
        </w:rPr>
        <w:t>Sexto.</w:t>
      </w:r>
      <w:r w:rsidRPr="00F10E3A">
        <w:rPr>
          <w:rFonts w:cs="Arial"/>
          <w:lang w:val="es-ES"/>
        </w:rPr>
        <w:t xml:space="preserve"> </w:t>
      </w:r>
      <w:r w:rsidR="004E476B" w:rsidRPr="00F10E3A">
        <w:rPr>
          <w:rFonts w:cs="Arial"/>
          <w:lang w:val="es-ES"/>
        </w:rPr>
        <w:t xml:space="preserve">Que para efectos de esta </w:t>
      </w:r>
      <w:r w:rsidR="00195A86" w:rsidRPr="00F10E3A">
        <w:rPr>
          <w:rFonts w:cs="Arial"/>
          <w:lang w:val="es-ES"/>
        </w:rPr>
        <w:t>resolución</w:t>
      </w:r>
      <w:r w:rsidR="004E476B" w:rsidRPr="00F10E3A">
        <w:rPr>
          <w:rFonts w:cs="Arial"/>
          <w:lang w:val="es-ES"/>
        </w:rPr>
        <w:t xml:space="preserve"> </w:t>
      </w:r>
      <w:r w:rsidR="006C1CC1" w:rsidRPr="00F10E3A">
        <w:rPr>
          <w:rFonts w:cs="Arial"/>
          <w:lang w:val="es-ES"/>
        </w:rPr>
        <w:t xml:space="preserve">se entiende por  “pasivos no financieros a cargo de productores agropecuarios, acuícolas, piscícolas y pesqueros” aquellas obligaciones adquiridas por las compras a crédito de insumos destinados a las actividades agropecuarias, acuícolas, piscícolas y pesqueras,  efectuadas con casas de </w:t>
      </w:r>
      <w:proofErr w:type="spellStart"/>
      <w:r w:rsidR="006C1CC1" w:rsidRPr="00F10E3A">
        <w:rPr>
          <w:rFonts w:cs="Arial"/>
          <w:lang w:val="es-ES"/>
        </w:rPr>
        <w:t>agroinsumos</w:t>
      </w:r>
      <w:proofErr w:type="spellEnd"/>
      <w:r w:rsidR="006C1CC1" w:rsidRPr="00F10E3A">
        <w:rPr>
          <w:rFonts w:cs="Arial"/>
          <w:lang w:val="es-ES"/>
        </w:rPr>
        <w:t xml:space="preserve"> y </w:t>
      </w:r>
      <w:proofErr w:type="spellStart"/>
      <w:r w:rsidR="006C1CC1" w:rsidRPr="00F10E3A">
        <w:rPr>
          <w:rFonts w:cs="Arial"/>
          <w:lang w:val="es-ES"/>
        </w:rPr>
        <w:t>agrocomercios</w:t>
      </w:r>
      <w:proofErr w:type="spellEnd"/>
      <w:r w:rsidR="006C1CC1" w:rsidRPr="00F10E3A">
        <w:rPr>
          <w:rFonts w:cs="Arial"/>
          <w:lang w:val="es-ES"/>
        </w:rPr>
        <w:t xml:space="preserve">, que estén soportadas en títulos valores, tales como facturas o pagarés, y que </w:t>
      </w:r>
      <w:r w:rsidR="00315261" w:rsidRPr="00F10E3A">
        <w:rPr>
          <w:rFonts w:cs="Arial"/>
          <w:lang w:val="es-ES"/>
        </w:rPr>
        <w:t>a partir del 14</w:t>
      </w:r>
      <w:r w:rsidR="006C1CC1" w:rsidRPr="00F10E3A">
        <w:rPr>
          <w:rFonts w:cs="Arial"/>
          <w:lang w:val="es-ES"/>
        </w:rPr>
        <w:t xml:space="preserve"> de </w:t>
      </w:r>
      <w:r w:rsidR="00315261" w:rsidRPr="00F10E3A">
        <w:rPr>
          <w:rFonts w:cs="Arial"/>
          <w:lang w:val="es-ES"/>
        </w:rPr>
        <w:t>junio</w:t>
      </w:r>
      <w:r w:rsidR="006C1CC1" w:rsidRPr="00F10E3A">
        <w:rPr>
          <w:rFonts w:cs="Arial"/>
          <w:lang w:val="es-ES"/>
        </w:rPr>
        <w:t xml:space="preserve"> de 2019 entren en mora, o sean objeto de modificación o reestructuración.</w:t>
      </w:r>
    </w:p>
    <w:p w:rsidR="004E476B" w:rsidRPr="00F10E3A" w:rsidRDefault="004E476B" w:rsidP="00CB7D63">
      <w:pPr>
        <w:rPr>
          <w:rFonts w:cs="Arial"/>
          <w:lang w:val="es-ES"/>
        </w:rPr>
      </w:pPr>
    </w:p>
    <w:p w:rsidR="00CB7D63" w:rsidRPr="00F10E3A" w:rsidRDefault="008E15A4" w:rsidP="00CB7D63">
      <w:pPr>
        <w:rPr>
          <w:rFonts w:cs="Arial"/>
          <w:lang w:val="es-ES"/>
        </w:rPr>
      </w:pPr>
      <w:r w:rsidRPr="00F10E3A">
        <w:rPr>
          <w:b/>
        </w:rPr>
        <w:t xml:space="preserve">Séptimo. </w:t>
      </w:r>
      <w:r w:rsidR="00CB7D63" w:rsidRPr="00F10E3A">
        <w:t xml:space="preserve">Que el proyecto de resolución </w:t>
      </w:r>
      <w:r w:rsidR="009A78F4" w:rsidRPr="00F10E3A">
        <w:rPr>
          <w:rFonts w:cs="Arial"/>
          <w:i/>
          <w:szCs w:val="22"/>
        </w:rPr>
        <w:t xml:space="preserve">"Por la cual se establece la línea de crédito para financiar el pago de pasivos no financieros a cargo de productores agropecuarios, acuícolas, piscícolas y pesqueros en los departamentos de </w:t>
      </w:r>
      <w:r w:rsidR="006C4F15">
        <w:rPr>
          <w:rFonts w:cs="Arial"/>
          <w:i/>
          <w:szCs w:val="22"/>
        </w:rPr>
        <w:t>Guaviare</w:t>
      </w:r>
      <w:r w:rsidR="009A78F4" w:rsidRPr="00F10E3A">
        <w:rPr>
          <w:rFonts w:cs="Arial"/>
          <w:i/>
          <w:szCs w:val="22"/>
        </w:rPr>
        <w:t xml:space="preserve">, Meta y los municipios de </w:t>
      </w:r>
      <w:r w:rsidR="009A78F4" w:rsidRPr="00F10E3A">
        <w:rPr>
          <w:rFonts w:cs="Arial"/>
          <w:i/>
          <w:szCs w:val="22"/>
          <w:lang w:val="es-ES"/>
        </w:rPr>
        <w:t xml:space="preserve">Medina, </w:t>
      </w:r>
      <w:proofErr w:type="spellStart"/>
      <w:r w:rsidR="009A78F4" w:rsidRPr="00F10E3A">
        <w:rPr>
          <w:rFonts w:cs="Arial"/>
          <w:i/>
          <w:szCs w:val="22"/>
          <w:lang w:val="es-ES"/>
        </w:rPr>
        <w:t>Qu</w:t>
      </w:r>
      <w:r w:rsidR="009A78F4" w:rsidRPr="00F10E3A">
        <w:rPr>
          <w:rFonts w:cs="Arial"/>
          <w:i/>
          <w:szCs w:val="22"/>
        </w:rPr>
        <w:t>etame</w:t>
      </w:r>
      <w:proofErr w:type="spellEnd"/>
      <w:r w:rsidR="009A78F4" w:rsidRPr="00F10E3A">
        <w:rPr>
          <w:rFonts w:cs="Arial"/>
          <w:i/>
          <w:szCs w:val="22"/>
        </w:rPr>
        <w:t xml:space="preserve">, </w:t>
      </w:r>
      <w:proofErr w:type="spellStart"/>
      <w:r w:rsidR="009A78F4" w:rsidRPr="00F10E3A">
        <w:rPr>
          <w:rFonts w:cs="Arial"/>
          <w:i/>
          <w:szCs w:val="22"/>
        </w:rPr>
        <w:t>Paratebueno</w:t>
      </w:r>
      <w:proofErr w:type="spellEnd"/>
      <w:r w:rsidR="009A78F4" w:rsidRPr="00F10E3A">
        <w:rPr>
          <w:rFonts w:cs="Arial"/>
          <w:i/>
          <w:szCs w:val="22"/>
        </w:rPr>
        <w:t xml:space="preserve"> y </w:t>
      </w:r>
      <w:proofErr w:type="spellStart"/>
      <w:r w:rsidR="009A78F4" w:rsidRPr="00F10E3A">
        <w:rPr>
          <w:rFonts w:cs="Arial"/>
          <w:i/>
          <w:szCs w:val="22"/>
        </w:rPr>
        <w:t>Guayabetal</w:t>
      </w:r>
      <w:proofErr w:type="spellEnd"/>
      <w:r w:rsidR="009A78F4" w:rsidRPr="00F10E3A">
        <w:rPr>
          <w:rFonts w:cs="Arial"/>
          <w:i/>
          <w:szCs w:val="22"/>
        </w:rPr>
        <w:t xml:space="preserve"> (Cundinamarca) y Villanueva (Casanare)</w:t>
      </w:r>
      <w:r w:rsidR="009A78F4" w:rsidRPr="00F10E3A">
        <w:rPr>
          <w:rFonts w:eastAsia="Arial" w:cs="Arial"/>
          <w:i/>
          <w:szCs w:val="22"/>
          <w:lang w:eastAsia="es-CO" w:bidi="es-CO"/>
        </w:rPr>
        <w:t xml:space="preserve"> </w:t>
      </w:r>
      <w:r w:rsidR="009A78F4" w:rsidRPr="00F10E3A">
        <w:rPr>
          <w:rFonts w:cs="Arial"/>
          <w:i/>
          <w:szCs w:val="22"/>
        </w:rPr>
        <w:t xml:space="preserve">afectados el cierre de la Vía al </w:t>
      </w:r>
      <w:r w:rsidR="00315261" w:rsidRPr="00F10E3A">
        <w:rPr>
          <w:rFonts w:cs="Arial"/>
          <w:i/>
          <w:szCs w:val="22"/>
        </w:rPr>
        <w:t>Llano durante el periodo del 14 de junio y el 31 de diciembre de 2019</w:t>
      </w:r>
      <w:r w:rsidR="00F2341A" w:rsidRPr="00F10E3A">
        <w:t>”</w:t>
      </w:r>
      <w:r w:rsidR="00CB7D63" w:rsidRPr="00F10E3A">
        <w:t xml:space="preserve">, estuvo publicado en la página </w:t>
      </w:r>
      <w:r w:rsidR="00DF7AD8" w:rsidRPr="00F10E3A">
        <w:t>de internet</w:t>
      </w:r>
      <w:r w:rsidR="00CB7D63" w:rsidRPr="00F10E3A">
        <w:t xml:space="preserve"> de FINAGRO para comentarios.</w:t>
      </w:r>
    </w:p>
    <w:p w:rsidR="00CB7D63" w:rsidRPr="00F10E3A" w:rsidRDefault="00CB7D63" w:rsidP="00CB7D63">
      <w:pPr>
        <w:rPr>
          <w:rFonts w:cs="Arial"/>
          <w:lang w:val="es-ES"/>
        </w:rPr>
      </w:pPr>
    </w:p>
    <w:p w:rsidR="00CB7D63" w:rsidRPr="00F10E3A" w:rsidRDefault="008E15A4" w:rsidP="00CB7D63">
      <w:pPr>
        <w:rPr>
          <w:rFonts w:cs="Arial"/>
        </w:rPr>
      </w:pPr>
      <w:r w:rsidRPr="00F10E3A">
        <w:rPr>
          <w:b/>
        </w:rPr>
        <w:t xml:space="preserve">Octavo. </w:t>
      </w:r>
      <w:r w:rsidR="00CB7D63" w:rsidRPr="00F10E3A">
        <w:rPr>
          <w:rFonts w:cs="Arial"/>
        </w:rPr>
        <w:t>Que el documento con la justificación jurídica y técnica de la presente resolución fue presentado para consideración de la CNCA y discutido en la reunión llevada a cabo</w:t>
      </w:r>
      <w:r w:rsidR="009A78F4" w:rsidRPr="00F10E3A">
        <w:rPr>
          <w:rFonts w:cs="Arial"/>
        </w:rPr>
        <w:t>, bajo el mecanismo no presencial</w:t>
      </w:r>
      <w:r w:rsidR="00833E45" w:rsidRPr="00F10E3A">
        <w:rPr>
          <w:rFonts w:cs="Arial"/>
        </w:rPr>
        <w:t>, previsto en la Resolución No 24 de 2008</w:t>
      </w:r>
      <w:r w:rsidR="00CB7D63" w:rsidRPr="00F10E3A">
        <w:rPr>
          <w:rFonts w:cs="Arial"/>
        </w:rPr>
        <w:t>.</w:t>
      </w:r>
    </w:p>
    <w:p w:rsidR="00543B34" w:rsidRPr="00F10E3A" w:rsidRDefault="00543B34" w:rsidP="00543B34"/>
    <w:p w:rsidR="00543B34" w:rsidRPr="00F10E3A" w:rsidRDefault="00543B34" w:rsidP="00543B34">
      <w:r w:rsidRPr="00F10E3A">
        <w:t>En mérito de lo anterior,</w:t>
      </w:r>
    </w:p>
    <w:p w:rsidR="004973BB" w:rsidRPr="00F10E3A" w:rsidRDefault="004973BB" w:rsidP="00543B34"/>
    <w:p w:rsidR="004973BB" w:rsidRPr="00F10E3A" w:rsidRDefault="004973BB" w:rsidP="004973BB">
      <w:pPr>
        <w:jc w:val="center"/>
        <w:rPr>
          <w:b/>
        </w:rPr>
      </w:pPr>
      <w:r w:rsidRPr="00F10E3A">
        <w:rPr>
          <w:b/>
        </w:rPr>
        <w:t>RESUELVE</w:t>
      </w:r>
    </w:p>
    <w:p w:rsidR="00AC1069" w:rsidRPr="00F10E3A" w:rsidRDefault="00AC1069"/>
    <w:p w:rsidR="0030732C" w:rsidRPr="00F10E3A" w:rsidRDefault="002917A5">
      <w:r w:rsidRPr="00F10E3A">
        <w:rPr>
          <w:b/>
        </w:rPr>
        <w:t>Artículo 1o.</w:t>
      </w:r>
      <w:r w:rsidR="00844F70" w:rsidRPr="00F10E3A">
        <w:t xml:space="preserve"> </w:t>
      </w:r>
      <w:r w:rsidR="00844F70" w:rsidRPr="00F10E3A">
        <w:rPr>
          <w:b/>
        </w:rPr>
        <w:t>Ámbito de aplicación</w:t>
      </w:r>
      <w:r w:rsidR="00E80BEA" w:rsidRPr="00F10E3A">
        <w:t xml:space="preserve">. </w:t>
      </w:r>
      <w:r w:rsidR="00AB563A" w:rsidRPr="00F10E3A">
        <w:t xml:space="preserve">Las </w:t>
      </w:r>
      <w:r w:rsidR="00AC1069" w:rsidRPr="00F10E3A">
        <w:t xml:space="preserve">instituciones financieras que integran el </w:t>
      </w:r>
      <w:r w:rsidR="00F2341A" w:rsidRPr="00F10E3A">
        <w:t xml:space="preserve">Sistema </w:t>
      </w:r>
      <w:r w:rsidR="00AC1069" w:rsidRPr="00F10E3A">
        <w:t xml:space="preserve">Nacional de </w:t>
      </w:r>
      <w:r w:rsidR="0059588A" w:rsidRPr="00F10E3A">
        <w:t>Crédito Agropecuario</w:t>
      </w:r>
      <w:r w:rsidR="00264F9C" w:rsidRPr="00F10E3A">
        <w:t xml:space="preserve"> </w:t>
      </w:r>
      <w:r w:rsidR="00AB563A" w:rsidRPr="00F10E3A">
        <w:t xml:space="preserve">podrán </w:t>
      </w:r>
      <w:r w:rsidR="00264F9C" w:rsidRPr="00F10E3A">
        <w:t>financiar</w:t>
      </w:r>
      <w:r w:rsidR="000C731C" w:rsidRPr="00F10E3A">
        <w:t xml:space="preserve"> el pago de </w:t>
      </w:r>
      <w:r w:rsidR="00BC4209" w:rsidRPr="00F10E3A">
        <w:t xml:space="preserve">pasivos no financieros </w:t>
      </w:r>
      <w:r w:rsidR="00400893" w:rsidRPr="00F10E3A">
        <w:t xml:space="preserve">a cargo de productores agropecuarios, acuícolas, piscícolas </w:t>
      </w:r>
      <w:r w:rsidR="006606AB" w:rsidRPr="00F10E3A">
        <w:t>y</w:t>
      </w:r>
      <w:r w:rsidR="00400893" w:rsidRPr="00F10E3A">
        <w:t xml:space="preserve"> pesqueros</w:t>
      </w:r>
      <w:r w:rsidR="00E80BEA" w:rsidRPr="00F10E3A">
        <w:t>, conforme a las condiciones establecidas en la presente resolución.</w:t>
      </w:r>
    </w:p>
    <w:p w:rsidR="0030732C" w:rsidRPr="00F10E3A" w:rsidRDefault="0030732C">
      <w:pPr>
        <w:rPr>
          <w:rFonts w:cs="Arial"/>
          <w:lang w:val="es-ES"/>
        </w:rPr>
      </w:pPr>
    </w:p>
    <w:p w:rsidR="00A3034B" w:rsidRPr="00F10E3A" w:rsidRDefault="0030732C">
      <w:r w:rsidRPr="00F10E3A">
        <w:rPr>
          <w:rFonts w:cs="Arial"/>
          <w:lang w:val="es-ES"/>
        </w:rPr>
        <w:t>P</w:t>
      </w:r>
      <w:r w:rsidR="00E80BEA" w:rsidRPr="00F10E3A">
        <w:rPr>
          <w:rFonts w:cs="Arial"/>
          <w:lang w:val="es-ES"/>
        </w:rPr>
        <w:t xml:space="preserve">ara efectos de esta </w:t>
      </w:r>
      <w:r w:rsidR="00E24D7E" w:rsidRPr="00F10E3A">
        <w:rPr>
          <w:rFonts w:cs="Arial"/>
          <w:lang w:val="es-ES"/>
        </w:rPr>
        <w:t xml:space="preserve">resolución </w:t>
      </w:r>
      <w:r w:rsidR="00E80BEA" w:rsidRPr="00F10E3A">
        <w:rPr>
          <w:rFonts w:cs="Arial"/>
          <w:lang w:val="es-ES"/>
        </w:rPr>
        <w:t>se entiende por “pasivos no financieros</w:t>
      </w:r>
      <w:r w:rsidR="006606AB" w:rsidRPr="00F10E3A">
        <w:rPr>
          <w:rFonts w:cs="Arial"/>
          <w:lang w:val="es-ES"/>
        </w:rPr>
        <w:t xml:space="preserve"> a</w:t>
      </w:r>
      <w:r w:rsidR="00B35C50" w:rsidRPr="00F10E3A">
        <w:t xml:space="preserve"> cargo de productores </w:t>
      </w:r>
      <w:bookmarkStart w:id="2" w:name="_Hlk8110190"/>
      <w:r w:rsidR="00B35C50" w:rsidRPr="00F10E3A">
        <w:t xml:space="preserve">agropecuarios, acuícolas, piscícolas </w:t>
      </w:r>
      <w:r w:rsidR="006606AB" w:rsidRPr="00F10E3A">
        <w:t>y</w:t>
      </w:r>
      <w:r w:rsidR="00B35C50" w:rsidRPr="00F10E3A">
        <w:t xml:space="preserve"> pesqueros</w:t>
      </w:r>
      <w:bookmarkStart w:id="3" w:name="_Hlk8109470"/>
      <w:bookmarkEnd w:id="2"/>
      <w:r w:rsidR="00E01F35" w:rsidRPr="00F10E3A">
        <w:t xml:space="preserve">”, </w:t>
      </w:r>
      <w:r w:rsidR="00E80BEA" w:rsidRPr="00F10E3A">
        <w:t xml:space="preserve">aquellas obligaciones adquiridas por las compras a crédito de insumos destinados a </w:t>
      </w:r>
      <w:r w:rsidR="006C1CC1" w:rsidRPr="00F10E3A">
        <w:rPr>
          <w:rFonts w:cs="Arial"/>
          <w:lang w:val="es-ES"/>
        </w:rPr>
        <w:t>las actividades agropecuarias, acuícolas, piscícolas y pesqueras</w:t>
      </w:r>
      <w:r w:rsidR="00E80BEA" w:rsidRPr="00F10E3A">
        <w:t xml:space="preserve">, efectuadas con casas de </w:t>
      </w:r>
      <w:proofErr w:type="spellStart"/>
      <w:r w:rsidR="00E80BEA" w:rsidRPr="00F10E3A">
        <w:t>agroinsumos</w:t>
      </w:r>
      <w:proofErr w:type="spellEnd"/>
      <w:r w:rsidR="00E80BEA" w:rsidRPr="00F10E3A">
        <w:t xml:space="preserve"> y </w:t>
      </w:r>
      <w:proofErr w:type="spellStart"/>
      <w:r w:rsidR="00E80BEA" w:rsidRPr="00F10E3A">
        <w:t>agrocomercios</w:t>
      </w:r>
      <w:proofErr w:type="spellEnd"/>
      <w:r w:rsidR="00E80BEA" w:rsidRPr="00F10E3A">
        <w:t>, que estén soportadas en títulos valores, tales como facturas o pagarés, y que a partir del 1</w:t>
      </w:r>
      <w:r w:rsidR="00315261" w:rsidRPr="00F10E3A">
        <w:t>4</w:t>
      </w:r>
      <w:r w:rsidR="00E80BEA" w:rsidRPr="00F10E3A">
        <w:t xml:space="preserve"> de </w:t>
      </w:r>
      <w:r w:rsidR="00315261" w:rsidRPr="00F10E3A">
        <w:t>junio</w:t>
      </w:r>
      <w:r w:rsidR="00E80BEA" w:rsidRPr="00F10E3A">
        <w:t xml:space="preserve"> de 2019 entren en mora, o sean objeto de modificación o reestructuración</w:t>
      </w:r>
      <w:r w:rsidR="006606AB" w:rsidRPr="00F10E3A">
        <w:t>.</w:t>
      </w:r>
    </w:p>
    <w:p w:rsidR="00A3034B" w:rsidRPr="00F10E3A" w:rsidRDefault="00A3034B"/>
    <w:bookmarkEnd w:id="3"/>
    <w:p w:rsidR="00114FA3" w:rsidRPr="00F10E3A" w:rsidRDefault="002917A5" w:rsidP="002917A5">
      <w:r w:rsidRPr="00F10E3A">
        <w:rPr>
          <w:b/>
        </w:rPr>
        <w:lastRenderedPageBreak/>
        <w:t xml:space="preserve">Artículo 2o. Beneficiarios. </w:t>
      </w:r>
      <w:r w:rsidR="00EC6B0B" w:rsidRPr="00F10E3A">
        <w:rPr>
          <w:color w:val="000000" w:themeColor="text1"/>
        </w:rPr>
        <w:t xml:space="preserve">Podrán acceder a esta línea de crédito </w:t>
      </w:r>
      <w:r w:rsidR="00C46337" w:rsidRPr="00F10E3A">
        <w:rPr>
          <w:color w:val="000000" w:themeColor="text1"/>
        </w:rPr>
        <w:t>el</w:t>
      </w:r>
      <w:r w:rsidR="009A41F3" w:rsidRPr="00F10E3A">
        <w:rPr>
          <w:color w:val="000000" w:themeColor="text1"/>
        </w:rPr>
        <w:t xml:space="preserve"> pequeño</w:t>
      </w:r>
      <w:r w:rsidR="00BC4209" w:rsidRPr="00F10E3A">
        <w:rPr>
          <w:color w:val="000000" w:themeColor="text1"/>
        </w:rPr>
        <w:t>,</w:t>
      </w:r>
      <w:r w:rsidR="009A41F3" w:rsidRPr="00F10E3A">
        <w:rPr>
          <w:color w:val="000000" w:themeColor="text1"/>
        </w:rPr>
        <w:t xml:space="preserve"> mediano y gran productor </w:t>
      </w:r>
      <w:r w:rsidR="001A7034" w:rsidRPr="00F10E3A">
        <w:rPr>
          <w:color w:val="000000" w:themeColor="text1"/>
        </w:rPr>
        <w:t xml:space="preserve">cuya </w:t>
      </w:r>
      <w:r w:rsidR="00114FA3" w:rsidRPr="00F10E3A">
        <w:t>actividad económica</w:t>
      </w:r>
      <w:r w:rsidR="008B2E9F" w:rsidRPr="00F10E3A">
        <w:t>,</w:t>
      </w:r>
      <w:r w:rsidR="001A7034" w:rsidRPr="00F10E3A">
        <w:t xml:space="preserve"> </w:t>
      </w:r>
      <w:r w:rsidR="00114FA3" w:rsidRPr="00F10E3A">
        <w:t>de la cual depende</w:t>
      </w:r>
      <w:r w:rsidR="001A7034" w:rsidRPr="00F10E3A">
        <w:t>n</w:t>
      </w:r>
      <w:r w:rsidR="00114FA3" w:rsidRPr="00F10E3A">
        <w:t xml:space="preserve"> las fuentes de pago de sus </w:t>
      </w:r>
      <w:r w:rsidR="00A3180E" w:rsidRPr="00F10E3A">
        <w:t>pasivos no financieros</w:t>
      </w:r>
      <w:r w:rsidR="00502E12" w:rsidRPr="00F10E3A">
        <w:t>,</w:t>
      </w:r>
      <w:r w:rsidR="00A3180E" w:rsidRPr="00F10E3A">
        <w:t xml:space="preserve"> s</w:t>
      </w:r>
      <w:r w:rsidR="001A7034" w:rsidRPr="00F10E3A">
        <w:t>e vio afectada</w:t>
      </w:r>
      <w:r w:rsidR="00E24281" w:rsidRPr="00F10E3A">
        <w:t xml:space="preserve"> </w:t>
      </w:r>
      <w:r w:rsidR="00537056" w:rsidRPr="00F10E3A">
        <w:t xml:space="preserve">como consecuencia </w:t>
      </w:r>
      <w:r w:rsidR="00AE791D" w:rsidRPr="00F10E3A">
        <w:t xml:space="preserve">del cierre de la Vía al Llano </w:t>
      </w:r>
      <w:r w:rsidR="00537056" w:rsidRPr="00F10E3A">
        <w:t>desde el 1</w:t>
      </w:r>
      <w:r w:rsidR="00315261" w:rsidRPr="00F10E3A">
        <w:t>4</w:t>
      </w:r>
      <w:r w:rsidR="00537056" w:rsidRPr="00F10E3A">
        <w:t xml:space="preserve"> de </w:t>
      </w:r>
      <w:r w:rsidR="00315261" w:rsidRPr="00F10E3A">
        <w:t>junio</w:t>
      </w:r>
      <w:r w:rsidR="00537056" w:rsidRPr="00F10E3A">
        <w:t xml:space="preserve"> hasta el </w:t>
      </w:r>
      <w:r w:rsidR="00315261" w:rsidRPr="00F10E3A">
        <w:t>31</w:t>
      </w:r>
      <w:r w:rsidR="00537056" w:rsidRPr="00F10E3A">
        <w:t xml:space="preserve"> de </w:t>
      </w:r>
      <w:r w:rsidR="00315261" w:rsidRPr="00F10E3A">
        <w:t>diciembre</w:t>
      </w:r>
      <w:r w:rsidR="00537056" w:rsidRPr="00F10E3A">
        <w:t xml:space="preserve"> del 2019</w:t>
      </w:r>
      <w:r w:rsidR="00114FA3" w:rsidRPr="00F10E3A">
        <w:t>.</w:t>
      </w:r>
    </w:p>
    <w:p w:rsidR="00EB57EC" w:rsidRPr="00F10E3A" w:rsidRDefault="00EB57EC" w:rsidP="002917A5"/>
    <w:p w:rsidR="00D84D78" w:rsidRPr="00F10E3A" w:rsidRDefault="00EB57EC" w:rsidP="00502E12">
      <w:pPr>
        <w:rPr>
          <w:rFonts w:cs="Arial"/>
          <w:lang w:val="es-ES"/>
        </w:rPr>
      </w:pPr>
      <w:r w:rsidRPr="00F10E3A">
        <w:rPr>
          <w:b/>
        </w:rPr>
        <w:t>Artículo 3o.</w:t>
      </w:r>
      <w:r w:rsidRPr="00F10E3A">
        <w:t xml:space="preserve"> </w:t>
      </w:r>
      <w:r w:rsidRPr="00F10E3A">
        <w:rPr>
          <w:b/>
        </w:rPr>
        <w:t>Actividad financiable.</w:t>
      </w:r>
      <w:r w:rsidR="0036437C" w:rsidRPr="00F10E3A">
        <w:t xml:space="preserve"> </w:t>
      </w:r>
      <w:bookmarkStart w:id="4" w:name="_Hlk8109890"/>
      <w:r w:rsidR="00155E32" w:rsidRPr="00F10E3A">
        <w:t>E</w:t>
      </w:r>
      <w:r w:rsidR="00164889" w:rsidRPr="00F10E3A">
        <w:t>l pago de l</w:t>
      </w:r>
      <w:r w:rsidR="009123FC" w:rsidRPr="00F10E3A">
        <w:t xml:space="preserve">os pasivos </w:t>
      </w:r>
      <w:r w:rsidR="00502E12" w:rsidRPr="00F10E3A">
        <w:t xml:space="preserve">no financieros </w:t>
      </w:r>
      <w:r w:rsidR="00E44172" w:rsidRPr="00F10E3A">
        <w:t>adquirid</w:t>
      </w:r>
      <w:r w:rsidR="009123FC" w:rsidRPr="00F10E3A">
        <w:t>os</w:t>
      </w:r>
      <w:r w:rsidR="00E44172" w:rsidRPr="00F10E3A">
        <w:t xml:space="preserve"> con </w:t>
      </w:r>
      <w:r w:rsidR="005A0BCA" w:rsidRPr="00F10E3A">
        <w:t xml:space="preserve">casas de </w:t>
      </w:r>
      <w:proofErr w:type="spellStart"/>
      <w:r w:rsidR="005A0BCA" w:rsidRPr="00F10E3A">
        <w:t>agroinsumos</w:t>
      </w:r>
      <w:proofErr w:type="spellEnd"/>
      <w:r w:rsidR="005A0BCA" w:rsidRPr="00F10E3A">
        <w:t xml:space="preserve"> o </w:t>
      </w:r>
      <w:proofErr w:type="spellStart"/>
      <w:r w:rsidR="005A0BCA" w:rsidRPr="00F10E3A">
        <w:t>agrocomercios</w:t>
      </w:r>
      <w:proofErr w:type="spellEnd"/>
      <w:r w:rsidR="00E44172" w:rsidRPr="00F10E3A">
        <w:t xml:space="preserve">, </w:t>
      </w:r>
      <w:r w:rsidR="00164889" w:rsidRPr="00F10E3A">
        <w:t>p</w:t>
      </w:r>
      <w:r w:rsidR="00D53D84" w:rsidRPr="00F10E3A">
        <w:t xml:space="preserve">or la </w:t>
      </w:r>
      <w:r w:rsidR="00164889" w:rsidRPr="00F10E3A">
        <w:t>compra de insumos</w:t>
      </w:r>
      <w:r w:rsidR="009123FC" w:rsidRPr="00F10E3A">
        <w:t xml:space="preserve"> destinados </w:t>
      </w:r>
      <w:r w:rsidR="00164889" w:rsidRPr="00F10E3A">
        <w:t>a la</w:t>
      </w:r>
      <w:r w:rsidR="00D84D78" w:rsidRPr="00F10E3A">
        <w:t>s</w:t>
      </w:r>
      <w:r w:rsidR="00164889" w:rsidRPr="00F10E3A">
        <w:t xml:space="preserve"> </w:t>
      </w:r>
      <w:r w:rsidR="00C46337" w:rsidRPr="00F10E3A">
        <w:t>actividad</w:t>
      </w:r>
      <w:r w:rsidR="00D84D78" w:rsidRPr="00F10E3A">
        <w:t>es</w:t>
      </w:r>
      <w:r w:rsidR="00C46337" w:rsidRPr="00F10E3A">
        <w:t xml:space="preserve"> </w:t>
      </w:r>
      <w:r w:rsidR="00BC4209" w:rsidRPr="00F10E3A">
        <w:t>agropecuaria</w:t>
      </w:r>
      <w:r w:rsidR="00D84D78" w:rsidRPr="00F10E3A">
        <w:t>s</w:t>
      </w:r>
      <w:r w:rsidR="00BC4209" w:rsidRPr="00F10E3A">
        <w:t>, acuícola</w:t>
      </w:r>
      <w:r w:rsidR="00D84D78" w:rsidRPr="00F10E3A">
        <w:t>s</w:t>
      </w:r>
      <w:r w:rsidR="00343144" w:rsidRPr="00F10E3A">
        <w:t>,</w:t>
      </w:r>
      <w:r w:rsidR="00BC4209" w:rsidRPr="00F10E3A">
        <w:t xml:space="preserve"> </w:t>
      </w:r>
      <w:r w:rsidR="00343144" w:rsidRPr="00F10E3A">
        <w:t>piscícola</w:t>
      </w:r>
      <w:r w:rsidR="00D84D78" w:rsidRPr="00F10E3A">
        <w:t>s</w:t>
      </w:r>
      <w:r w:rsidR="00343144" w:rsidRPr="00F10E3A">
        <w:t xml:space="preserve"> </w:t>
      </w:r>
      <w:r w:rsidR="006606AB" w:rsidRPr="00F10E3A">
        <w:t>y</w:t>
      </w:r>
      <w:r w:rsidR="00BC4209" w:rsidRPr="00F10E3A">
        <w:t xml:space="preserve"> pesquera</w:t>
      </w:r>
      <w:r w:rsidR="00D84D78" w:rsidRPr="00F10E3A">
        <w:t xml:space="preserve">s en </w:t>
      </w:r>
      <w:r w:rsidR="00315261" w:rsidRPr="00F10E3A">
        <w:rPr>
          <w:rFonts w:cs="Arial"/>
          <w:szCs w:val="22"/>
          <w:lang w:val="es-ES"/>
        </w:rPr>
        <w:t xml:space="preserve">los </w:t>
      </w:r>
      <w:r w:rsidR="00315261" w:rsidRPr="00F10E3A">
        <w:rPr>
          <w:rFonts w:cs="Arial"/>
          <w:color w:val="000000" w:themeColor="text1"/>
        </w:rPr>
        <w:t xml:space="preserve">departamentos de </w:t>
      </w:r>
      <w:r w:rsidR="006C4F15">
        <w:rPr>
          <w:rFonts w:cs="Arial"/>
          <w:color w:val="000000" w:themeColor="text1"/>
        </w:rPr>
        <w:t>Guaviare</w:t>
      </w:r>
      <w:r w:rsidR="00315261" w:rsidRPr="00F10E3A">
        <w:rPr>
          <w:rFonts w:cs="Arial"/>
          <w:color w:val="000000" w:themeColor="text1"/>
        </w:rPr>
        <w:t xml:space="preserve">, Meta y los municipios de Medina, </w:t>
      </w:r>
      <w:proofErr w:type="spellStart"/>
      <w:r w:rsidR="00315261" w:rsidRPr="00F10E3A">
        <w:rPr>
          <w:rFonts w:cs="Arial"/>
          <w:color w:val="000000" w:themeColor="text1"/>
        </w:rPr>
        <w:t>Quetame</w:t>
      </w:r>
      <w:proofErr w:type="spellEnd"/>
      <w:r w:rsidR="00315261" w:rsidRPr="00F10E3A">
        <w:rPr>
          <w:rFonts w:cs="Arial"/>
          <w:color w:val="000000" w:themeColor="text1"/>
        </w:rPr>
        <w:t xml:space="preserve">, </w:t>
      </w:r>
      <w:proofErr w:type="spellStart"/>
      <w:r w:rsidR="00315261" w:rsidRPr="00F10E3A">
        <w:rPr>
          <w:rFonts w:cs="Arial"/>
          <w:color w:val="000000" w:themeColor="text1"/>
        </w:rPr>
        <w:t>Paratebueno</w:t>
      </w:r>
      <w:proofErr w:type="spellEnd"/>
      <w:r w:rsidR="00315261" w:rsidRPr="00F10E3A">
        <w:rPr>
          <w:rFonts w:cs="Arial"/>
          <w:color w:val="000000" w:themeColor="text1"/>
        </w:rPr>
        <w:t xml:space="preserve"> y </w:t>
      </w:r>
      <w:proofErr w:type="spellStart"/>
      <w:r w:rsidR="00315261" w:rsidRPr="00F10E3A">
        <w:rPr>
          <w:rFonts w:cs="Arial"/>
          <w:color w:val="000000" w:themeColor="text1"/>
        </w:rPr>
        <w:t>Guayabetal</w:t>
      </w:r>
      <w:proofErr w:type="spellEnd"/>
      <w:r w:rsidR="00315261" w:rsidRPr="00F10E3A">
        <w:rPr>
          <w:rFonts w:cs="Arial"/>
          <w:color w:val="000000" w:themeColor="text1"/>
        </w:rPr>
        <w:t xml:space="preserve"> (Cundinamarca) y Villanueva (Casanare)</w:t>
      </w:r>
      <w:r w:rsidR="00D84D78" w:rsidRPr="00F10E3A">
        <w:t>, que a partir del 1</w:t>
      </w:r>
      <w:r w:rsidR="0089080E" w:rsidRPr="00F10E3A">
        <w:t>4</w:t>
      </w:r>
      <w:r w:rsidR="00D84D78" w:rsidRPr="00F10E3A">
        <w:t xml:space="preserve"> de </w:t>
      </w:r>
      <w:r w:rsidR="00315261" w:rsidRPr="00F10E3A">
        <w:t>junio</w:t>
      </w:r>
      <w:r w:rsidR="00D84D78" w:rsidRPr="00F10E3A">
        <w:t xml:space="preserve"> de 2019 entren en mora, o sean objeto de modificación o reestructuració</w:t>
      </w:r>
      <w:r w:rsidR="00256F3F" w:rsidRPr="00F10E3A">
        <w:t>n.</w:t>
      </w:r>
    </w:p>
    <w:bookmarkEnd w:id="4"/>
    <w:p w:rsidR="000279F0" w:rsidRPr="00F10E3A" w:rsidRDefault="000279F0" w:rsidP="002917A5"/>
    <w:p w:rsidR="00BA37BF" w:rsidRPr="00F10E3A" w:rsidRDefault="00BA37BF" w:rsidP="002917A5">
      <w:r w:rsidRPr="00F10E3A">
        <w:rPr>
          <w:b/>
        </w:rPr>
        <w:t>Artículo 4o. Requisitos</w:t>
      </w:r>
      <w:r w:rsidR="00A60660" w:rsidRPr="00F10E3A">
        <w:rPr>
          <w:b/>
        </w:rPr>
        <w:t>.</w:t>
      </w:r>
      <w:r w:rsidRPr="00F10E3A">
        <w:t xml:space="preserve"> </w:t>
      </w:r>
      <w:bookmarkStart w:id="5" w:name="_Hlk8110404"/>
      <w:r w:rsidR="00A60660" w:rsidRPr="00F10E3A">
        <w:t xml:space="preserve">Además </w:t>
      </w:r>
      <w:r w:rsidRPr="00F10E3A">
        <w:t xml:space="preserve">de los previstos en la normatividad aplicable y la expedida por la Superintendencia Financiera de Colombia, así como en </w:t>
      </w:r>
      <w:r w:rsidR="00A60660" w:rsidRPr="00F10E3A">
        <w:t xml:space="preserve">el Manual de servicios de </w:t>
      </w:r>
      <w:r w:rsidRPr="00F10E3A">
        <w:t>FINAGRO, para el otorgamiento del crédito acá</w:t>
      </w:r>
      <w:r w:rsidR="00A60660" w:rsidRPr="00F10E3A">
        <w:t xml:space="preserve"> regulado</w:t>
      </w:r>
      <w:r w:rsidR="00C46C3C" w:rsidRPr="00F10E3A">
        <w:t>,</w:t>
      </w:r>
      <w:r w:rsidRPr="00F10E3A">
        <w:t xml:space="preserve"> los </w:t>
      </w:r>
      <w:r w:rsidR="00F41E9C" w:rsidRPr="00F10E3A">
        <w:t xml:space="preserve">intermediarios financieros </w:t>
      </w:r>
      <w:r w:rsidRPr="00F10E3A">
        <w:t xml:space="preserve">deberán exigir </w:t>
      </w:r>
      <w:r w:rsidR="00AF334A" w:rsidRPr="00F10E3A">
        <w:t>el cumplimiento de las siguientes condiciones</w:t>
      </w:r>
      <w:r w:rsidRPr="00F10E3A">
        <w:t>:</w:t>
      </w:r>
    </w:p>
    <w:p w:rsidR="00BA37BF" w:rsidRPr="00F10E3A" w:rsidRDefault="00BA37BF" w:rsidP="002917A5"/>
    <w:p w:rsidR="008D624B" w:rsidRPr="00F10E3A" w:rsidRDefault="00AF334A" w:rsidP="00F24C88">
      <w:pPr>
        <w:pStyle w:val="Prrafodelista"/>
        <w:numPr>
          <w:ilvl w:val="0"/>
          <w:numId w:val="1"/>
        </w:numPr>
        <w:ind w:left="284" w:hanging="284"/>
      </w:pPr>
      <w:r w:rsidRPr="00F10E3A">
        <w:t>Adjuntar c</w:t>
      </w:r>
      <w:r w:rsidR="008D624B" w:rsidRPr="00F10E3A">
        <w:t>opia simple del certificado de existencia y representación legal de</w:t>
      </w:r>
      <w:r w:rsidR="00FF315E" w:rsidRPr="00F10E3A">
        <w:t>l</w:t>
      </w:r>
      <w:r w:rsidR="008D624B" w:rsidRPr="00F10E3A">
        <w:t xml:space="preserve"> acreedor</w:t>
      </w:r>
      <w:r w:rsidR="00D1732B" w:rsidRPr="00F10E3A">
        <w:rPr>
          <w:color w:val="808080" w:themeColor="background1" w:themeShade="80"/>
        </w:rPr>
        <w:t>.</w:t>
      </w:r>
    </w:p>
    <w:p w:rsidR="008D624B" w:rsidRPr="00F10E3A" w:rsidRDefault="00AF334A" w:rsidP="00F24C88">
      <w:pPr>
        <w:pStyle w:val="Prrafodelista"/>
        <w:numPr>
          <w:ilvl w:val="0"/>
          <w:numId w:val="1"/>
        </w:numPr>
        <w:ind w:left="284" w:hanging="284"/>
      </w:pPr>
      <w:r w:rsidRPr="00F10E3A">
        <w:t>Adjuntar c</w:t>
      </w:r>
      <w:r w:rsidR="00BA37BF" w:rsidRPr="00F10E3A">
        <w:t xml:space="preserve">opia simple de </w:t>
      </w:r>
      <w:r w:rsidR="00602441" w:rsidRPr="00F10E3A">
        <w:t xml:space="preserve">los títulos valores que incorporan </w:t>
      </w:r>
      <w:r w:rsidR="007D2BA0" w:rsidRPr="00F10E3A">
        <w:t xml:space="preserve">las sumas adeudadas </w:t>
      </w:r>
      <w:r w:rsidR="005323D2" w:rsidRPr="00F10E3A">
        <w:t xml:space="preserve">a </w:t>
      </w:r>
      <w:r w:rsidR="006606AB" w:rsidRPr="00F10E3A">
        <w:t>las casas</w:t>
      </w:r>
      <w:r w:rsidR="005323D2" w:rsidRPr="00F10E3A">
        <w:t xml:space="preserve"> de </w:t>
      </w:r>
      <w:proofErr w:type="spellStart"/>
      <w:r w:rsidR="005323D2" w:rsidRPr="00F10E3A">
        <w:t>agroinsumos</w:t>
      </w:r>
      <w:proofErr w:type="spellEnd"/>
      <w:r w:rsidR="005323D2" w:rsidRPr="00F10E3A">
        <w:t xml:space="preserve"> y </w:t>
      </w:r>
      <w:proofErr w:type="spellStart"/>
      <w:r w:rsidR="005323D2" w:rsidRPr="00F10E3A">
        <w:t>agrocomercios</w:t>
      </w:r>
      <w:proofErr w:type="spellEnd"/>
      <w:r w:rsidR="005323D2" w:rsidRPr="00F10E3A">
        <w:t xml:space="preserve"> </w:t>
      </w:r>
      <w:r w:rsidR="007D2BA0" w:rsidRPr="00F10E3A">
        <w:t xml:space="preserve">por concepto de la </w:t>
      </w:r>
      <w:r w:rsidR="00D1150F" w:rsidRPr="00F10E3A">
        <w:t xml:space="preserve">compra </w:t>
      </w:r>
      <w:r w:rsidR="0044388B" w:rsidRPr="00F10E3A">
        <w:t>de insumo</w:t>
      </w:r>
      <w:r w:rsidR="00E472BA" w:rsidRPr="00F10E3A">
        <w:t>s</w:t>
      </w:r>
      <w:r w:rsidR="00D1150F" w:rsidRPr="00F10E3A">
        <w:t xml:space="preserve"> destinados a las actividades </w:t>
      </w:r>
      <w:r w:rsidR="005323D2" w:rsidRPr="00F10E3A">
        <w:t>agropecuari</w:t>
      </w:r>
      <w:r w:rsidR="006606AB" w:rsidRPr="00F10E3A">
        <w:t>a</w:t>
      </w:r>
      <w:r w:rsidR="005323D2" w:rsidRPr="00F10E3A">
        <w:t xml:space="preserve">s, acuícolas, piscícolas </w:t>
      </w:r>
      <w:r w:rsidR="006606AB" w:rsidRPr="00F10E3A">
        <w:t>y</w:t>
      </w:r>
      <w:r w:rsidR="005323D2" w:rsidRPr="00F10E3A">
        <w:t xml:space="preserve"> pesquer</w:t>
      </w:r>
      <w:r w:rsidR="006606AB" w:rsidRPr="00F10E3A">
        <w:t>a</w:t>
      </w:r>
      <w:r w:rsidR="005323D2" w:rsidRPr="00F10E3A">
        <w:t xml:space="preserve">s </w:t>
      </w:r>
      <w:r w:rsidR="00D1150F" w:rsidRPr="00F10E3A">
        <w:t>efectuadas, tales como facturas o pagaré</w:t>
      </w:r>
      <w:r w:rsidR="00885188" w:rsidRPr="00F10E3A">
        <w:t>s</w:t>
      </w:r>
      <w:r w:rsidR="00BA37BF" w:rsidRPr="00F10E3A">
        <w:t xml:space="preserve">, los cuales deben cumplir con las normas comerciales y tributarias vigentes. </w:t>
      </w:r>
    </w:p>
    <w:p w:rsidR="00BA37BF" w:rsidRPr="00F10E3A" w:rsidRDefault="00AF334A" w:rsidP="00AE65BE">
      <w:pPr>
        <w:pStyle w:val="Prrafodelista"/>
        <w:numPr>
          <w:ilvl w:val="0"/>
          <w:numId w:val="1"/>
        </w:numPr>
        <w:ind w:left="284" w:hanging="284"/>
      </w:pPr>
      <w:r w:rsidRPr="00F10E3A">
        <w:t>Adjuntar c</w:t>
      </w:r>
      <w:r w:rsidR="000A482C" w:rsidRPr="00F10E3A">
        <w:t xml:space="preserve">ertificación </w:t>
      </w:r>
      <w:r w:rsidR="00D1732B" w:rsidRPr="00F10E3A">
        <w:t>suscrita por el</w:t>
      </w:r>
      <w:r w:rsidR="000A482C" w:rsidRPr="00F10E3A">
        <w:t xml:space="preserve"> revisor fiscal</w:t>
      </w:r>
      <w:r w:rsidR="003B0CF3" w:rsidRPr="00F10E3A">
        <w:t>, contador</w:t>
      </w:r>
      <w:r w:rsidR="007D2BA0" w:rsidRPr="00F10E3A">
        <w:t xml:space="preserve"> o</w:t>
      </w:r>
      <w:r w:rsidR="000A482C" w:rsidRPr="00F10E3A">
        <w:t xml:space="preserve"> </w:t>
      </w:r>
      <w:r w:rsidR="003B0CF3" w:rsidRPr="00F10E3A">
        <w:t>representante legal</w:t>
      </w:r>
      <w:r w:rsidR="000A482C" w:rsidRPr="00F10E3A">
        <w:t xml:space="preserve"> de</w:t>
      </w:r>
      <w:r w:rsidR="00D1732B" w:rsidRPr="00F10E3A">
        <w:t>l acreedor</w:t>
      </w:r>
      <w:r w:rsidR="000A482C" w:rsidRPr="00F10E3A">
        <w:t xml:space="preserve">, </w:t>
      </w:r>
      <w:r w:rsidR="003B0CF3" w:rsidRPr="00F10E3A">
        <w:t xml:space="preserve">según corresponda, </w:t>
      </w:r>
      <w:r w:rsidR="00AE65BE" w:rsidRPr="00F10E3A">
        <w:t xml:space="preserve">donde conste </w:t>
      </w:r>
      <w:r w:rsidR="000A482C" w:rsidRPr="00F10E3A">
        <w:t>la existencia de</w:t>
      </w:r>
      <w:r w:rsidR="00BC40AF" w:rsidRPr="00F10E3A">
        <w:t xml:space="preserve"> </w:t>
      </w:r>
      <w:r w:rsidR="003856A6" w:rsidRPr="00F10E3A">
        <w:t>l</w:t>
      </w:r>
      <w:r w:rsidR="00BC40AF" w:rsidRPr="00F10E3A">
        <w:t>os</w:t>
      </w:r>
      <w:r w:rsidR="003856A6" w:rsidRPr="00F10E3A">
        <w:t xml:space="preserve"> pasivo</w:t>
      </w:r>
      <w:r w:rsidR="00BC40AF" w:rsidRPr="00F10E3A">
        <w:t>s</w:t>
      </w:r>
      <w:r w:rsidR="003856A6" w:rsidRPr="00F10E3A">
        <w:t xml:space="preserve"> no financiero</w:t>
      </w:r>
      <w:r w:rsidR="00BC40AF" w:rsidRPr="00F10E3A">
        <w:t>s</w:t>
      </w:r>
      <w:r w:rsidR="000A482C" w:rsidRPr="00F10E3A">
        <w:t xml:space="preserve"> </w:t>
      </w:r>
      <w:r w:rsidR="00CA4E7C" w:rsidRPr="00F10E3A">
        <w:t xml:space="preserve">por los conceptos establecidos en la presente </w:t>
      </w:r>
      <w:r w:rsidR="00DC556C" w:rsidRPr="00F10E3A">
        <w:t>resolución,</w:t>
      </w:r>
      <w:r w:rsidR="00CA4E7C" w:rsidRPr="00F10E3A">
        <w:t xml:space="preserve"> </w:t>
      </w:r>
      <w:r w:rsidR="00AE65BE" w:rsidRPr="00F10E3A">
        <w:t xml:space="preserve">así como el señalamiento </w:t>
      </w:r>
      <w:r w:rsidR="00CA4E7C" w:rsidRPr="00F10E3A">
        <w:t xml:space="preserve">de las garantías que </w:t>
      </w:r>
      <w:r w:rsidR="003856A6" w:rsidRPr="00F10E3A">
        <w:t>lo</w:t>
      </w:r>
      <w:r w:rsidR="00E96A60" w:rsidRPr="00F10E3A">
        <w:t>s</w:t>
      </w:r>
      <w:r w:rsidR="003856A6" w:rsidRPr="00F10E3A">
        <w:t xml:space="preserve"> </w:t>
      </w:r>
      <w:r w:rsidR="00CA4E7C" w:rsidRPr="00F10E3A">
        <w:t xml:space="preserve">respaldan. </w:t>
      </w:r>
      <w:r w:rsidR="001C316F" w:rsidRPr="00F10E3A">
        <w:t xml:space="preserve">De ser el caso, se </w:t>
      </w:r>
      <w:r w:rsidR="00CA4E7C" w:rsidRPr="00F10E3A">
        <w:t>deberá adjuntar</w:t>
      </w:r>
      <w:r w:rsidR="00DC556C" w:rsidRPr="00F10E3A">
        <w:t xml:space="preserve"> </w:t>
      </w:r>
      <w:r w:rsidR="00CA4E7C" w:rsidRPr="00F10E3A">
        <w:t xml:space="preserve">copia de </w:t>
      </w:r>
      <w:r w:rsidR="00DC556C" w:rsidRPr="00F10E3A">
        <w:t xml:space="preserve">la </w:t>
      </w:r>
      <w:r w:rsidR="00CA4E7C" w:rsidRPr="00F10E3A">
        <w:t>tarjeta profesional y certificación</w:t>
      </w:r>
      <w:r w:rsidR="00876843" w:rsidRPr="00F10E3A">
        <w:t xml:space="preserve"> de antecedentes disciplinarios</w:t>
      </w:r>
      <w:r w:rsidR="00CA4E7C" w:rsidRPr="00F10E3A">
        <w:t xml:space="preserve"> expedido por la Junta Central de </w:t>
      </w:r>
      <w:r w:rsidR="00396BBB" w:rsidRPr="00F10E3A">
        <w:t>C</w:t>
      </w:r>
      <w:r w:rsidR="00CA4E7C" w:rsidRPr="00F10E3A">
        <w:t>ontadores</w:t>
      </w:r>
      <w:r w:rsidR="00DC556C" w:rsidRPr="00F10E3A">
        <w:t xml:space="preserve"> de quien suscriba la certificación</w:t>
      </w:r>
      <w:r w:rsidR="00CA4E7C" w:rsidRPr="00F10E3A">
        <w:t xml:space="preserve">. </w:t>
      </w:r>
      <w:r w:rsidR="000A482C" w:rsidRPr="00F10E3A">
        <w:t xml:space="preserve"> </w:t>
      </w:r>
    </w:p>
    <w:p w:rsidR="00CA4E7C" w:rsidRPr="00F10E3A" w:rsidRDefault="00AF334A" w:rsidP="00F24C88">
      <w:pPr>
        <w:pStyle w:val="Prrafodelista"/>
        <w:numPr>
          <w:ilvl w:val="0"/>
          <w:numId w:val="1"/>
        </w:numPr>
        <w:ind w:left="284" w:hanging="284"/>
      </w:pPr>
      <w:r w:rsidRPr="00F10E3A">
        <w:t xml:space="preserve">El productor beneficiario </w:t>
      </w:r>
      <w:r w:rsidR="00320D4F" w:rsidRPr="00F10E3A">
        <w:t xml:space="preserve">del crédito </w:t>
      </w:r>
      <w:r w:rsidRPr="00F10E3A">
        <w:t xml:space="preserve">deberá </w:t>
      </w:r>
      <w:r w:rsidR="00320D4F" w:rsidRPr="00F10E3A">
        <w:t xml:space="preserve">autorizar que </w:t>
      </w:r>
      <w:r w:rsidR="00CA4E7C" w:rsidRPr="00F10E3A">
        <w:t>el desembolso del mismo, se efectúe directamente a</w:t>
      </w:r>
      <w:r w:rsidR="008E012F" w:rsidRPr="00F10E3A">
        <w:t xml:space="preserve"> </w:t>
      </w:r>
      <w:r w:rsidR="00320D4F" w:rsidRPr="00F10E3A">
        <w:t>l</w:t>
      </w:r>
      <w:r w:rsidR="008E012F" w:rsidRPr="00F10E3A">
        <w:t>a</w:t>
      </w:r>
      <w:r w:rsidR="00320D4F" w:rsidRPr="00F10E3A">
        <w:t xml:space="preserve"> </w:t>
      </w:r>
      <w:r w:rsidR="008E012F" w:rsidRPr="00F10E3A">
        <w:t xml:space="preserve">casa de </w:t>
      </w:r>
      <w:proofErr w:type="spellStart"/>
      <w:r w:rsidR="008E012F" w:rsidRPr="00F10E3A">
        <w:t>agroinsumo</w:t>
      </w:r>
      <w:r w:rsidR="00821A1E" w:rsidRPr="00F10E3A">
        <w:t>s</w:t>
      </w:r>
      <w:proofErr w:type="spellEnd"/>
      <w:r w:rsidR="008E012F" w:rsidRPr="00F10E3A">
        <w:t xml:space="preserve"> </w:t>
      </w:r>
      <w:r w:rsidR="006571E1" w:rsidRPr="00F10E3A">
        <w:t xml:space="preserve">o </w:t>
      </w:r>
      <w:proofErr w:type="spellStart"/>
      <w:r w:rsidR="006571E1" w:rsidRPr="00F10E3A">
        <w:t>agrocomercio</w:t>
      </w:r>
      <w:proofErr w:type="spellEnd"/>
      <w:r w:rsidR="00320D4F" w:rsidRPr="00F10E3A">
        <w:t xml:space="preserve"> </w:t>
      </w:r>
      <w:r w:rsidR="00CA4E7C" w:rsidRPr="00F10E3A">
        <w:t>respectivo.</w:t>
      </w:r>
    </w:p>
    <w:p w:rsidR="0031139F" w:rsidRPr="00F10E3A" w:rsidRDefault="0031139F" w:rsidP="0031139F">
      <w:pPr>
        <w:pStyle w:val="Prrafodelista"/>
        <w:ind w:left="284"/>
      </w:pPr>
    </w:p>
    <w:bookmarkEnd w:id="5"/>
    <w:p w:rsidR="00CA4E7C" w:rsidRPr="00F10E3A" w:rsidRDefault="00CA4E7C" w:rsidP="00CA4E7C">
      <w:r w:rsidRPr="00F10E3A">
        <w:rPr>
          <w:b/>
        </w:rPr>
        <w:t xml:space="preserve">Artículo 5o. Condiciones financieras. </w:t>
      </w:r>
      <w:r w:rsidRPr="00F10E3A">
        <w:t>El crédito que otorg</w:t>
      </w:r>
      <w:r w:rsidR="00847C8C" w:rsidRPr="00F10E3A">
        <w:t>u</w:t>
      </w:r>
      <w:r w:rsidRPr="00F10E3A">
        <w:t>e el intermediario financiero en los términos de esta resolución</w:t>
      </w:r>
      <w:r w:rsidR="00847C8C" w:rsidRPr="00F10E3A">
        <w:t>,</w:t>
      </w:r>
      <w:r w:rsidRPr="00F10E3A">
        <w:t xml:space="preserve"> se sujetará a las siguientes condiciones financieras:</w:t>
      </w:r>
    </w:p>
    <w:p w:rsidR="00CA4E7C" w:rsidRPr="00F10E3A" w:rsidRDefault="00CA4E7C" w:rsidP="00CA4E7C"/>
    <w:p w:rsidR="00A82737" w:rsidRPr="00F10E3A" w:rsidRDefault="00CA4E7C" w:rsidP="00E2498F">
      <w:pPr>
        <w:pStyle w:val="Prrafodelista"/>
        <w:numPr>
          <w:ilvl w:val="0"/>
          <w:numId w:val="2"/>
        </w:numPr>
        <w:ind w:left="284" w:hanging="284"/>
        <w:rPr>
          <w:b/>
        </w:rPr>
      </w:pPr>
      <w:r w:rsidRPr="00F10E3A">
        <w:rPr>
          <w:b/>
        </w:rPr>
        <w:t xml:space="preserve"> </w:t>
      </w:r>
      <w:r w:rsidR="00876843" w:rsidRPr="00F10E3A">
        <w:rPr>
          <w:b/>
        </w:rPr>
        <w:t xml:space="preserve">Monto: </w:t>
      </w:r>
      <w:r w:rsidR="00876843" w:rsidRPr="00F10E3A">
        <w:t>hasta el cien por ciento (100%) de</w:t>
      </w:r>
      <w:r w:rsidR="00B74CA3" w:rsidRPr="00F10E3A">
        <w:t xml:space="preserve"> </w:t>
      </w:r>
      <w:r w:rsidR="00A41EAB" w:rsidRPr="00F10E3A">
        <w:t>los pasivos no financieros</w:t>
      </w:r>
      <w:r w:rsidR="00B74CA3" w:rsidRPr="00F10E3A">
        <w:t xml:space="preserve"> </w:t>
      </w:r>
      <w:r w:rsidR="00CB0FB1" w:rsidRPr="00F10E3A">
        <w:t>acreditad</w:t>
      </w:r>
      <w:r w:rsidR="00A41EAB" w:rsidRPr="00F10E3A">
        <w:t>o</w:t>
      </w:r>
      <w:r w:rsidR="00CB0FB1" w:rsidRPr="00F10E3A">
        <w:t xml:space="preserve">s, </w:t>
      </w:r>
      <w:r w:rsidR="00876843" w:rsidRPr="00F10E3A">
        <w:t>a</w:t>
      </w:r>
      <w:r w:rsidR="00B74CA3" w:rsidRPr="00F10E3A">
        <w:t xml:space="preserve"> cargo del productor</w:t>
      </w:r>
      <w:r w:rsidR="00E2498F" w:rsidRPr="00F10E3A">
        <w:t xml:space="preserve"> </w:t>
      </w:r>
      <w:r w:rsidR="00876843" w:rsidRPr="00F10E3A">
        <w:t>por concepto de capital</w:t>
      </w:r>
      <w:r w:rsidR="0038494E" w:rsidRPr="00F10E3A">
        <w:t>,</w:t>
      </w:r>
      <w:r w:rsidR="00876843" w:rsidRPr="00F10E3A">
        <w:t xml:space="preserve"> intereses corrientes y de mora</w:t>
      </w:r>
      <w:r w:rsidR="0038494E" w:rsidRPr="00F10E3A">
        <w:t xml:space="preserve"> </w:t>
      </w:r>
      <w:r w:rsidR="00155E32" w:rsidRPr="00F10E3A">
        <w:t xml:space="preserve">hasta por noventa </w:t>
      </w:r>
      <w:r w:rsidR="0038494E" w:rsidRPr="00F10E3A">
        <w:t xml:space="preserve">(90) </w:t>
      </w:r>
      <w:r w:rsidR="00155E32" w:rsidRPr="00F10E3A">
        <w:t>días</w:t>
      </w:r>
      <w:r w:rsidR="00876843" w:rsidRPr="00F10E3A">
        <w:t xml:space="preserve">. </w:t>
      </w:r>
    </w:p>
    <w:p w:rsidR="0038494E" w:rsidRPr="00F10E3A" w:rsidRDefault="0038494E" w:rsidP="0038494E">
      <w:pPr>
        <w:pStyle w:val="Prrafodelista"/>
        <w:ind w:left="284"/>
        <w:rPr>
          <w:b/>
        </w:rPr>
      </w:pPr>
    </w:p>
    <w:p w:rsidR="00D95A58" w:rsidRPr="00F10E3A" w:rsidRDefault="00A82737" w:rsidP="00B74CA3">
      <w:pPr>
        <w:pStyle w:val="Prrafodelista"/>
        <w:numPr>
          <w:ilvl w:val="0"/>
          <w:numId w:val="2"/>
        </w:numPr>
        <w:ind w:left="284" w:hanging="284"/>
      </w:pPr>
      <w:r w:rsidRPr="00F10E3A">
        <w:rPr>
          <w:b/>
        </w:rPr>
        <w:t>Tasa de interés</w:t>
      </w:r>
      <w:r w:rsidR="00D95A58" w:rsidRPr="00F10E3A">
        <w:rPr>
          <w:b/>
        </w:rPr>
        <w:t>:</w:t>
      </w:r>
      <w:r w:rsidRPr="00F10E3A">
        <w:rPr>
          <w:b/>
        </w:rPr>
        <w:t xml:space="preserve"> </w:t>
      </w:r>
      <w:r w:rsidR="00D95A58" w:rsidRPr="00F10E3A">
        <w:t>l</w:t>
      </w:r>
      <w:r w:rsidRPr="00F10E3A">
        <w:t xml:space="preserve">a tasa de interés que se aplicará a los créditos de que trata esta </w:t>
      </w:r>
      <w:r w:rsidR="00115294" w:rsidRPr="00F10E3A">
        <w:t>resolución</w:t>
      </w:r>
      <w:r w:rsidRPr="00F10E3A">
        <w:t xml:space="preserve">, será la tasa establecida para los créditos en condiciones ordinarias, según </w:t>
      </w:r>
      <w:r w:rsidR="00115294" w:rsidRPr="00F10E3A">
        <w:t xml:space="preserve">las resoluciones </w:t>
      </w:r>
      <w:r w:rsidRPr="00F10E3A">
        <w:t>vigente</w:t>
      </w:r>
      <w:r w:rsidR="00115294" w:rsidRPr="00F10E3A">
        <w:t>s</w:t>
      </w:r>
      <w:r w:rsidRPr="00F10E3A">
        <w:t xml:space="preserve"> </w:t>
      </w:r>
      <w:r w:rsidR="00115294" w:rsidRPr="00F10E3A">
        <w:t xml:space="preserve">de </w:t>
      </w:r>
      <w:r w:rsidRPr="00F10E3A">
        <w:t xml:space="preserve">esta </w:t>
      </w:r>
      <w:r w:rsidR="00115294" w:rsidRPr="00F10E3A">
        <w:t>Comisión</w:t>
      </w:r>
      <w:r w:rsidR="00D95A58" w:rsidRPr="00F10E3A">
        <w:t>.</w:t>
      </w:r>
    </w:p>
    <w:p w:rsidR="00115294" w:rsidRPr="00F10E3A" w:rsidRDefault="00115294" w:rsidP="00115294">
      <w:pPr>
        <w:pStyle w:val="Prrafodelista"/>
        <w:ind w:left="284"/>
      </w:pPr>
    </w:p>
    <w:p w:rsidR="00D95A58" w:rsidRPr="00F10E3A" w:rsidRDefault="00D95A58" w:rsidP="00B74CA3">
      <w:pPr>
        <w:pStyle w:val="Prrafodelista"/>
        <w:numPr>
          <w:ilvl w:val="0"/>
          <w:numId w:val="2"/>
        </w:numPr>
        <w:ind w:left="284" w:hanging="284"/>
      </w:pPr>
      <w:r w:rsidRPr="00F10E3A">
        <w:rPr>
          <w:b/>
        </w:rPr>
        <w:t xml:space="preserve">Amortización de la deuda: </w:t>
      </w:r>
      <w:r w:rsidRPr="00F10E3A">
        <w:t>los abonos a capital, el periodo de gracia y la periodicidad de pago de los intereses se pactará con el intermediario financiero, de acuerdo con el flujo de caja del productor y/o la actividad productiva que desarrolla. La periodicidad de pago de intereses no podrá superar la modalidad año vencido.</w:t>
      </w:r>
    </w:p>
    <w:p w:rsidR="009A19A7" w:rsidRPr="00F10E3A" w:rsidRDefault="009A19A7" w:rsidP="009A19A7">
      <w:pPr>
        <w:pStyle w:val="Prrafodelista"/>
      </w:pPr>
    </w:p>
    <w:p w:rsidR="00D95A58" w:rsidRPr="00F10E3A" w:rsidRDefault="004574AA" w:rsidP="00B74CA3">
      <w:pPr>
        <w:pStyle w:val="Prrafodelista"/>
        <w:numPr>
          <w:ilvl w:val="0"/>
          <w:numId w:val="2"/>
        </w:numPr>
        <w:ind w:left="284" w:hanging="284"/>
      </w:pPr>
      <w:r w:rsidRPr="00F10E3A">
        <w:rPr>
          <w:b/>
        </w:rPr>
        <w:t>Margen</w:t>
      </w:r>
      <w:r w:rsidR="00D95A58" w:rsidRPr="00F10E3A">
        <w:rPr>
          <w:b/>
        </w:rPr>
        <w:t xml:space="preserve"> de redescuento:</w:t>
      </w:r>
      <w:r w:rsidR="00D95A58" w:rsidRPr="00F10E3A">
        <w:t xml:space="preserve"> el margen de redescuento será hasta el cien por ciento (100%).</w:t>
      </w:r>
    </w:p>
    <w:p w:rsidR="00D95A58" w:rsidRPr="00F10E3A" w:rsidRDefault="00D95A58" w:rsidP="00D95A58"/>
    <w:p w:rsidR="00030DF1" w:rsidRPr="00F10E3A" w:rsidRDefault="00D95A58" w:rsidP="00030DF1">
      <w:r w:rsidRPr="00F10E3A">
        <w:rPr>
          <w:b/>
        </w:rPr>
        <w:lastRenderedPageBreak/>
        <w:t>Artículo 6o.</w:t>
      </w:r>
      <w:r w:rsidR="00030DF1" w:rsidRPr="00F10E3A">
        <w:rPr>
          <w:b/>
        </w:rPr>
        <w:t xml:space="preserve"> </w:t>
      </w:r>
      <w:r w:rsidR="003B7495" w:rsidRPr="00F10E3A">
        <w:rPr>
          <w:b/>
        </w:rPr>
        <w:t xml:space="preserve">Registro. </w:t>
      </w:r>
      <w:r w:rsidR="00FE080F" w:rsidRPr="00F10E3A">
        <w:t xml:space="preserve">Las operaciones de </w:t>
      </w:r>
      <w:r w:rsidR="00885188" w:rsidRPr="00F10E3A">
        <w:t>qué</w:t>
      </w:r>
      <w:r w:rsidR="00FE080F" w:rsidRPr="00F10E3A">
        <w:t xml:space="preserve"> trata esta </w:t>
      </w:r>
      <w:r w:rsidR="003B7495" w:rsidRPr="00F10E3A">
        <w:t>r</w:t>
      </w:r>
      <w:r w:rsidR="00FE080F" w:rsidRPr="00F10E3A">
        <w:t xml:space="preserve">esolución deberán registrarse ante FINAGRO </w:t>
      </w:r>
      <w:r w:rsidR="0089080E" w:rsidRPr="00F10E3A">
        <w:t>hasta</w:t>
      </w:r>
      <w:r w:rsidR="00FE080F" w:rsidRPr="00F10E3A">
        <w:t xml:space="preserve"> de</w:t>
      </w:r>
      <w:r w:rsidR="00885188" w:rsidRPr="00F10E3A">
        <w:t>l 3</w:t>
      </w:r>
      <w:r w:rsidR="00AE791D" w:rsidRPr="00F10E3A">
        <w:t>1</w:t>
      </w:r>
      <w:r w:rsidR="00885188" w:rsidRPr="00F10E3A">
        <w:t xml:space="preserve"> de </w:t>
      </w:r>
      <w:r w:rsidR="00AE791D" w:rsidRPr="00F10E3A">
        <w:t>diciembre</w:t>
      </w:r>
      <w:r w:rsidR="00885188" w:rsidRPr="00F10E3A">
        <w:t xml:space="preserve"> de</w:t>
      </w:r>
      <w:r w:rsidR="002522E8" w:rsidRPr="00F10E3A">
        <w:t xml:space="preserve"> </w:t>
      </w:r>
      <w:r w:rsidR="00FE080F" w:rsidRPr="00F10E3A">
        <w:t>dos mil diecinueve (2019).</w:t>
      </w:r>
    </w:p>
    <w:p w:rsidR="00030DF1" w:rsidRPr="00F10E3A" w:rsidRDefault="00030DF1" w:rsidP="00D95A58">
      <w:pPr>
        <w:rPr>
          <w:b/>
        </w:rPr>
      </w:pPr>
    </w:p>
    <w:p w:rsidR="00760E6A" w:rsidRPr="00F10E3A" w:rsidRDefault="00F40827" w:rsidP="00760E6A">
      <w:r w:rsidRPr="00F10E3A">
        <w:rPr>
          <w:b/>
        </w:rPr>
        <w:t>Artículo 7o</w:t>
      </w:r>
      <w:r w:rsidRPr="00F10E3A">
        <w:t xml:space="preserve">. </w:t>
      </w:r>
      <w:r w:rsidR="00E63FAC" w:rsidRPr="00F10E3A">
        <w:rPr>
          <w:b/>
        </w:rPr>
        <w:t>Control de inversión y procedimientos</w:t>
      </w:r>
      <w:r w:rsidR="003B7495" w:rsidRPr="00F10E3A">
        <w:rPr>
          <w:b/>
        </w:rPr>
        <w:t>.</w:t>
      </w:r>
      <w:r w:rsidR="003B7495" w:rsidRPr="00F10E3A">
        <w:t xml:space="preserve"> </w:t>
      </w:r>
      <w:r w:rsidR="00760E6A" w:rsidRPr="00F10E3A">
        <w:t xml:space="preserve">Para efectos del control de inversión, el </w:t>
      </w:r>
      <w:r w:rsidR="00885188" w:rsidRPr="00F10E3A">
        <w:t>i</w:t>
      </w:r>
      <w:r w:rsidR="00A67F9B" w:rsidRPr="00F10E3A">
        <w:t xml:space="preserve">ntermediario </w:t>
      </w:r>
      <w:r w:rsidR="00885188" w:rsidRPr="00F10E3A">
        <w:t>f</w:t>
      </w:r>
      <w:r w:rsidR="00A67F9B" w:rsidRPr="00F10E3A">
        <w:t xml:space="preserve">inanciero </w:t>
      </w:r>
      <w:r w:rsidR="00760E6A" w:rsidRPr="00F10E3A">
        <w:t xml:space="preserve">deberá verificar que </w:t>
      </w:r>
      <w:r w:rsidR="009123FC" w:rsidRPr="00F10E3A">
        <w:t xml:space="preserve">la actividad </w:t>
      </w:r>
      <w:r w:rsidR="00A322A4" w:rsidRPr="00F10E3A">
        <w:t>productiva</w:t>
      </w:r>
      <w:r w:rsidR="004E516F" w:rsidRPr="00F10E3A">
        <w:t xml:space="preserve"> </w:t>
      </w:r>
      <w:r w:rsidR="00760E6A" w:rsidRPr="00F10E3A">
        <w:t>se encuentre ubicad</w:t>
      </w:r>
      <w:r w:rsidR="004E516F" w:rsidRPr="00F10E3A">
        <w:t>a</w:t>
      </w:r>
      <w:r w:rsidR="00760E6A" w:rsidRPr="00F10E3A">
        <w:t xml:space="preserve"> en </w:t>
      </w:r>
      <w:r w:rsidR="00AE791D" w:rsidRPr="00F10E3A">
        <w:t xml:space="preserve">los departamentos de </w:t>
      </w:r>
      <w:r w:rsidR="006C4F15">
        <w:t>Guaviare</w:t>
      </w:r>
      <w:r w:rsidR="00AE791D" w:rsidRPr="00F10E3A">
        <w:t xml:space="preserve">, Meta y los municipios de Medina, </w:t>
      </w:r>
      <w:proofErr w:type="spellStart"/>
      <w:r w:rsidR="00AE791D" w:rsidRPr="00F10E3A">
        <w:t>Quetame</w:t>
      </w:r>
      <w:proofErr w:type="spellEnd"/>
      <w:r w:rsidR="00AE791D" w:rsidRPr="00F10E3A">
        <w:t xml:space="preserve">, </w:t>
      </w:r>
      <w:proofErr w:type="spellStart"/>
      <w:r w:rsidR="00AE791D" w:rsidRPr="00F10E3A">
        <w:t>Paratebueno</w:t>
      </w:r>
      <w:proofErr w:type="spellEnd"/>
      <w:r w:rsidR="00AE791D" w:rsidRPr="00F10E3A">
        <w:t xml:space="preserve"> y </w:t>
      </w:r>
      <w:proofErr w:type="spellStart"/>
      <w:r w:rsidR="00AE791D" w:rsidRPr="00F10E3A">
        <w:t>Guayabetal</w:t>
      </w:r>
      <w:proofErr w:type="spellEnd"/>
      <w:r w:rsidR="00AE791D" w:rsidRPr="00F10E3A">
        <w:t xml:space="preserve"> (Cundinamarca) o Villanueva (Casanare) </w:t>
      </w:r>
      <w:r w:rsidR="000E24AC" w:rsidRPr="00F10E3A">
        <w:t>y que los recur</w:t>
      </w:r>
      <w:r w:rsidR="0063627D" w:rsidRPr="00F10E3A">
        <w:t>s</w:t>
      </w:r>
      <w:r w:rsidR="000E24AC" w:rsidRPr="00F10E3A">
        <w:t>os se destinarán al pago de</w:t>
      </w:r>
      <w:r w:rsidR="0063627D" w:rsidRPr="00F10E3A">
        <w:t xml:space="preserve"> </w:t>
      </w:r>
      <w:r w:rsidR="000E24AC" w:rsidRPr="00F10E3A">
        <w:t>pasivos no financieros</w:t>
      </w:r>
      <w:r w:rsidR="0063627D" w:rsidRPr="00F10E3A">
        <w:t>.</w:t>
      </w:r>
    </w:p>
    <w:p w:rsidR="00760E6A" w:rsidRPr="00F10E3A" w:rsidRDefault="00760E6A" w:rsidP="00F40827"/>
    <w:p w:rsidR="00F40827" w:rsidRPr="00F10E3A" w:rsidRDefault="003B7495" w:rsidP="00F40827">
      <w:r w:rsidRPr="00F10E3A">
        <w:t>FINAGRO adelantará el control de inversiones aleatorio y selectivo de los créditos objeto de la presente resolución y adoptará los procedimientos y medidas necesarias para el desarrollo de la presente resolución, para lo cual expedirá la circular reglamentaria</w:t>
      </w:r>
      <w:r w:rsidRPr="00F10E3A">
        <w:rPr>
          <w:spacing w:val="-5"/>
        </w:rPr>
        <w:t xml:space="preserve"> </w:t>
      </w:r>
      <w:r w:rsidRPr="00F10E3A">
        <w:t>correspondiente.</w:t>
      </w:r>
    </w:p>
    <w:p w:rsidR="00F40827" w:rsidRPr="00F10E3A" w:rsidRDefault="00F40827" w:rsidP="00D95A58">
      <w:pPr>
        <w:rPr>
          <w:b/>
        </w:rPr>
      </w:pPr>
    </w:p>
    <w:p w:rsidR="00F353D6" w:rsidRPr="00F10E3A" w:rsidRDefault="00B8406C" w:rsidP="00D95A58">
      <w:pPr>
        <w:rPr>
          <w:color w:val="000000" w:themeColor="text1"/>
        </w:rPr>
      </w:pPr>
      <w:r w:rsidRPr="00F10E3A">
        <w:rPr>
          <w:rFonts w:cs="Arial"/>
          <w:b/>
        </w:rPr>
        <w:t xml:space="preserve">Artículo </w:t>
      </w:r>
      <w:r w:rsidR="00F40827" w:rsidRPr="00F10E3A">
        <w:rPr>
          <w:rFonts w:cs="Arial"/>
          <w:b/>
        </w:rPr>
        <w:t>8</w:t>
      </w:r>
      <w:r w:rsidRPr="00F10E3A">
        <w:rPr>
          <w:rFonts w:cs="Arial"/>
          <w:b/>
        </w:rPr>
        <w:t xml:space="preserve">o. </w:t>
      </w:r>
      <w:r w:rsidR="00F353D6" w:rsidRPr="00F10E3A">
        <w:rPr>
          <w:rFonts w:cs="Arial"/>
          <w:b/>
        </w:rPr>
        <w:t xml:space="preserve">Vigencia. </w:t>
      </w:r>
      <w:r w:rsidR="003B7495" w:rsidRPr="00F10E3A">
        <w:rPr>
          <w:rFonts w:cs="Arial"/>
        </w:rPr>
        <w:t>La presente resolución rige a partir de la fecha de su publicación en el Diario Oficial, y sus efectos aplicarán a partir de la fecha en que FINAGRO expida la circular reglamentaria correspondiente.</w:t>
      </w:r>
      <w:r w:rsidR="00F353D6" w:rsidRPr="00F10E3A">
        <w:rPr>
          <w:color w:val="000000" w:themeColor="text1"/>
        </w:rPr>
        <w:t xml:space="preserve"> </w:t>
      </w:r>
    </w:p>
    <w:p w:rsidR="00F353D6" w:rsidRPr="00F10E3A" w:rsidRDefault="00F353D6" w:rsidP="00D95A58">
      <w:pPr>
        <w:rPr>
          <w:color w:val="000000" w:themeColor="text1"/>
        </w:rPr>
      </w:pPr>
    </w:p>
    <w:p w:rsidR="00D95A58" w:rsidRPr="00F10E3A" w:rsidRDefault="00F353D6" w:rsidP="00D95A58">
      <w:r w:rsidRPr="00F10E3A">
        <w:rPr>
          <w:color w:val="000000" w:themeColor="text1"/>
        </w:rPr>
        <w:t>Los términos y condiciones establecidos en las demás resoluciones de la Comisión Nacional de Crédito Agropecuario permanecerán inalterados y conservarán todo su vigencia y efecto, en cuanto no se opongan a lo establecido en la presente resolución.</w:t>
      </w:r>
    </w:p>
    <w:p w:rsidR="00D207EC" w:rsidRPr="00F10E3A" w:rsidRDefault="00D207EC" w:rsidP="00D95A58"/>
    <w:p w:rsidR="001A6B56" w:rsidRPr="00F10E3A" w:rsidRDefault="001A6B56" w:rsidP="001A6B56">
      <w:pPr>
        <w:pStyle w:val="Textoindependiente"/>
        <w:ind w:right="81"/>
      </w:pPr>
    </w:p>
    <w:p w:rsidR="001A6B56" w:rsidRPr="00F10E3A" w:rsidRDefault="001A6B56" w:rsidP="001A6B56">
      <w:pPr>
        <w:adjustRightInd w:val="0"/>
        <w:spacing w:line="0" w:lineRule="atLeast"/>
      </w:pPr>
      <w:r w:rsidRPr="00F10E3A">
        <w:t xml:space="preserve">Dada en Bogotá D.C., a los </w:t>
      </w:r>
      <w:r w:rsidR="00EA3F84" w:rsidRPr="00F10E3A">
        <w:t>XXXXX</w:t>
      </w:r>
      <w:r w:rsidRPr="00F10E3A">
        <w:t xml:space="preserve"> (</w:t>
      </w:r>
      <w:r w:rsidR="00EA3F84" w:rsidRPr="00F10E3A">
        <w:t>XX</w:t>
      </w:r>
      <w:r w:rsidRPr="00F10E3A">
        <w:t xml:space="preserve">) días del mes de </w:t>
      </w:r>
      <w:r w:rsidR="00EA3F84" w:rsidRPr="00F10E3A">
        <w:t>junio</w:t>
      </w:r>
      <w:r w:rsidR="00885188" w:rsidRPr="00F10E3A">
        <w:t xml:space="preserve"> </w:t>
      </w:r>
      <w:r w:rsidRPr="00F10E3A">
        <w:t xml:space="preserve">de dos mil </w:t>
      </w:r>
      <w:r w:rsidR="00525D7D" w:rsidRPr="00F10E3A">
        <w:t xml:space="preserve">diecinueve </w:t>
      </w:r>
      <w:r w:rsidRPr="00F10E3A">
        <w:t>(201</w:t>
      </w:r>
      <w:r w:rsidR="00525D7D" w:rsidRPr="00F10E3A">
        <w:t>9</w:t>
      </w:r>
      <w:r w:rsidRPr="00F10E3A">
        <w:t>).</w:t>
      </w:r>
    </w:p>
    <w:p w:rsidR="001A6B56" w:rsidRPr="00F10E3A" w:rsidRDefault="001A6B56" w:rsidP="001A6B56">
      <w:pPr>
        <w:ind w:right="81"/>
      </w:pPr>
    </w:p>
    <w:p w:rsidR="001A6B56" w:rsidRPr="00F10E3A" w:rsidRDefault="001A6B56" w:rsidP="001A6B56">
      <w:pPr>
        <w:ind w:right="81"/>
      </w:pPr>
    </w:p>
    <w:p w:rsidR="001A6B56" w:rsidRPr="00F10E3A" w:rsidRDefault="001A6B56" w:rsidP="001A6B56">
      <w:pPr>
        <w:ind w:right="81"/>
      </w:pPr>
    </w:p>
    <w:p w:rsidR="001A6B56" w:rsidRPr="00F10E3A" w:rsidRDefault="001A6B56" w:rsidP="001A6B56">
      <w:pPr>
        <w:ind w:right="81"/>
      </w:pPr>
    </w:p>
    <w:p w:rsidR="001A6B56" w:rsidRPr="00F10E3A" w:rsidRDefault="001A6B56" w:rsidP="001A6B56">
      <w:pPr>
        <w:spacing w:line="0" w:lineRule="atLeast"/>
        <w:ind w:right="81"/>
        <w:rPr>
          <w:b/>
          <w:color w:val="000000" w:themeColor="text1"/>
        </w:rPr>
      </w:pPr>
      <w:r w:rsidRPr="00F10E3A">
        <w:rPr>
          <w:b/>
          <w:color w:val="000000" w:themeColor="text1"/>
        </w:rPr>
        <w:t>ANDRÉS VALENCIA</w:t>
      </w:r>
      <w:r w:rsidRPr="00F10E3A">
        <w:rPr>
          <w:b/>
          <w:color w:val="000000" w:themeColor="text1"/>
        </w:rPr>
        <w:tab/>
        <w:t xml:space="preserve"> PINZÓN</w:t>
      </w:r>
      <w:r w:rsidRPr="00F10E3A">
        <w:rPr>
          <w:color w:val="000000" w:themeColor="text1"/>
        </w:rPr>
        <w:tab/>
      </w:r>
      <w:r w:rsidRPr="00F10E3A">
        <w:rPr>
          <w:color w:val="000000" w:themeColor="text1"/>
        </w:rPr>
        <w:tab/>
      </w:r>
      <w:r w:rsidRPr="00F10E3A">
        <w:rPr>
          <w:color w:val="000000" w:themeColor="text1"/>
        </w:rPr>
        <w:tab/>
      </w:r>
      <w:r w:rsidR="00D4713D" w:rsidRPr="00F10E3A">
        <w:rPr>
          <w:b/>
          <w:color w:val="000000" w:themeColor="text1"/>
        </w:rPr>
        <w:t>ANDRES LOZANO KARANAUSKAS</w:t>
      </w:r>
    </w:p>
    <w:p w:rsidR="001A6B56" w:rsidRPr="00A60AC7" w:rsidRDefault="001A6B56" w:rsidP="001A6B56">
      <w:pPr>
        <w:spacing w:line="0" w:lineRule="atLeast"/>
        <w:ind w:right="81" w:firstLine="720"/>
        <w:rPr>
          <w:color w:val="000000" w:themeColor="text1"/>
        </w:rPr>
      </w:pPr>
      <w:r w:rsidRPr="00F10E3A">
        <w:rPr>
          <w:color w:val="000000" w:themeColor="text1"/>
        </w:rPr>
        <w:t>Presidente</w:t>
      </w:r>
      <w:r w:rsidRPr="00F10E3A">
        <w:rPr>
          <w:color w:val="000000" w:themeColor="text1"/>
        </w:rPr>
        <w:tab/>
      </w:r>
      <w:r w:rsidRPr="00F10E3A">
        <w:rPr>
          <w:color w:val="000000" w:themeColor="text1"/>
        </w:rPr>
        <w:tab/>
      </w:r>
      <w:r w:rsidRPr="00F10E3A">
        <w:rPr>
          <w:color w:val="000000" w:themeColor="text1"/>
        </w:rPr>
        <w:tab/>
      </w:r>
      <w:r w:rsidRPr="00F10E3A">
        <w:rPr>
          <w:color w:val="000000" w:themeColor="text1"/>
        </w:rPr>
        <w:tab/>
      </w:r>
      <w:r w:rsidRPr="00F10E3A">
        <w:rPr>
          <w:color w:val="000000" w:themeColor="text1"/>
        </w:rPr>
        <w:tab/>
      </w:r>
      <w:r w:rsidRPr="00F10E3A">
        <w:rPr>
          <w:color w:val="000000" w:themeColor="text1"/>
        </w:rPr>
        <w:tab/>
        <w:t>Secretari</w:t>
      </w:r>
      <w:r w:rsidR="00D4713D" w:rsidRPr="00F10E3A">
        <w:rPr>
          <w:color w:val="000000" w:themeColor="text1"/>
        </w:rPr>
        <w:t>o</w:t>
      </w:r>
      <w:r w:rsidRPr="00F10E3A">
        <w:rPr>
          <w:color w:val="000000" w:themeColor="text1"/>
        </w:rPr>
        <w:t xml:space="preserve"> Técnic</w:t>
      </w:r>
      <w:r w:rsidR="00D4713D" w:rsidRPr="00F10E3A">
        <w:rPr>
          <w:color w:val="000000" w:themeColor="text1"/>
        </w:rPr>
        <w:t>o</w:t>
      </w:r>
      <w:r w:rsidRPr="00F10E3A">
        <w:rPr>
          <w:color w:val="000000" w:themeColor="text1"/>
        </w:rPr>
        <w:t xml:space="preserve"> (E)</w:t>
      </w:r>
      <w:r w:rsidRPr="00A60AC7">
        <w:rPr>
          <w:color w:val="000000" w:themeColor="text1"/>
        </w:rPr>
        <w:t xml:space="preserve"> </w:t>
      </w:r>
    </w:p>
    <w:sectPr w:rsidR="001A6B56" w:rsidRPr="00A60AC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F475D8"/>
    <w:multiLevelType w:val="hybridMultilevel"/>
    <w:tmpl w:val="53EE2234"/>
    <w:lvl w:ilvl="0" w:tplc="240A0017">
      <w:start w:val="1"/>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6D91133B"/>
    <w:multiLevelType w:val="hybridMultilevel"/>
    <w:tmpl w:val="2990E2F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3B3"/>
    <w:rsid w:val="000119B1"/>
    <w:rsid w:val="0002756B"/>
    <w:rsid w:val="000279F0"/>
    <w:rsid w:val="00027FC0"/>
    <w:rsid w:val="00030DF1"/>
    <w:rsid w:val="0004553D"/>
    <w:rsid w:val="000460E4"/>
    <w:rsid w:val="000575B7"/>
    <w:rsid w:val="000958F0"/>
    <w:rsid w:val="000A2A8B"/>
    <w:rsid w:val="000A482C"/>
    <w:rsid w:val="000A65D3"/>
    <w:rsid w:val="000A6807"/>
    <w:rsid w:val="000B07E9"/>
    <w:rsid w:val="000B1BC3"/>
    <w:rsid w:val="000C2550"/>
    <w:rsid w:val="000C731C"/>
    <w:rsid w:val="000E24AC"/>
    <w:rsid w:val="000E3864"/>
    <w:rsid w:val="000E4DCC"/>
    <w:rsid w:val="000F51B7"/>
    <w:rsid w:val="0010314E"/>
    <w:rsid w:val="001079F8"/>
    <w:rsid w:val="00114FA3"/>
    <w:rsid w:val="00115294"/>
    <w:rsid w:val="001231C6"/>
    <w:rsid w:val="00123803"/>
    <w:rsid w:val="00144E24"/>
    <w:rsid w:val="00155E32"/>
    <w:rsid w:val="0015737F"/>
    <w:rsid w:val="00163D07"/>
    <w:rsid w:val="00164889"/>
    <w:rsid w:val="00167B9A"/>
    <w:rsid w:val="0017691A"/>
    <w:rsid w:val="00182C24"/>
    <w:rsid w:val="00191D42"/>
    <w:rsid w:val="0019211C"/>
    <w:rsid w:val="00195A86"/>
    <w:rsid w:val="001A6B56"/>
    <w:rsid w:val="001A7034"/>
    <w:rsid w:val="001C0E54"/>
    <w:rsid w:val="001C316F"/>
    <w:rsid w:val="001D61DA"/>
    <w:rsid w:val="0020625E"/>
    <w:rsid w:val="00236B67"/>
    <w:rsid w:val="00242655"/>
    <w:rsid w:val="002522E8"/>
    <w:rsid w:val="002528CA"/>
    <w:rsid w:val="00256026"/>
    <w:rsid w:val="00256F3F"/>
    <w:rsid w:val="00264F9C"/>
    <w:rsid w:val="002827FA"/>
    <w:rsid w:val="002917A5"/>
    <w:rsid w:val="00293A09"/>
    <w:rsid w:val="00294E95"/>
    <w:rsid w:val="002C1393"/>
    <w:rsid w:val="002C3379"/>
    <w:rsid w:val="002C660D"/>
    <w:rsid w:val="002D0789"/>
    <w:rsid w:val="0030479F"/>
    <w:rsid w:val="0030732C"/>
    <w:rsid w:val="0031139F"/>
    <w:rsid w:val="00315261"/>
    <w:rsid w:val="00320D4F"/>
    <w:rsid w:val="003258D8"/>
    <w:rsid w:val="00335D88"/>
    <w:rsid w:val="00343144"/>
    <w:rsid w:val="00352F7B"/>
    <w:rsid w:val="0035452C"/>
    <w:rsid w:val="003625E0"/>
    <w:rsid w:val="0036437C"/>
    <w:rsid w:val="00375123"/>
    <w:rsid w:val="0038494E"/>
    <w:rsid w:val="003856A6"/>
    <w:rsid w:val="0039006A"/>
    <w:rsid w:val="003955AE"/>
    <w:rsid w:val="00396BBB"/>
    <w:rsid w:val="003A46E2"/>
    <w:rsid w:val="003A7E96"/>
    <w:rsid w:val="003B0040"/>
    <w:rsid w:val="003B0CF3"/>
    <w:rsid w:val="003B7495"/>
    <w:rsid w:val="003C42BE"/>
    <w:rsid w:val="003D5C39"/>
    <w:rsid w:val="003E15CC"/>
    <w:rsid w:val="003E1D89"/>
    <w:rsid w:val="003E7570"/>
    <w:rsid w:val="00400893"/>
    <w:rsid w:val="00405E1C"/>
    <w:rsid w:val="00415DEC"/>
    <w:rsid w:val="004205BD"/>
    <w:rsid w:val="004210D3"/>
    <w:rsid w:val="00422EA4"/>
    <w:rsid w:val="0043490E"/>
    <w:rsid w:val="0044388B"/>
    <w:rsid w:val="00446185"/>
    <w:rsid w:val="00451FB1"/>
    <w:rsid w:val="004574AA"/>
    <w:rsid w:val="004712E5"/>
    <w:rsid w:val="00474ED7"/>
    <w:rsid w:val="00477BDF"/>
    <w:rsid w:val="004973BB"/>
    <w:rsid w:val="004B0241"/>
    <w:rsid w:val="004B3A50"/>
    <w:rsid w:val="004D2634"/>
    <w:rsid w:val="004D7347"/>
    <w:rsid w:val="004D7448"/>
    <w:rsid w:val="004E476B"/>
    <w:rsid w:val="004E516F"/>
    <w:rsid w:val="004F72D8"/>
    <w:rsid w:val="00502E12"/>
    <w:rsid w:val="00525D7D"/>
    <w:rsid w:val="005323D2"/>
    <w:rsid w:val="00537056"/>
    <w:rsid w:val="005430BF"/>
    <w:rsid w:val="00543B34"/>
    <w:rsid w:val="0055588B"/>
    <w:rsid w:val="00557550"/>
    <w:rsid w:val="00576EEA"/>
    <w:rsid w:val="005950F2"/>
    <w:rsid w:val="0059588A"/>
    <w:rsid w:val="005A0BCA"/>
    <w:rsid w:val="005A6307"/>
    <w:rsid w:val="005A77AE"/>
    <w:rsid w:val="005B108F"/>
    <w:rsid w:val="005C704D"/>
    <w:rsid w:val="005D04EF"/>
    <w:rsid w:val="005E2119"/>
    <w:rsid w:val="005E6282"/>
    <w:rsid w:val="00602441"/>
    <w:rsid w:val="00612D43"/>
    <w:rsid w:val="00616C1E"/>
    <w:rsid w:val="00621194"/>
    <w:rsid w:val="006254FC"/>
    <w:rsid w:val="0063627D"/>
    <w:rsid w:val="00642290"/>
    <w:rsid w:val="006571E1"/>
    <w:rsid w:val="006606AB"/>
    <w:rsid w:val="00667176"/>
    <w:rsid w:val="006A413E"/>
    <w:rsid w:val="006A7573"/>
    <w:rsid w:val="006B21BC"/>
    <w:rsid w:val="006C035C"/>
    <w:rsid w:val="006C1CC1"/>
    <w:rsid w:val="006C4F15"/>
    <w:rsid w:val="006D6B92"/>
    <w:rsid w:val="006E3A75"/>
    <w:rsid w:val="006F27D3"/>
    <w:rsid w:val="00710429"/>
    <w:rsid w:val="00732CAA"/>
    <w:rsid w:val="00745ADF"/>
    <w:rsid w:val="00751B9E"/>
    <w:rsid w:val="00755E99"/>
    <w:rsid w:val="00760E6A"/>
    <w:rsid w:val="00764095"/>
    <w:rsid w:val="00773AFB"/>
    <w:rsid w:val="00787ACA"/>
    <w:rsid w:val="007B4AC8"/>
    <w:rsid w:val="007C0EDC"/>
    <w:rsid w:val="007D2BA0"/>
    <w:rsid w:val="007F700F"/>
    <w:rsid w:val="007F79DB"/>
    <w:rsid w:val="00821A1E"/>
    <w:rsid w:val="00833E45"/>
    <w:rsid w:val="00843786"/>
    <w:rsid w:val="00844F70"/>
    <w:rsid w:val="00847C8C"/>
    <w:rsid w:val="00872367"/>
    <w:rsid w:val="00874B41"/>
    <w:rsid w:val="00876843"/>
    <w:rsid w:val="00885188"/>
    <w:rsid w:val="0089080E"/>
    <w:rsid w:val="00893B36"/>
    <w:rsid w:val="008B2E9F"/>
    <w:rsid w:val="008B541E"/>
    <w:rsid w:val="008D624B"/>
    <w:rsid w:val="008E012F"/>
    <w:rsid w:val="008E15A4"/>
    <w:rsid w:val="008F1B61"/>
    <w:rsid w:val="009123FC"/>
    <w:rsid w:val="00941694"/>
    <w:rsid w:val="00952060"/>
    <w:rsid w:val="00966BF2"/>
    <w:rsid w:val="00970BE8"/>
    <w:rsid w:val="009833C6"/>
    <w:rsid w:val="00985859"/>
    <w:rsid w:val="009864D0"/>
    <w:rsid w:val="009A097E"/>
    <w:rsid w:val="009A19A7"/>
    <w:rsid w:val="009A41F3"/>
    <w:rsid w:val="009A4702"/>
    <w:rsid w:val="009A78F4"/>
    <w:rsid w:val="009B7BB2"/>
    <w:rsid w:val="009D194C"/>
    <w:rsid w:val="009E504C"/>
    <w:rsid w:val="009E683A"/>
    <w:rsid w:val="009F2FD8"/>
    <w:rsid w:val="009F624C"/>
    <w:rsid w:val="009F65F6"/>
    <w:rsid w:val="00A2112D"/>
    <w:rsid w:val="00A3030B"/>
    <w:rsid w:val="00A3034B"/>
    <w:rsid w:val="00A3180E"/>
    <w:rsid w:val="00A322A4"/>
    <w:rsid w:val="00A41EAB"/>
    <w:rsid w:val="00A446D4"/>
    <w:rsid w:val="00A60660"/>
    <w:rsid w:val="00A67F9B"/>
    <w:rsid w:val="00A75EFD"/>
    <w:rsid w:val="00A81EA2"/>
    <w:rsid w:val="00A82737"/>
    <w:rsid w:val="00A95DFE"/>
    <w:rsid w:val="00AA0E58"/>
    <w:rsid w:val="00AA49EB"/>
    <w:rsid w:val="00AB3CA4"/>
    <w:rsid w:val="00AB563A"/>
    <w:rsid w:val="00AC1069"/>
    <w:rsid w:val="00AD7114"/>
    <w:rsid w:val="00AE29C2"/>
    <w:rsid w:val="00AE65BE"/>
    <w:rsid w:val="00AE791D"/>
    <w:rsid w:val="00AF016C"/>
    <w:rsid w:val="00AF334A"/>
    <w:rsid w:val="00B03350"/>
    <w:rsid w:val="00B22CFE"/>
    <w:rsid w:val="00B247A8"/>
    <w:rsid w:val="00B30D17"/>
    <w:rsid w:val="00B35C50"/>
    <w:rsid w:val="00B60D66"/>
    <w:rsid w:val="00B73FB1"/>
    <w:rsid w:val="00B743B3"/>
    <w:rsid w:val="00B74CA3"/>
    <w:rsid w:val="00B820E8"/>
    <w:rsid w:val="00B8406C"/>
    <w:rsid w:val="00B864EA"/>
    <w:rsid w:val="00B92B50"/>
    <w:rsid w:val="00BA30EC"/>
    <w:rsid w:val="00BA37BF"/>
    <w:rsid w:val="00BA38A1"/>
    <w:rsid w:val="00BA6A40"/>
    <w:rsid w:val="00BC40AF"/>
    <w:rsid w:val="00BC4209"/>
    <w:rsid w:val="00BC45CE"/>
    <w:rsid w:val="00BD04A3"/>
    <w:rsid w:val="00BD72A6"/>
    <w:rsid w:val="00BE0BE0"/>
    <w:rsid w:val="00BE66CC"/>
    <w:rsid w:val="00BF028C"/>
    <w:rsid w:val="00BF5148"/>
    <w:rsid w:val="00C07C92"/>
    <w:rsid w:val="00C107B3"/>
    <w:rsid w:val="00C46337"/>
    <w:rsid w:val="00C46C3C"/>
    <w:rsid w:val="00C47E1E"/>
    <w:rsid w:val="00C709CC"/>
    <w:rsid w:val="00CA39AD"/>
    <w:rsid w:val="00CA4E7C"/>
    <w:rsid w:val="00CB0FB1"/>
    <w:rsid w:val="00CB7D63"/>
    <w:rsid w:val="00CD58B0"/>
    <w:rsid w:val="00CD5EFB"/>
    <w:rsid w:val="00CD66BE"/>
    <w:rsid w:val="00CD79C6"/>
    <w:rsid w:val="00D019F9"/>
    <w:rsid w:val="00D074DD"/>
    <w:rsid w:val="00D1150F"/>
    <w:rsid w:val="00D13E4C"/>
    <w:rsid w:val="00D1732B"/>
    <w:rsid w:val="00D207EC"/>
    <w:rsid w:val="00D32985"/>
    <w:rsid w:val="00D33416"/>
    <w:rsid w:val="00D4713D"/>
    <w:rsid w:val="00D53D84"/>
    <w:rsid w:val="00D84D78"/>
    <w:rsid w:val="00D95A58"/>
    <w:rsid w:val="00DA1E2C"/>
    <w:rsid w:val="00DB310E"/>
    <w:rsid w:val="00DC556C"/>
    <w:rsid w:val="00DF7AD8"/>
    <w:rsid w:val="00E01F35"/>
    <w:rsid w:val="00E1372C"/>
    <w:rsid w:val="00E24281"/>
    <w:rsid w:val="00E2498F"/>
    <w:rsid w:val="00E24D7E"/>
    <w:rsid w:val="00E44172"/>
    <w:rsid w:val="00E45C15"/>
    <w:rsid w:val="00E472BA"/>
    <w:rsid w:val="00E63FAC"/>
    <w:rsid w:val="00E755EA"/>
    <w:rsid w:val="00E80BEA"/>
    <w:rsid w:val="00E82612"/>
    <w:rsid w:val="00E845CB"/>
    <w:rsid w:val="00E93FB3"/>
    <w:rsid w:val="00E96A60"/>
    <w:rsid w:val="00EA3F84"/>
    <w:rsid w:val="00EB57EC"/>
    <w:rsid w:val="00EC6B0B"/>
    <w:rsid w:val="00EC7D15"/>
    <w:rsid w:val="00EE442F"/>
    <w:rsid w:val="00EF33B4"/>
    <w:rsid w:val="00F04820"/>
    <w:rsid w:val="00F05FF0"/>
    <w:rsid w:val="00F10293"/>
    <w:rsid w:val="00F10E3A"/>
    <w:rsid w:val="00F11BFA"/>
    <w:rsid w:val="00F168B7"/>
    <w:rsid w:val="00F2341A"/>
    <w:rsid w:val="00F24C88"/>
    <w:rsid w:val="00F342D8"/>
    <w:rsid w:val="00F353D6"/>
    <w:rsid w:val="00F354C6"/>
    <w:rsid w:val="00F3766D"/>
    <w:rsid w:val="00F40827"/>
    <w:rsid w:val="00F41E9C"/>
    <w:rsid w:val="00F52A90"/>
    <w:rsid w:val="00F822C2"/>
    <w:rsid w:val="00F9050B"/>
    <w:rsid w:val="00F90E90"/>
    <w:rsid w:val="00FB2146"/>
    <w:rsid w:val="00FC0B44"/>
    <w:rsid w:val="00FC4955"/>
    <w:rsid w:val="00FC706D"/>
    <w:rsid w:val="00FD5C4D"/>
    <w:rsid w:val="00FE080F"/>
    <w:rsid w:val="00FE267F"/>
    <w:rsid w:val="00FE505F"/>
    <w:rsid w:val="00FF08E6"/>
    <w:rsid w:val="00FF315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DEAE6D-A237-4A86-9518-D2A8B3AF0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0D3"/>
    <w:pPr>
      <w:spacing w:after="0" w:line="240" w:lineRule="auto"/>
      <w:jc w:val="both"/>
    </w:pPr>
    <w:rPr>
      <w:rFonts w:ascii="Arial" w:hAnsi="Arial" w:cs="Times New Roman"/>
      <w:szCs w:val="24"/>
      <w:lang w:eastAsia="es-ES"/>
    </w:rPr>
  </w:style>
  <w:style w:type="paragraph" w:styleId="Ttulo1">
    <w:name w:val="heading 1"/>
    <w:basedOn w:val="Normal"/>
    <w:link w:val="Ttulo1Car"/>
    <w:uiPriority w:val="1"/>
    <w:qFormat/>
    <w:rsid w:val="00AB3CA4"/>
    <w:pPr>
      <w:widowControl w:val="0"/>
      <w:autoSpaceDE w:val="0"/>
      <w:autoSpaceDN w:val="0"/>
      <w:ind w:left="1418"/>
      <w:jc w:val="center"/>
      <w:outlineLvl w:val="0"/>
    </w:pPr>
    <w:rPr>
      <w:rFonts w:eastAsia="Arial" w:cs="Arial"/>
      <w:b/>
      <w:bCs/>
      <w:szCs w:val="22"/>
      <w:lang w:eastAsia="es-CO" w:bidi="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A4702"/>
    <w:pPr>
      <w:spacing w:after="0" w:line="240" w:lineRule="auto"/>
      <w:jc w:val="both"/>
    </w:pPr>
    <w:rPr>
      <w:rFonts w:ascii="Arial" w:hAnsi="Arial" w:cs="Times New Roman"/>
      <w:szCs w:val="24"/>
      <w:lang w:eastAsia="es-ES"/>
    </w:rPr>
  </w:style>
  <w:style w:type="character" w:styleId="Refdecomentario">
    <w:name w:val="annotation reference"/>
    <w:basedOn w:val="Fuentedeprrafopredeter"/>
    <w:uiPriority w:val="99"/>
    <w:semiHidden/>
    <w:unhideWhenUsed/>
    <w:rsid w:val="00A3034B"/>
    <w:rPr>
      <w:sz w:val="16"/>
      <w:szCs w:val="16"/>
    </w:rPr>
  </w:style>
  <w:style w:type="paragraph" w:styleId="Textocomentario">
    <w:name w:val="annotation text"/>
    <w:basedOn w:val="Normal"/>
    <w:link w:val="TextocomentarioCar"/>
    <w:uiPriority w:val="99"/>
    <w:semiHidden/>
    <w:unhideWhenUsed/>
    <w:rsid w:val="00A3034B"/>
    <w:rPr>
      <w:sz w:val="20"/>
      <w:szCs w:val="20"/>
    </w:rPr>
  </w:style>
  <w:style w:type="character" w:customStyle="1" w:styleId="TextocomentarioCar">
    <w:name w:val="Texto comentario Car"/>
    <w:basedOn w:val="Fuentedeprrafopredeter"/>
    <w:link w:val="Textocomentario"/>
    <w:uiPriority w:val="99"/>
    <w:semiHidden/>
    <w:rsid w:val="00A3034B"/>
    <w:rPr>
      <w:rFonts w:ascii="Arial" w:hAnsi="Arial"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A3034B"/>
    <w:rPr>
      <w:b/>
      <w:bCs/>
    </w:rPr>
  </w:style>
  <w:style w:type="character" w:customStyle="1" w:styleId="AsuntodelcomentarioCar">
    <w:name w:val="Asunto del comentario Car"/>
    <w:basedOn w:val="TextocomentarioCar"/>
    <w:link w:val="Asuntodelcomentario"/>
    <w:uiPriority w:val="99"/>
    <w:semiHidden/>
    <w:rsid w:val="00A3034B"/>
    <w:rPr>
      <w:rFonts w:ascii="Arial" w:hAnsi="Arial" w:cs="Times New Roman"/>
      <w:b/>
      <w:bCs/>
      <w:sz w:val="20"/>
      <w:szCs w:val="20"/>
      <w:lang w:eastAsia="es-ES"/>
    </w:rPr>
  </w:style>
  <w:style w:type="paragraph" w:styleId="Textodeglobo">
    <w:name w:val="Balloon Text"/>
    <w:basedOn w:val="Normal"/>
    <w:link w:val="TextodegloboCar"/>
    <w:uiPriority w:val="99"/>
    <w:semiHidden/>
    <w:unhideWhenUsed/>
    <w:rsid w:val="00A3034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034B"/>
    <w:rPr>
      <w:rFonts w:ascii="Segoe UI" w:hAnsi="Segoe UI" w:cs="Segoe UI"/>
      <w:sz w:val="18"/>
      <w:szCs w:val="18"/>
      <w:lang w:eastAsia="es-ES"/>
    </w:rPr>
  </w:style>
  <w:style w:type="paragraph" w:styleId="Prrafodelista">
    <w:name w:val="List Paragraph"/>
    <w:basedOn w:val="Normal"/>
    <w:uiPriority w:val="34"/>
    <w:qFormat/>
    <w:rsid w:val="00BA37BF"/>
    <w:pPr>
      <w:ind w:left="720"/>
      <w:contextualSpacing/>
    </w:pPr>
  </w:style>
  <w:style w:type="paragraph" w:styleId="Textoindependiente">
    <w:name w:val="Body Text"/>
    <w:basedOn w:val="Normal"/>
    <w:link w:val="TextoindependienteCar"/>
    <w:uiPriority w:val="1"/>
    <w:qFormat/>
    <w:rsid w:val="001A6B56"/>
    <w:pPr>
      <w:widowControl w:val="0"/>
      <w:autoSpaceDE w:val="0"/>
      <w:autoSpaceDN w:val="0"/>
      <w:jc w:val="left"/>
    </w:pPr>
    <w:rPr>
      <w:rFonts w:eastAsia="Arial" w:cs="Arial"/>
      <w:szCs w:val="22"/>
      <w:lang w:eastAsia="es-CO" w:bidi="es-CO"/>
    </w:rPr>
  </w:style>
  <w:style w:type="character" w:customStyle="1" w:styleId="TextoindependienteCar">
    <w:name w:val="Texto independiente Car"/>
    <w:basedOn w:val="Fuentedeprrafopredeter"/>
    <w:link w:val="Textoindependiente"/>
    <w:uiPriority w:val="1"/>
    <w:rsid w:val="001A6B56"/>
    <w:rPr>
      <w:rFonts w:ascii="Arial" w:eastAsia="Arial" w:hAnsi="Arial" w:cs="Arial"/>
      <w:lang w:eastAsia="es-CO" w:bidi="es-CO"/>
    </w:rPr>
  </w:style>
  <w:style w:type="character" w:customStyle="1" w:styleId="Ttulo1Car">
    <w:name w:val="Título 1 Car"/>
    <w:basedOn w:val="Fuentedeprrafopredeter"/>
    <w:link w:val="Ttulo1"/>
    <w:uiPriority w:val="1"/>
    <w:rsid w:val="00AB3CA4"/>
    <w:rPr>
      <w:rFonts w:ascii="Arial" w:eastAsia="Arial" w:hAnsi="Arial" w:cs="Arial"/>
      <w:b/>
      <w:bCs/>
      <w:lang w:eastAsia="es-CO" w:bidi="es-CO"/>
    </w:rPr>
  </w:style>
  <w:style w:type="paragraph" w:customStyle="1" w:styleId="c5">
    <w:name w:val="c5"/>
    <w:basedOn w:val="Normal"/>
    <w:rsid w:val="00773AFB"/>
    <w:pPr>
      <w:autoSpaceDE w:val="0"/>
      <w:autoSpaceDN w:val="0"/>
      <w:spacing w:line="240" w:lineRule="atLeast"/>
      <w:jc w:val="center"/>
    </w:pPr>
    <w:rPr>
      <w:rFonts w:ascii="Times New Roman" w:hAnsi="Times New Roman"/>
      <w:sz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D7D79-6E00-4ABD-8E82-6A0DA6883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1555</Words>
  <Characters>8557</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Alfredo Benitez Lozano</dc:creator>
  <cp:lastModifiedBy>Andres Lozano Karanauskas</cp:lastModifiedBy>
  <cp:revision>2</cp:revision>
  <cp:lastPrinted>2019-05-02T20:06:00Z</cp:lastPrinted>
  <dcterms:created xsi:type="dcterms:W3CDTF">2019-06-17T22:27:00Z</dcterms:created>
  <dcterms:modified xsi:type="dcterms:W3CDTF">2019-06-17T22:27:00Z</dcterms:modified>
</cp:coreProperties>
</file>