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B89B" w14:textId="77777777" w:rsidR="008A4E27" w:rsidRPr="0043774E" w:rsidRDefault="008A4E27" w:rsidP="0087478E">
      <w:pPr>
        <w:pStyle w:val="c4"/>
        <w:tabs>
          <w:tab w:val="left" w:pos="-374"/>
          <w:tab w:val="left" w:pos="0"/>
        </w:tabs>
        <w:spacing w:line="240" w:lineRule="auto"/>
        <w:rPr>
          <w:rFonts w:ascii="Arial" w:hAnsi="Arial" w:cs="Arial"/>
          <w:b/>
          <w:color w:val="000000" w:themeColor="text1"/>
          <w:sz w:val="22"/>
          <w:szCs w:val="22"/>
          <w:lang w:val="es-CO"/>
        </w:rPr>
      </w:pPr>
      <w:r w:rsidRPr="0043774E">
        <w:rPr>
          <w:rFonts w:ascii="Arial" w:hAnsi="Arial" w:cs="Arial"/>
          <w:b/>
          <w:color w:val="000000" w:themeColor="text1"/>
          <w:sz w:val="22"/>
          <w:szCs w:val="22"/>
          <w:lang w:val="es-CO"/>
        </w:rPr>
        <w:t>REPÚBLICA DE COLOMBIA</w:t>
      </w:r>
    </w:p>
    <w:p w14:paraId="0C1800C2" w14:textId="77777777" w:rsidR="008A4E27" w:rsidRPr="0043774E" w:rsidRDefault="008A4E27" w:rsidP="0087478E">
      <w:pPr>
        <w:tabs>
          <w:tab w:val="left" w:pos="204"/>
        </w:tabs>
        <w:jc w:val="center"/>
        <w:rPr>
          <w:rFonts w:ascii="Arial" w:hAnsi="Arial" w:cs="Arial"/>
          <w:b/>
          <w:color w:val="000000" w:themeColor="text1"/>
          <w:sz w:val="22"/>
          <w:szCs w:val="22"/>
        </w:rPr>
      </w:pPr>
    </w:p>
    <w:p w14:paraId="0FE1C774" w14:textId="77777777" w:rsidR="00E069CF" w:rsidRPr="0043774E" w:rsidRDefault="00E069CF" w:rsidP="0087478E">
      <w:pPr>
        <w:tabs>
          <w:tab w:val="left" w:pos="204"/>
        </w:tabs>
        <w:jc w:val="center"/>
        <w:rPr>
          <w:rFonts w:ascii="Arial" w:hAnsi="Arial" w:cs="Arial"/>
          <w:b/>
          <w:color w:val="000000" w:themeColor="text1"/>
          <w:sz w:val="22"/>
          <w:szCs w:val="22"/>
        </w:rPr>
      </w:pPr>
    </w:p>
    <w:p w14:paraId="63AD70B9" w14:textId="77777777" w:rsidR="008A4E27" w:rsidRPr="0043774E" w:rsidRDefault="008A4E27" w:rsidP="0087478E">
      <w:pPr>
        <w:pStyle w:val="c4"/>
        <w:tabs>
          <w:tab w:val="left" w:pos="204"/>
        </w:tabs>
        <w:spacing w:line="240" w:lineRule="auto"/>
        <w:rPr>
          <w:rFonts w:ascii="Arial" w:hAnsi="Arial" w:cs="Arial"/>
          <w:b/>
          <w:color w:val="000000" w:themeColor="text1"/>
          <w:sz w:val="22"/>
          <w:szCs w:val="22"/>
          <w:lang w:val="es-CO"/>
        </w:rPr>
      </w:pPr>
      <w:r w:rsidRPr="0043774E">
        <w:rPr>
          <w:rFonts w:ascii="Arial" w:hAnsi="Arial" w:cs="Arial"/>
          <w:b/>
          <w:color w:val="000000" w:themeColor="text1"/>
          <w:sz w:val="22"/>
          <w:szCs w:val="22"/>
          <w:lang w:val="es-CO"/>
        </w:rPr>
        <w:t>COMISIÓN NACIONAL DE CRÉDITO AGROPECUARIO</w:t>
      </w:r>
    </w:p>
    <w:p w14:paraId="0FCA6345" w14:textId="77777777" w:rsidR="008A4E27" w:rsidRPr="0043774E" w:rsidRDefault="008A4E27" w:rsidP="0087478E">
      <w:pPr>
        <w:tabs>
          <w:tab w:val="left" w:pos="204"/>
        </w:tabs>
        <w:jc w:val="center"/>
        <w:rPr>
          <w:rFonts w:ascii="Arial" w:hAnsi="Arial" w:cs="Arial"/>
          <w:b/>
          <w:color w:val="000000" w:themeColor="text1"/>
          <w:sz w:val="22"/>
          <w:szCs w:val="22"/>
        </w:rPr>
      </w:pPr>
    </w:p>
    <w:p w14:paraId="624EFD6B" w14:textId="77777777" w:rsidR="008A4E27" w:rsidRPr="0043774E" w:rsidRDefault="008A4E27" w:rsidP="0087478E">
      <w:pPr>
        <w:pStyle w:val="c5"/>
        <w:tabs>
          <w:tab w:val="left" w:pos="204"/>
        </w:tabs>
        <w:spacing w:line="240" w:lineRule="auto"/>
        <w:rPr>
          <w:rFonts w:ascii="Arial" w:hAnsi="Arial" w:cs="Arial"/>
          <w:b/>
          <w:color w:val="000000" w:themeColor="text1"/>
          <w:sz w:val="22"/>
          <w:szCs w:val="22"/>
          <w:lang w:val="es-CO"/>
        </w:rPr>
      </w:pPr>
      <w:r w:rsidRPr="0043774E">
        <w:rPr>
          <w:rFonts w:ascii="Arial" w:hAnsi="Arial" w:cs="Arial"/>
          <w:b/>
          <w:color w:val="000000" w:themeColor="text1"/>
          <w:sz w:val="22"/>
          <w:szCs w:val="22"/>
          <w:lang w:val="es-CO"/>
        </w:rPr>
        <w:t>RESOLUCIÓN No.</w:t>
      </w:r>
      <w:r w:rsidR="009E20B7" w:rsidRPr="0043774E">
        <w:rPr>
          <w:rFonts w:ascii="Arial" w:hAnsi="Arial" w:cs="Arial"/>
          <w:b/>
          <w:color w:val="000000" w:themeColor="text1"/>
          <w:sz w:val="22"/>
          <w:szCs w:val="22"/>
          <w:lang w:val="es-CO"/>
        </w:rPr>
        <w:t xml:space="preserve"> </w:t>
      </w:r>
      <w:r w:rsidR="0024073B" w:rsidRPr="0043774E">
        <w:rPr>
          <w:rFonts w:ascii="Arial" w:hAnsi="Arial" w:cs="Arial"/>
          <w:b/>
          <w:color w:val="000000" w:themeColor="text1"/>
          <w:sz w:val="22"/>
          <w:szCs w:val="22"/>
          <w:lang w:val="es-CO"/>
        </w:rPr>
        <w:t>___</w:t>
      </w:r>
      <w:r w:rsidRPr="0043774E">
        <w:rPr>
          <w:rFonts w:ascii="Arial" w:hAnsi="Arial" w:cs="Arial"/>
          <w:b/>
          <w:color w:val="000000" w:themeColor="text1"/>
          <w:sz w:val="22"/>
          <w:szCs w:val="22"/>
          <w:lang w:val="es-CO"/>
        </w:rPr>
        <w:t xml:space="preserve"> DE 2019</w:t>
      </w:r>
    </w:p>
    <w:p w14:paraId="0B5CEA49" w14:textId="77777777" w:rsidR="008A4E27" w:rsidRPr="0043774E" w:rsidRDefault="008A4E27" w:rsidP="0087478E">
      <w:pPr>
        <w:pStyle w:val="c5"/>
        <w:tabs>
          <w:tab w:val="left" w:pos="204"/>
        </w:tabs>
        <w:spacing w:line="240" w:lineRule="auto"/>
        <w:rPr>
          <w:rFonts w:ascii="Arial" w:hAnsi="Arial" w:cs="Arial"/>
          <w:b/>
          <w:color w:val="000000" w:themeColor="text1"/>
          <w:sz w:val="22"/>
          <w:szCs w:val="22"/>
          <w:lang w:val="es-CO"/>
        </w:rPr>
      </w:pPr>
      <w:r w:rsidRPr="0043774E">
        <w:rPr>
          <w:rFonts w:ascii="Arial" w:hAnsi="Arial" w:cs="Arial"/>
          <w:b/>
          <w:color w:val="000000" w:themeColor="text1"/>
          <w:sz w:val="22"/>
          <w:szCs w:val="22"/>
          <w:lang w:val="es-CO"/>
        </w:rPr>
        <w:t>(</w:t>
      </w:r>
      <w:r w:rsidR="00797D3F" w:rsidRPr="0043774E">
        <w:rPr>
          <w:rFonts w:ascii="Arial" w:hAnsi="Arial" w:cs="Arial"/>
          <w:b/>
          <w:color w:val="000000" w:themeColor="text1"/>
          <w:sz w:val="22"/>
          <w:szCs w:val="22"/>
          <w:lang w:val="es-CO"/>
        </w:rPr>
        <w:t>_________</w:t>
      </w:r>
      <w:r w:rsidRPr="0043774E">
        <w:rPr>
          <w:rFonts w:ascii="Arial" w:hAnsi="Arial" w:cs="Arial"/>
          <w:b/>
          <w:color w:val="000000" w:themeColor="text1"/>
          <w:sz w:val="22"/>
          <w:szCs w:val="22"/>
          <w:lang w:val="es-CO"/>
        </w:rPr>
        <w:t>)</w:t>
      </w:r>
    </w:p>
    <w:p w14:paraId="0694A207" w14:textId="77777777" w:rsidR="008A4E27" w:rsidRPr="0043774E" w:rsidRDefault="008A4E27" w:rsidP="0087478E">
      <w:pPr>
        <w:tabs>
          <w:tab w:val="left" w:pos="204"/>
        </w:tabs>
        <w:rPr>
          <w:rFonts w:ascii="Arial" w:hAnsi="Arial" w:cs="Arial"/>
          <w:color w:val="000000" w:themeColor="text1"/>
          <w:sz w:val="22"/>
          <w:szCs w:val="22"/>
        </w:rPr>
      </w:pPr>
    </w:p>
    <w:p w14:paraId="0F18A02B" w14:textId="77777777" w:rsidR="009E20B7" w:rsidRPr="0043774E" w:rsidRDefault="009E20B7" w:rsidP="0024073B">
      <w:pPr>
        <w:tabs>
          <w:tab w:val="left" w:pos="204"/>
        </w:tabs>
        <w:jc w:val="center"/>
        <w:rPr>
          <w:rFonts w:ascii="Arial" w:hAnsi="Arial" w:cs="Arial"/>
          <w:color w:val="000000" w:themeColor="text1"/>
          <w:sz w:val="22"/>
          <w:szCs w:val="22"/>
          <w:lang w:eastAsia="es-ES"/>
        </w:rPr>
      </w:pPr>
    </w:p>
    <w:p w14:paraId="3EC538E2" w14:textId="77777777" w:rsidR="00A30D3B" w:rsidRPr="0043774E" w:rsidRDefault="001863C0" w:rsidP="00B500A3">
      <w:pPr>
        <w:jc w:val="center"/>
        <w:rPr>
          <w:rFonts w:ascii="Arial" w:hAnsi="Arial" w:cs="Arial"/>
          <w:color w:val="000000" w:themeColor="text1"/>
          <w:sz w:val="22"/>
          <w:szCs w:val="22"/>
        </w:rPr>
      </w:pPr>
      <w:r w:rsidRPr="0043774E">
        <w:rPr>
          <w:rFonts w:ascii="Arial" w:hAnsi="Arial" w:cs="Arial"/>
          <w:color w:val="000000" w:themeColor="text1"/>
          <w:sz w:val="22"/>
          <w:szCs w:val="22"/>
        </w:rPr>
        <w:t>“</w:t>
      </w:r>
      <w:bookmarkStart w:id="0" w:name="_Hlk7085830"/>
      <w:r w:rsidRPr="0043774E">
        <w:rPr>
          <w:rFonts w:ascii="Arial" w:hAnsi="Arial" w:cs="Arial"/>
          <w:color w:val="000000" w:themeColor="text1"/>
          <w:sz w:val="22"/>
          <w:szCs w:val="22"/>
        </w:rPr>
        <w:t xml:space="preserve">Por la cual se </w:t>
      </w:r>
      <w:r w:rsidR="00A363AC" w:rsidRPr="0043774E">
        <w:rPr>
          <w:rFonts w:ascii="Arial" w:hAnsi="Arial" w:cs="Arial"/>
          <w:color w:val="000000" w:themeColor="text1"/>
          <w:sz w:val="22"/>
          <w:szCs w:val="22"/>
        </w:rPr>
        <w:t xml:space="preserve">modifica </w:t>
      </w:r>
      <w:r w:rsidR="004950CF" w:rsidRPr="0043774E">
        <w:rPr>
          <w:rFonts w:ascii="Arial" w:hAnsi="Arial" w:cs="Arial"/>
          <w:color w:val="000000" w:themeColor="text1"/>
          <w:sz w:val="22"/>
          <w:szCs w:val="22"/>
        </w:rPr>
        <w:t>l</w:t>
      </w:r>
      <w:r w:rsidR="00A363AC" w:rsidRPr="0043774E">
        <w:rPr>
          <w:rFonts w:ascii="Arial" w:hAnsi="Arial" w:cs="Arial"/>
          <w:color w:val="000000" w:themeColor="text1"/>
          <w:sz w:val="22"/>
          <w:szCs w:val="22"/>
        </w:rPr>
        <w:t xml:space="preserve">a </w:t>
      </w:r>
      <w:r w:rsidR="004950CF" w:rsidRPr="0043774E">
        <w:rPr>
          <w:rFonts w:ascii="Arial" w:hAnsi="Arial" w:cs="Arial"/>
          <w:color w:val="000000" w:themeColor="text1"/>
          <w:sz w:val="22"/>
          <w:szCs w:val="22"/>
        </w:rPr>
        <w:t>R</w:t>
      </w:r>
      <w:r w:rsidR="00A363AC" w:rsidRPr="0043774E">
        <w:rPr>
          <w:rFonts w:ascii="Arial" w:hAnsi="Arial" w:cs="Arial"/>
          <w:color w:val="000000" w:themeColor="text1"/>
          <w:sz w:val="22"/>
          <w:szCs w:val="22"/>
        </w:rPr>
        <w:t xml:space="preserve">esolución No. 12 de </w:t>
      </w:r>
      <w:r w:rsidR="00B500A3" w:rsidRPr="0043774E">
        <w:rPr>
          <w:rFonts w:ascii="Arial" w:hAnsi="Arial" w:cs="Arial"/>
          <w:color w:val="000000" w:themeColor="text1"/>
          <w:sz w:val="22"/>
          <w:szCs w:val="22"/>
        </w:rPr>
        <w:t xml:space="preserve">2018 </w:t>
      </w:r>
      <w:r w:rsidR="008C24A9" w:rsidRPr="0043774E">
        <w:rPr>
          <w:rFonts w:ascii="Arial" w:hAnsi="Arial" w:cs="Arial"/>
          <w:color w:val="000000" w:themeColor="text1"/>
          <w:sz w:val="22"/>
          <w:szCs w:val="22"/>
        </w:rPr>
        <w:t>“</w:t>
      </w:r>
      <w:r w:rsidR="00A363AC" w:rsidRPr="0043774E">
        <w:rPr>
          <w:rFonts w:ascii="Arial" w:hAnsi="Arial" w:cs="Arial"/>
          <w:i/>
          <w:color w:val="000000" w:themeColor="text1"/>
          <w:sz w:val="22"/>
          <w:szCs w:val="22"/>
        </w:rPr>
        <w:t>Por la cual se establece el Plan Anual de ICR y LEC para el año 201</w:t>
      </w:r>
      <w:r w:rsidR="002D1F97" w:rsidRPr="0043774E">
        <w:rPr>
          <w:rFonts w:ascii="Arial" w:hAnsi="Arial" w:cs="Arial"/>
          <w:i/>
          <w:color w:val="000000" w:themeColor="text1"/>
          <w:sz w:val="22"/>
          <w:szCs w:val="22"/>
        </w:rPr>
        <w:t>9</w:t>
      </w:r>
      <w:r w:rsidR="00A363AC" w:rsidRPr="0043774E">
        <w:rPr>
          <w:rFonts w:ascii="Arial" w:hAnsi="Arial" w:cs="Arial"/>
          <w:i/>
          <w:color w:val="000000" w:themeColor="text1"/>
          <w:sz w:val="22"/>
          <w:szCs w:val="22"/>
        </w:rPr>
        <w:t xml:space="preserve"> y otras disposiciones</w:t>
      </w:r>
      <w:r w:rsidR="00A363AC" w:rsidRPr="0043774E">
        <w:rPr>
          <w:rFonts w:ascii="Arial" w:hAnsi="Arial" w:cs="Arial"/>
          <w:color w:val="000000" w:themeColor="text1"/>
          <w:sz w:val="22"/>
          <w:szCs w:val="22"/>
        </w:rPr>
        <w:t>”</w:t>
      </w:r>
      <w:r w:rsidR="00B500A3" w:rsidRPr="0043774E">
        <w:rPr>
          <w:rFonts w:ascii="Arial" w:hAnsi="Arial" w:cs="Arial"/>
          <w:color w:val="000000" w:themeColor="text1"/>
          <w:sz w:val="22"/>
          <w:szCs w:val="22"/>
        </w:rPr>
        <w:t xml:space="preserve"> </w:t>
      </w:r>
    </w:p>
    <w:p w14:paraId="2F2416D6" w14:textId="77777777" w:rsidR="001863C0" w:rsidRPr="0043774E" w:rsidRDefault="001863C0" w:rsidP="00B500A3">
      <w:pPr>
        <w:pStyle w:val="Ttulo2"/>
        <w:shd w:val="clear" w:color="auto" w:fill="FFFFFF"/>
        <w:jc w:val="center"/>
        <w:rPr>
          <w:rFonts w:ascii="Arial" w:eastAsia="Times New Roman" w:hAnsi="Arial" w:cs="Arial"/>
          <w:color w:val="000000" w:themeColor="text1"/>
          <w:sz w:val="22"/>
          <w:szCs w:val="22"/>
        </w:rPr>
      </w:pPr>
    </w:p>
    <w:bookmarkEnd w:id="0"/>
    <w:p w14:paraId="168CD654" w14:textId="77777777" w:rsidR="006F4645" w:rsidRPr="0043774E" w:rsidRDefault="006F4645" w:rsidP="0087478E">
      <w:pPr>
        <w:pStyle w:val="c5"/>
        <w:tabs>
          <w:tab w:val="left" w:pos="204"/>
        </w:tabs>
        <w:spacing w:line="240" w:lineRule="auto"/>
        <w:rPr>
          <w:rFonts w:ascii="Arial" w:hAnsi="Arial" w:cs="Arial"/>
          <w:color w:val="000000" w:themeColor="text1"/>
          <w:sz w:val="22"/>
          <w:szCs w:val="22"/>
          <w:lang w:val="es-CO" w:eastAsia="es-ES_tradnl"/>
        </w:rPr>
      </w:pPr>
    </w:p>
    <w:p w14:paraId="34070C0A" w14:textId="77777777" w:rsidR="008A4E27" w:rsidRPr="0043774E" w:rsidRDefault="008A4E27" w:rsidP="0087478E">
      <w:pPr>
        <w:pStyle w:val="c5"/>
        <w:tabs>
          <w:tab w:val="left" w:pos="204"/>
        </w:tabs>
        <w:spacing w:line="240" w:lineRule="auto"/>
        <w:rPr>
          <w:rFonts w:ascii="Arial" w:hAnsi="Arial" w:cs="Arial"/>
          <w:b/>
          <w:color w:val="000000" w:themeColor="text1"/>
          <w:sz w:val="22"/>
          <w:szCs w:val="22"/>
          <w:lang w:val="es-CO"/>
        </w:rPr>
      </w:pPr>
      <w:r w:rsidRPr="0043774E">
        <w:rPr>
          <w:rFonts w:ascii="Arial" w:hAnsi="Arial" w:cs="Arial"/>
          <w:b/>
          <w:color w:val="000000" w:themeColor="text1"/>
          <w:sz w:val="22"/>
          <w:szCs w:val="22"/>
          <w:lang w:val="es-CO"/>
        </w:rPr>
        <w:t>LA COMISIÓN NACIONAL DE CRÉDITO AGROPECUARIO</w:t>
      </w:r>
    </w:p>
    <w:p w14:paraId="0D65A5F7" w14:textId="77777777" w:rsidR="008A4E27" w:rsidRPr="0043774E" w:rsidRDefault="008A4E27" w:rsidP="0087478E">
      <w:pPr>
        <w:tabs>
          <w:tab w:val="left" w:pos="204"/>
        </w:tabs>
        <w:jc w:val="both"/>
        <w:rPr>
          <w:rFonts w:ascii="Arial" w:hAnsi="Arial" w:cs="Arial"/>
          <w:color w:val="000000" w:themeColor="text1"/>
          <w:sz w:val="22"/>
          <w:szCs w:val="22"/>
        </w:rPr>
      </w:pPr>
    </w:p>
    <w:p w14:paraId="0F9CAF67" w14:textId="1DC7F55F" w:rsidR="008A4E27" w:rsidRPr="0043774E" w:rsidRDefault="008A4E27" w:rsidP="0087478E">
      <w:pPr>
        <w:pStyle w:val="p6"/>
        <w:spacing w:line="240" w:lineRule="auto"/>
        <w:ind w:left="0"/>
        <w:rPr>
          <w:rFonts w:ascii="Arial" w:hAnsi="Arial" w:cs="Arial"/>
          <w:color w:val="000000" w:themeColor="text1"/>
          <w:sz w:val="22"/>
          <w:szCs w:val="22"/>
          <w:lang w:val="es-CO"/>
        </w:rPr>
      </w:pPr>
      <w:r w:rsidRPr="0043774E">
        <w:rPr>
          <w:rFonts w:ascii="Arial" w:hAnsi="Arial" w:cs="Arial"/>
          <w:color w:val="000000" w:themeColor="text1"/>
          <w:sz w:val="22"/>
          <w:szCs w:val="22"/>
          <w:lang w:val="es-CO"/>
        </w:rPr>
        <w:t>En ejercicio de las facultades conferidas por los artículos 218 y 220 del Estatuto Orgánico del Sistema Financiero, las Leyes 16 de 1990, 101 de 1993,</w:t>
      </w:r>
      <w:r w:rsidR="00B33764" w:rsidRPr="0043774E">
        <w:rPr>
          <w:rFonts w:ascii="Arial" w:hAnsi="Arial" w:cs="Arial"/>
          <w:color w:val="000000" w:themeColor="text1"/>
          <w:sz w:val="22"/>
          <w:szCs w:val="22"/>
          <w:lang w:val="es-CO"/>
        </w:rPr>
        <w:t xml:space="preserve"> </w:t>
      </w:r>
      <w:r w:rsidRPr="0043774E">
        <w:rPr>
          <w:rFonts w:ascii="Arial" w:hAnsi="Arial" w:cs="Arial"/>
          <w:color w:val="000000" w:themeColor="text1"/>
          <w:sz w:val="22"/>
          <w:szCs w:val="22"/>
          <w:lang w:val="es-CO"/>
        </w:rPr>
        <w:t>1133 de 2007, 1731 de 2014, el Decreto Ley 2371 de 2015</w:t>
      </w:r>
      <w:r w:rsidR="00ED2A66" w:rsidRPr="0043774E">
        <w:rPr>
          <w:rFonts w:ascii="Arial" w:hAnsi="Arial" w:cs="Arial"/>
          <w:color w:val="000000" w:themeColor="text1"/>
          <w:sz w:val="22"/>
          <w:szCs w:val="22"/>
          <w:lang w:val="es-CO"/>
        </w:rPr>
        <w:t xml:space="preserve"> y</w:t>
      </w:r>
      <w:r w:rsidRPr="0043774E">
        <w:rPr>
          <w:rFonts w:ascii="Arial" w:hAnsi="Arial" w:cs="Arial"/>
          <w:color w:val="000000" w:themeColor="text1"/>
          <w:sz w:val="22"/>
          <w:szCs w:val="22"/>
          <w:lang w:val="es-CO"/>
        </w:rPr>
        <w:t xml:space="preserve"> </w:t>
      </w:r>
      <w:r w:rsidR="00B562B1" w:rsidRPr="0043774E">
        <w:rPr>
          <w:rFonts w:ascii="Arial" w:hAnsi="Arial" w:cs="Arial"/>
          <w:color w:val="000000" w:themeColor="text1"/>
          <w:sz w:val="22"/>
          <w:szCs w:val="22"/>
          <w:lang w:val="es-CO"/>
        </w:rPr>
        <w:t>el</w:t>
      </w:r>
      <w:r w:rsidRPr="0043774E">
        <w:rPr>
          <w:rFonts w:ascii="Arial" w:hAnsi="Arial" w:cs="Arial"/>
          <w:color w:val="000000" w:themeColor="text1"/>
          <w:sz w:val="22"/>
          <w:szCs w:val="22"/>
          <w:lang w:val="es-CO"/>
        </w:rPr>
        <w:t xml:space="preserve"> Decreto 1313 de 1990</w:t>
      </w:r>
      <w:r w:rsidR="00ED70B9" w:rsidRPr="0043774E">
        <w:rPr>
          <w:rFonts w:ascii="Arial" w:hAnsi="Arial" w:cs="Arial"/>
          <w:color w:val="000000" w:themeColor="text1"/>
          <w:sz w:val="22"/>
          <w:szCs w:val="22"/>
          <w:lang w:val="es-CO"/>
        </w:rPr>
        <w:t>,</w:t>
      </w:r>
    </w:p>
    <w:p w14:paraId="0901BE84" w14:textId="77777777" w:rsidR="00E069CF" w:rsidRPr="0043774E" w:rsidRDefault="00E069CF" w:rsidP="0087478E">
      <w:pPr>
        <w:tabs>
          <w:tab w:val="left" w:pos="1479"/>
        </w:tabs>
        <w:jc w:val="center"/>
        <w:rPr>
          <w:rFonts w:ascii="Arial" w:hAnsi="Arial" w:cs="Arial"/>
          <w:b/>
          <w:color w:val="000000" w:themeColor="text1"/>
          <w:sz w:val="22"/>
          <w:szCs w:val="22"/>
        </w:rPr>
      </w:pPr>
    </w:p>
    <w:p w14:paraId="22F674FE" w14:textId="77777777" w:rsidR="008A4E27" w:rsidRPr="0043774E" w:rsidRDefault="008A4E27" w:rsidP="0087478E">
      <w:pPr>
        <w:tabs>
          <w:tab w:val="left" w:pos="1479"/>
        </w:tabs>
        <w:jc w:val="center"/>
        <w:rPr>
          <w:rFonts w:ascii="Arial" w:hAnsi="Arial" w:cs="Arial"/>
          <w:b/>
          <w:color w:val="000000" w:themeColor="text1"/>
          <w:sz w:val="22"/>
          <w:szCs w:val="22"/>
        </w:rPr>
      </w:pPr>
      <w:r w:rsidRPr="0043774E">
        <w:rPr>
          <w:rFonts w:ascii="Arial" w:hAnsi="Arial" w:cs="Arial"/>
          <w:b/>
          <w:color w:val="000000" w:themeColor="text1"/>
          <w:sz w:val="22"/>
          <w:szCs w:val="22"/>
        </w:rPr>
        <w:t>CONSIDERANDO</w:t>
      </w:r>
    </w:p>
    <w:p w14:paraId="63F30019" w14:textId="77777777" w:rsidR="005A6647" w:rsidRPr="0043774E" w:rsidRDefault="005A6647" w:rsidP="0087478E">
      <w:pPr>
        <w:widowControl w:val="0"/>
        <w:autoSpaceDE w:val="0"/>
        <w:autoSpaceDN w:val="0"/>
        <w:ind w:right="81"/>
        <w:jc w:val="both"/>
        <w:rPr>
          <w:rFonts w:ascii="Arial" w:eastAsia="Arial" w:hAnsi="Arial" w:cs="Arial"/>
          <w:b/>
          <w:color w:val="000000" w:themeColor="text1"/>
          <w:sz w:val="22"/>
          <w:szCs w:val="22"/>
          <w:lang w:eastAsia="es-CO" w:bidi="es-CO"/>
        </w:rPr>
      </w:pPr>
    </w:p>
    <w:p w14:paraId="7C57B863" w14:textId="77777777" w:rsidR="008A4E27" w:rsidRPr="0043774E" w:rsidRDefault="00581610" w:rsidP="0087478E">
      <w:pPr>
        <w:widowControl w:val="0"/>
        <w:autoSpaceDE w:val="0"/>
        <w:autoSpaceDN w:val="0"/>
        <w:ind w:right="81"/>
        <w:jc w:val="both"/>
        <w:rPr>
          <w:rFonts w:ascii="Arial" w:eastAsia="Arial" w:hAnsi="Arial" w:cs="Arial"/>
          <w:color w:val="000000" w:themeColor="text1"/>
          <w:sz w:val="22"/>
          <w:szCs w:val="22"/>
          <w:lang w:eastAsia="es-CO" w:bidi="es-CO"/>
        </w:rPr>
      </w:pPr>
      <w:r w:rsidRPr="0043774E">
        <w:rPr>
          <w:rFonts w:ascii="Arial" w:eastAsia="Arial" w:hAnsi="Arial" w:cs="Arial"/>
          <w:b/>
          <w:color w:val="000000" w:themeColor="text1"/>
          <w:sz w:val="22"/>
          <w:szCs w:val="22"/>
          <w:lang w:eastAsia="es-CO" w:bidi="es-CO"/>
        </w:rPr>
        <w:t>Primero</w:t>
      </w:r>
      <w:r w:rsidR="008A4E27" w:rsidRPr="0043774E">
        <w:rPr>
          <w:rFonts w:ascii="Arial" w:eastAsia="Arial" w:hAnsi="Arial" w:cs="Arial"/>
          <w:color w:val="000000" w:themeColor="text1"/>
          <w:sz w:val="22"/>
          <w:szCs w:val="22"/>
          <w:lang w:eastAsia="es-CO" w:bidi="es-CO"/>
        </w:rPr>
        <w:t xml:space="preserve">. Que de acuerdo con lo dispuesto en </w:t>
      </w:r>
      <w:r w:rsidR="002339EC" w:rsidRPr="0043774E">
        <w:rPr>
          <w:rFonts w:ascii="Arial" w:eastAsia="Arial" w:hAnsi="Arial" w:cs="Arial"/>
          <w:color w:val="000000" w:themeColor="text1"/>
          <w:sz w:val="22"/>
          <w:szCs w:val="22"/>
          <w:lang w:eastAsia="es-CO" w:bidi="es-CO"/>
        </w:rPr>
        <w:t xml:space="preserve">el </w:t>
      </w:r>
      <w:r w:rsidR="008A4E27" w:rsidRPr="0043774E">
        <w:rPr>
          <w:rFonts w:ascii="Arial" w:eastAsia="Arial" w:hAnsi="Arial" w:cs="Arial"/>
          <w:color w:val="000000" w:themeColor="text1"/>
          <w:sz w:val="22"/>
          <w:szCs w:val="22"/>
          <w:lang w:eastAsia="es-CO" w:bidi="es-CO"/>
        </w:rPr>
        <w:t>numeral 2. del artículo 218 del Estatuto Orgánico del Sistema Financiero, modificado por el artículo 2</w:t>
      </w:r>
      <w:r w:rsidR="00CC4E45" w:rsidRPr="0043774E">
        <w:rPr>
          <w:rFonts w:ascii="Arial" w:eastAsia="Arial" w:hAnsi="Arial" w:cs="Arial"/>
          <w:color w:val="000000" w:themeColor="text1"/>
          <w:sz w:val="22"/>
          <w:szCs w:val="22"/>
          <w:lang w:eastAsia="es-CO" w:bidi="es-CO"/>
        </w:rPr>
        <w:t>o.</w:t>
      </w:r>
      <w:r w:rsidR="008A4E27" w:rsidRPr="0043774E">
        <w:rPr>
          <w:rFonts w:ascii="Arial" w:eastAsia="Arial" w:hAnsi="Arial" w:cs="Arial"/>
          <w:color w:val="000000" w:themeColor="text1"/>
          <w:sz w:val="22"/>
          <w:szCs w:val="22"/>
          <w:lang w:eastAsia="es-CO" w:bidi="es-CO"/>
        </w:rPr>
        <w:t xml:space="preserve"> del Decreto Ley 2371 de 2015, la Comisión Nacional de Crédito Agropecuario - CNCA, </w:t>
      </w:r>
      <w:r w:rsidR="002339EC" w:rsidRPr="0043774E">
        <w:rPr>
          <w:rFonts w:ascii="Arial" w:eastAsia="Arial" w:hAnsi="Arial" w:cs="Arial"/>
          <w:color w:val="000000" w:themeColor="text1"/>
          <w:sz w:val="22"/>
          <w:szCs w:val="22"/>
          <w:lang w:eastAsia="es-CO" w:bidi="es-CO"/>
        </w:rPr>
        <w:t xml:space="preserve">como organismo rector del financiamiento del sector agropecuario y del manejo de riesgos </w:t>
      </w:r>
      <w:r w:rsidR="00ED2A66" w:rsidRPr="0043774E">
        <w:rPr>
          <w:rFonts w:ascii="Arial" w:eastAsia="Arial" w:hAnsi="Arial" w:cs="Arial"/>
          <w:color w:val="000000" w:themeColor="text1"/>
          <w:sz w:val="22"/>
          <w:szCs w:val="22"/>
          <w:lang w:eastAsia="es-CO" w:bidi="es-CO"/>
        </w:rPr>
        <w:t xml:space="preserve">del sector agropecuario </w:t>
      </w:r>
      <w:r w:rsidR="008A4E27" w:rsidRPr="0043774E">
        <w:rPr>
          <w:rFonts w:ascii="Arial" w:eastAsia="Arial" w:hAnsi="Arial" w:cs="Arial"/>
          <w:color w:val="000000" w:themeColor="text1"/>
          <w:sz w:val="22"/>
          <w:szCs w:val="22"/>
          <w:lang w:eastAsia="es-CO" w:bidi="es-CO"/>
        </w:rPr>
        <w:t>podrá:</w:t>
      </w:r>
    </w:p>
    <w:p w14:paraId="4C49B117" w14:textId="77777777" w:rsidR="008A4E27" w:rsidRPr="0043774E" w:rsidRDefault="008A4E27"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 xml:space="preserve">“(…) </w:t>
      </w:r>
    </w:p>
    <w:p w14:paraId="421B9466" w14:textId="77777777" w:rsidR="002339EC" w:rsidRPr="0043774E" w:rsidRDefault="002339EC"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3718ED1D" w14:textId="77777777" w:rsidR="00ED2A66" w:rsidRPr="0043774E" w:rsidRDefault="002339EC"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c) Fijar</w:t>
      </w:r>
      <w:r w:rsidR="00ED2A66" w:rsidRPr="0043774E">
        <w:rPr>
          <w:rFonts w:ascii="Arial" w:eastAsia="Arial" w:hAnsi="Arial" w:cs="Arial"/>
          <w:color w:val="000000" w:themeColor="text1"/>
          <w:sz w:val="22"/>
          <w:szCs w:val="22"/>
          <w:lang w:eastAsia="es-CO" w:bidi="es-CO"/>
        </w:rPr>
        <w:t>,</w:t>
      </w:r>
      <w:r w:rsidRPr="0043774E">
        <w:rPr>
          <w:rFonts w:ascii="Arial" w:eastAsia="Arial" w:hAnsi="Arial" w:cs="Arial"/>
          <w:color w:val="000000" w:themeColor="text1"/>
          <w:sz w:val="22"/>
          <w:szCs w:val="22"/>
          <w:lang w:eastAsia="es-CO" w:bidi="es-CO"/>
        </w:rPr>
        <w:t xml:space="preserve">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r w:rsidR="00A548F2" w:rsidRPr="0043774E">
        <w:rPr>
          <w:rFonts w:ascii="Arial" w:eastAsia="Arial" w:hAnsi="Arial" w:cs="Arial"/>
          <w:color w:val="000000" w:themeColor="text1"/>
          <w:sz w:val="22"/>
          <w:szCs w:val="22"/>
          <w:lang w:eastAsia="es-CO" w:bidi="es-CO"/>
        </w:rPr>
        <w:t xml:space="preserve">. </w:t>
      </w:r>
    </w:p>
    <w:p w14:paraId="524D4621" w14:textId="77777777" w:rsidR="002339EC" w:rsidRPr="0043774E"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w:t>
      </w:r>
    </w:p>
    <w:p w14:paraId="79883C99" w14:textId="77777777" w:rsidR="00ED2A66" w:rsidRPr="0043774E"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 xml:space="preserve">f) Fijar las tasas y márgenes de redescuento de las operaciones que apruebe Finagro. </w:t>
      </w:r>
    </w:p>
    <w:p w14:paraId="7A89A6E6" w14:textId="77777777" w:rsidR="00A548F2" w:rsidRPr="0043774E"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w:t>
      </w:r>
    </w:p>
    <w:p w14:paraId="0DD4C65C" w14:textId="77777777" w:rsidR="00ED2A66" w:rsidRPr="0043774E" w:rsidRDefault="008A4E27"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w:t>
      </w:r>
      <w:r w:rsidR="00A548F2" w:rsidRPr="0043774E">
        <w:rPr>
          <w:rFonts w:ascii="Arial" w:eastAsia="Arial" w:hAnsi="Arial" w:cs="Arial"/>
          <w:color w:val="000000" w:themeColor="text1"/>
          <w:sz w:val="22"/>
          <w:szCs w:val="22"/>
          <w:lang w:eastAsia="es-CO" w:bidi="es-CO"/>
        </w:rPr>
        <w:t xml:space="preserve"> </w:t>
      </w:r>
    </w:p>
    <w:p w14:paraId="36CA7431" w14:textId="77777777" w:rsidR="008A4E27" w:rsidRPr="0043774E"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w:t>
      </w:r>
    </w:p>
    <w:p w14:paraId="0FD83B32" w14:textId="77777777" w:rsidR="00A548F2" w:rsidRPr="0043774E"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q)  Las demás que le correspondan</w:t>
      </w:r>
      <w:r w:rsidR="00E10CCE" w:rsidRPr="0043774E">
        <w:rPr>
          <w:rFonts w:ascii="Arial" w:eastAsia="Arial" w:hAnsi="Arial" w:cs="Arial"/>
          <w:color w:val="000000" w:themeColor="text1"/>
          <w:sz w:val="22"/>
          <w:szCs w:val="22"/>
          <w:lang w:eastAsia="es-CO" w:bidi="es-CO"/>
        </w:rPr>
        <w:t xml:space="preserve"> como organismo rector de la política del financiamiento y gestión del riesgo del sector agropecuario.</w:t>
      </w:r>
    </w:p>
    <w:p w14:paraId="756393E6" w14:textId="77777777" w:rsidR="008A4E27" w:rsidRPr="0043774E" w:rsidRDefault="008A4E27"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lastRenderedPageBreak/>
        <w:t>(…)”</w:t>
      </w:r>
    </w:p>
    <w:p w14:paraId="082DDB3D" w14:textId="77777777" w:rsidR="008A4E27" w:rsidRPr="0043774E" w:rsidRDefault="00581610" w:rsidP="0087478E">
      <w:pPr>
        <w:widowControl w:val="0"/>
        <w:autoSpaceDE w:val="0"/>
        <w:autoSpaceDN w:val="0"/>
        <w:spacing w:before="185"/>
        <w:ind w:right="81"/>
        <w:jc w:val="both"/>
        <w:rPr>
          <w:rFonts w:ascii="Arial" w:eastAsia="Arial" w:hAnsi="Arial" w:cs="Arial"/>
          <w:color w:val="000000" w:themeColor="text1"/>
          <w:sz w:val="22"/>
          <w:szCs w:val="22"/>
          <w:lang w:eastAsia="es-CO" w:bidi="es-CO"/>
        </w:rPr>
      </w:pPr>
      <w:r w:rsidRPr="0043774E">
        <w:rPr>
          <w:rFonts w:ascii="Arial" w:hAnsi="Arial" w:cs="Arial"/>
          <w:b/>
          <w:color w:val="000000" w:themeColor="text1"/>
          <w:sz w:val="22"/>
          <w:szCs w:val="22"/>
        </w:rPr>
        <w:t>Segundo</w:t>
      </w:r>
      <w:r w:rsidR="008A4E27" w:rsidRPr="0043774E">
        <w:rPr>
          <w:rFonts w:ascii="Arial" w:eastAsia="Arial" w:hAnsi="Arial" w:cs="Arial"/>
          <w:b/>
          <w:color w:val="000000" w:themeColor="text1"/>
          <w:sz w:val="22"/>
          <w:szCs w:val="22"/>
          <w:lang w:eastAsia="es-CO" w:bidi="es-CO"/>
        </w:rPr>
        <w:t xml:space="preserve">. </w:t>
      </w:r>
      <w:r w:rsidR="008A4E27" w:rsidRPr="0043774E">
        <w:rPr>
          <w:rFonts w:ascii="Arial" w:eastAsia="Arial" w:hAnsi="Arial" w:cs="Arial"/>
          <w:color w:val="000000" w:themeColor="text1"/>
          <w:sz w:val="22"/>
          <w:szCs w:val="22"/>
          <w:lang w:eastAsia="es-CO" w:bidi="es-CO"/>
        </w:rPr>
        <w:t>Que de acuerdo con lo dispuesto en el artículo 220 del Estatuto Orgánico del Sistema Financiero, “La Comisión Nacional de Crédito Agropecuario 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 (…)”.</w:t>
      </w:r>
    </w:p>
    <w:p w14:paraId="6240703A" w14:textId="77777777" w:rsidR="00712E5F" w:rsidRPr="0043774E" w:rsidRDefault="00712E5F" w:rsidP="00DB77EE">
      <w:pPr>
        <w:jc w:val="both"/>
        <w:rPr>
          <w:rFonts w:ascii="Arial" w:hAnsi="Arial" w:cs="Arial"/>
          <w:b/>
          <w:color w:val="000000" w:themeColor="text1"/>
          <w:sz w:val="22"/>
          <w:szCs w:val="22"/>
        </w:rPr>
      </w:pPr>
    </w:p>
    <w:p w14:paraId="5D1E3C55" w14:textId="0B100D49" w:rsidR="00712E5F" w:rsidRPr="0043774E" w:rsidRDefault="008A7DE8" w:rsidP="00DB77EE">
      <w:pPr>
        <w:jc w:val="both"/>
        <w:rPr>
          <w:rFonts w:ascii="Arial" w:hAnsi="Arial" w:cs="Arial"/>
          <w:color w:val="000000" w:themeColor="text1"/>
          <w:sz w:val="22"/>
          <w:szCs w:val="22"/>
        </w:rPr>
      </w:pPr>
      <w:bookmarkStart w:id="1" w:name="_Hlk7177382"/>
      <w:r w:rsidRPr="0043774E">
        <w:rPr>
          <w:rFonts w:ascii="Arial" w:hAnsi="Arial" w:cs="Arial"/>
          <w:b/>
          <w:color w:val="000000" w:themeColor="text1"/>
          <w:sz w:val="22"/>
          <w:szCs w:val="22"/>
        </w:rPr>
        <w:t>Tercero</w:t>
      </w:r>
      <w:r w:rsidR="003A0576" w:rsidRPr="0043774E">
        <w:rPr>
          <w:rFonts w:ascii="Arial" w:hAnsi="Arial" w:cs="Arial"/>
          <w:color w:val="000000" w:themeColor="text1"/>
          <w:sz w:val="22"/>
          <w:szCs w:val="22"/>
        </w:rPr>
        <w:t xml:space="preserve">. </w:t>
      </w:r>
      <w:r w:rsidR="00712E5F" w:rsidRPr="0043774E">
        <w:rPr>
          <w:rFonts w:ascii="Arial" w:hAnsi="Arial" w:cs="Arial"/>
          <w:color w:val="000000" w:themeColor="text1"/>
          <w:sz w:val="22"/>
          <w:szCs w:val="22"/>
        </w:rPr>
        <w:t>Que, el Gobierno Nacional considera necesario tomar medidas para mitigar las p</w:t>
      </w:r>
      <w:r w:rsidR="00ED2A66" w:rsidRPr="0043774E">
        <w:rPr>
          <w:rFonts w:ascii="Arial" w:hAnsi="Arial" w:cs="Arial"/>
          <w:color w:val="000000" w:themeColor="text1"/>
          <w:sz w:val="22"/>
          <w:szCs w:val="22"/>
        </w:rPr>
        <w:t>é</w:t>
      </w:r>
      <w:r w:rsidR="00712E5F" w:rsidRPr="0043774E">
        <w:rPr>
          <w:rFonts w:ascii="Arial" w:hAnsi="Arial" w:cs="Arial"/>
          <w:color w:val="000000" w:themeColor="text1"/>
          <w:sz w:val="22"/>
          <w:szCs w:val="22"/>
        </w:rPr>
        <w:t xml:space="preserve">rdidas </w:t>
      </w:r>
      <w:bookmarkEnd w:id="1"/>
      <w:r w:rsidR="00ED2A66" w:rsidRPr="0043774E">
        <w:rPr>
          <w:rFonts w:ascii="Arial" w:hAnsi="Arial" w:cs="Arial"/>
          <w:color w:val="000000" w:themeColor="text1"/>
          <w:sz w:val="22"/>
          <w:szCs w:val="22"/>
        </w:rPr>
        <w:t xml:space="preserve">generadas </w:t>
      </w:r>
      <w:r w:rsidR="00712E5F" w:rsidRPr="0043774E">
        <w:rPr>
          <w:rFonts w:ascii="Arial" w:hAnsi="Arial" w:cs="Arial"/>
          <w:color w:val="000000" w:themeColor="text1"/>
          <w:sz w:val="22"/>
          <w:szCs w:val="22"/>
        </w:rPr>
        <w:t xml:space="preserve">por </w:t>
      </w:r>
      <w:r w:rsidR="003D126F" w:rsidRPr="0043774E">
        <w:rPr>
          <w:rFonts w:ascii="Arial" w:hAnsi="Arial" w:cs="Arial"/>
          <w:color w:val="000000" w:themeColor="text1"/>
          <w:sz w:val="22"/>
          <w:szCs w:val="22"/>
        </w:rPr>
        <w:t>el cierre de la Vía al Llano</w:t>
      </w:r>
      <w:r w:rsidR="00D5051C" w:rsidRPr="0043774E">
        <w:rPr>
          <w:rFonts w:ascii="Arial" w:hAnsi="Arial" w:cs="Arial"/>
          <w:color w:val="000000" w:themeColor="text1"/>
          <w:sz w:val="22"/>
          <w:szCs w:val="22"/>
        </w:rPr>
        <w:t>, la cual se ha presentado de manera intermitente durante el primer semestre de 2019 y de forma definitiva a partir del 14 de junio de 2019</w:t>
      </w:r>
      <w:r w:rsidR="003D126F" w:rsidRPr="0043774E">
        <w:rPr>
          <w:rFonts w:ascii="Arial" w:hAnsi="Arial" w:cs="Arial"/>
          <w:color w:val="000000" w:themeColor="text1"/>
          <w:sz w:val="22"/>
          <w:szCs w:val="22"/>
        </w:rPr>
        <w:t xml:space="preserve"> </w:t>
      </w:r>
      <w:r w:rsidR="00712E5F" w:rsidRPr="0043774E">
        <w:rPr>
          <w:rFonts w:ascii="Arial" w:hAnsi="Arial" w:cs="Arial"/>
          <w:color w:val="000000" w:themeColor="text1"/>
          <w:sz w:val="22"/>
          <w:szCs w:val="22"/>
        </w:rPr>
        <w:t xml:space="preserve">y </w:t>
      </w:r>
      <w:r w:rsidR="00C24216" w:rsidRPr="0043774E">
        <w:rPr>
          <w:rFonts w:ascii="Arial" w:hAnsi="Arial" w:cs="Arial"/>
          <w:color w:val="000000" w:themeColor="text1"/>
          <w:sz w:val="22"/>
          <w:szCs w:val="22"/>
        </w:rPr>
        <w:t>permitir</w:t>
      </w:r>
      <w:r w:rsidR="00712E5F" w:rsidRPr="0043774E">
        <w:rPr>
          <w:rFonts w:ascii="Arial" w:hAnsi="Arial" w:cs="Arial"/>
          <w:color w:val="000000" w:themeColor="text1"/>
          <w:sz w:val="22"/>
          <w:szCs w:val="22"/>
        </w:rPr>
        <w:t xml:space="preserve"> la reactivación financiera de los productores agropecuarios, acuícolas y pesqueros de </w:t>
      </w:r>
      <w:r w:rsidR="003D126F" w:rsidRPr="0043774E">
        <w:rPr>
          <w:rFonts w:ascii="Arial" w:hAnsi="Arial" w:cs="Arial"/>
          <w:sz w:val="22"/>
          <w:szCs w:val="22"/>
          <w:lang w:val="es-ES"/>
        </w:rPr>
        <w:t>Meta, Guaviare</w:t>
      </w:r>
      <w:r w:rsidR="00D5051C" w:rsidRPr="0043774E">
        <w:rPr>
          <w:rFonts w:ascii="Arial" w:hAnsi="Arial" w:cs="Arial"/>
          <w:sz w:val="22"/>
          <w:szCs w:val="22"/>
          <w:lang w:val="es-ES"/>
        </w:rPr>
        <w:t>, y los m</w:t>
      </w:r>
      <w:r w:rsidR="003D126F" w:rsidRPr="0043774E">
        <w:rPr>
          <w:rFonts w:ascii="Arial" w:hAnsi="Arial" w:cs="Arial"/>
          <w:sz w:val="22"/>
          <w:szCs w:val="22"/>
          <w:lang w:val="es-ES"/>
        </w:rPr>
        <w:t xml:space="preserve">unicipios Medina, </w:t>
      </w:r>
      <w:proofErr w:type="spellStart"/>
      <w:r w:rsidR="003D126F" w:rsidRPr="0043774E">
        <w:rPr>
          <w:rFonts w:ascii="Arial" w:hAnsi="Arial" w:cs="Arial"/>
          <w:sz w:val="22"/>
          <w:szCs w:val="22"/>
          <w:lang w:val="es-ES"/>
        </w:rPr>
        <w:t>Quetame</w:t>
      </w:r>
      <w:proofErr w:type="spellEnd"/>
      <w:r w:rsidR="003D126F" w:rsidRPr="0043774E">
        <w:rPr>
          <w:rFonts w:ascii="Arial" w:hAnsi="Arial" w:cs="Arial"/>
          <w:sz w:val="22"/>
          <w:szCs w:val="22"/>
          <w:lang w:val="es-ES"/>
        </w:rPr>
        <w:t xml:space="preserve">, </w:t>
      </w:r>
      <w:proofErr w:type="spellStart"/>
      <w:r w:rsidR="003D126F" w:rsidRPr="0043774E">
        <w:rPr>
          <w:rFonts w:ascii="Arial" w:hAnsi="Arial" w:cs="Arial"/>
          <w:sz w:val="22"/>
          <w:szCs w:val="22"/>
          <w:lang w:val="es-ES"/>
        </w:rPr>
        <w:t>Paratebueno</w:t>
      </w:r>
      <w:proofErr w:type="spellEnd"/>
      <w:r w:rsidR="003D126F" w:rsidRPr="0043774E">
        <w:rPr>
          <w:rFonts w:ascii="Arial" w:hAnsi="Arial" w:cs="Arial"/>
          <w:sz w:val="22"/>
          <w:szCs w:val="22"/>
          <w:lang w:val="es-ES"/>
        </w:rPr>
        <w:t xml:space="preserve"> y </w:t>
      </w:r>
      <w:proofErr w:type="spellStart"/>
      <w:r w:rsidR="003D126F" w:rsidRPr="0043774E">
        <w:rPr>
          <w:rFonts w:ascii="Arial" w:hAnsi="Arial" w:cs="Arial"/>
          <w:sz w:val="22"/>
          <w:szCs w:val="22"/>
          <w:lang w:val="es-ES"/>
        </w:rPr>
        <w:t>Guayabetal</w:t>
      </w:r>
      <w:proofErr w:type="spellEnd"/>
      <w:r w:rsidR="00D5051C" w:rsidRPr="0043774E">
        <w:rPr>
          <w:rFonts w:ascii="Arial" w:hAnsi="Arial" w:cs="Arial"/>
          <w:sz w:val="22"/>
          <w:szCs w:val="22"/>
          <w:lang w:val="es-ES"/>
        </w:rPr>
        <w:t xml:space="preserve"> (Cundinamarca</w:t>
      </w:r>
      <w:r w:rsidR="003D126F" w:rsidRPr="0043774E">
        <w:rPr>
          <w:rFonts w:ascii="Arial" w:hAnsi="Arial" w:cs="Arial"/>
          <w:sz w:val="22"/>
          <w:szCs w:val="22"/>
          <w:lang w:val="es-ES"/>
        </w:rPr>
        <w:t>)</w:t>
      </w:r>
      <w:r w:rsidR="00D5051C" w:rsidRPr="0043774E">
        <w:rPr>
          <w:rFonts w:ascii="Arial" w:hAnsi="Arial" w:cs="Arial"/>
          <w:sz w:val="22"/>
          <w:szCs w:val="22"/>
          <w:lang w:val="es-ES"/>
        </w:rPr>
        <w:t>,</w:t>
      </w:r>
      <w:r w:rsidR="003D126F" w:rsidRPr="0043774E">
        <w:rPr>
          <w:rFonts w:ascii="Arial" w:hAnsi="Arial" w:cs="Arial"/>
          <w:sz w:val="22"/>
          <w:szCs w:val="22"/>
          <w:lang w:val="es-ES"/>
        </w:rPr>
        <w:t xml:space="preserve"> y</w:t>
      </w:r>
      <w:r w:rsidR="00D1419B" w:rsidRPr="0043774E">
        <w:rPr>
          <w:rFonts w:ascii="Arial" w:hAnsi="Arial" w:cs="Arial"/>
          <w:sz w:val="22"/>
          <w:szCs w:val="22"/>
          <w:lang w:val="es-ES"/>
        </w:rPr>
        <w:t xml:space="preserve"> </w:t>
      </w:r>
      <w:r w:rsidR="003D126F" w:rsidRPr="0043774E">
        <w:rPr>
          <w:rFonts w:ascii="Arial" w:hAnsi="Arial" w:cs="Arial"/>
          <w:sz w:val="22"/>
          <w:szCs w:val="22"/>
          <w:lang w:val="es-ES"/>
        </w:rPr>
        <w:t xml:space="preserve">el municipio de Villanueva </w:t>
      </w:r>
      <w:r w:rsidR="00D5051C" w:rsidRPr="0043774E">
        <w:rPr>
          <w:rFonts w:ascii="Arial" w:hAnsi="Arial" w:cs="Arial"/>
          <w:sz w:val="22"/>
          <w:szCs w:val="22"/>
          <w:lang w:val="es-ES"/>
        </w:rPr>
        <w:t>(</w:t>
      </w:r>
      <w:r w:rsidR="003D126F" w:rsidRPr="0043774E">
        <w:rPr>
          <w:rFonts w:ascii="Arial" w:hAnsi="Arial" w:cs="Arial"/>
          <w:sz w:val="22"/>
          <w:szCs w:val="22"/>
          <w:lang w:val="es-ES"/>
        </w:rPr>
        <w:t>Casanare</w:t>
      </w:r>
      <w:r w:rsidR="00D5051C" w:rsidRPr="0043774E">
        <w:rPr>
          <w:rFonts w:ascii="Arial" w:hAnsi="Arial" w:cs="Arial"/>
          <w:sz w:val="22"/>
          <w:szCs w:val="22"/>
          <w:lang w:val="es-ES"/>
        </w:rPr>
        <w:t>)</w:t>
      </w:r>
      <w:r w:rsidR="00E51E67" w:rsidRPr="0043774E">
        <w:rPr>
          <w:rFonts w:ascii="Arial" w:hAnsi="Arial" w:cs="Arial"/>
          <w:color w:val="000000" w:themeColor="text1"/>
          <w:sz w:val="22"/>
          <w:szCs w:val="22"/>
        </w:rPr>
        <w:t>.</w:t>
      </w:r>
      <w:r w:rsidR="00712E5F" w:rsidRPr="0043774E">
        <w:rPr>
          <w:rFonts w:ascii="Arial" w:hAnsi="Arial" w:cs="Arial"/>
          <w:color w:val="000000" w:themeColor="text1"/>
          <w:sz w:val="22"/>
          <w:szCs w:val="22"/>
        </w:rPr>
        <w:t xml:space="preserve"> </w:t>
      </w:r>
    </w:p>
    <w:p w14:paraId="6BFD6BDB" w14:textId="77777777" w:rsidR="000B4328" w:rsidRPr="0043774E" w:rsidRDefault="000B4328" w:rsidP="00712E5F">
      <w:pPr>
        <w:jc w:val="both"/>
        <w:rPr>
          <w:rFonts w:ascii="Arial" w:hAnsi="Arial" w:cs="Arial"/>
          <w:sz w:val="22"/>
          <w:szCs w:val="22"/>
          <w:lang w:val="es-ES"/>
        </w:rPr>
      </w:pPr>
    </w:p>
    <w:p w14:paraId="741FAEBC" w14:textId="77777777" w:rsidR="00712E5F" w:rsidRPr="0043774E" w:rsidRDefault="00712E5F" w:rsidP="00DB77EE">
      <w:pPr>
        <w:jc w:val="both"/>
        <w:rPr>
          <w:rFonts w:ascii="Arial" w:hAnsi="Arial" w:cs="Arial"/>
          <w:color w:val="000000" w:themeColor="text1"/>
          <w:sz w:val="22"/>
          <w:szCs w:val="22"/>
        </w:rPr>
      </w:pPr>
      <w:r w:rsidRPr="0043774E">
        <w:rPr>
          <w:rFonts w:ascii="Arial" w:hAnsi="Arial" w:cs="Arial"/>
          <w:color w:val="000000" w:themeColor="text1"/>
          <w:sz w:val="22"/>
          <w:szCs w:val="22"/>
        </w:rPr>
        <w:t>En</w:t>
      </w:r>
      <w:r w:rsidR="000B4328" w:rsidRPr="0043774E">
        <w:rPr>
          <w:rFonts w:ascii="Arial" w:hAnsi="Arial" w:cs="Arial"/>
          <w:color w:val="000000" w:themeColor="text1"/>
          <w:sz w:val="22"/>
          <w:szCs w:val="22"/>
        </w:rPr>
        <w:t xml:space="preserve"> concordancia con la propuesta del Gobierno, se</w:t>
      </w:r>
      <w:r w:rsidRPr="0043774E">
        <w:rPr>
          <w:rFonts w:ascii="Arial" w:hAnsi="Arial" w:cs="Arial"/>
          <w:color w:val="000000" w:themeColor="text1"/>
          <w:sz w:val="22"/>
          <w:szCs w:val="22"/>
        </w:rPr>
        <w:t xml:space="preserve"> propone</w:t>
      </w:r>
      <w:r w:rsidR="000B4328" w:rsidRPr="0043774E">
        <w:rPr>
          <w:rFonts w:ascii="Arial" w:hAnsi="Arial" w:cs="Arial"/>
          <w:color w:val="000000" w:themeColor="text1"/>
          <w:sz w:val="22"/>
          <w:szCs w:val="22"/>
        </w:rPr>
        <w:t xml:space="preserve"> a la CNCA</w:t>
      </w:r>
      <w:r w:rsidRPr="0043774E">
        <w:rPr>
          <w:rFonts w:ascii="Arial" w:hAnsi="Arial" w:cs="Arial"/>
          <w:color w:val="000000" w:themeColor="text1"/>
          <w:sz w:val="22"/>
          <w:szCs w:val="22"/>
        </w:rPr>
        <w:t xml:space="preserve"> </w:t>
      </w:r>
      <w:r w:rsidR="00D66AEC" w:rsidRPr="0043774E">
        <w:rPr>
          <w:rFonts w:ascii="Arial" w:hAnsi="Arial" w:cs="Arial"/>
          <w:color w:val="000000" w:themeColor="text1"/>
          <w:sz w:val="22"/>
          <w:szCs w:val="22"/>
        </w:rPr>
        <w:t>establecer</w:t>
      </w:r>
      <w:r w:rsidRPr="0043774E">
        <w:rPr>
          <w:rFonts w:ascii="Arial" w:hAnsi="Arial" w:cs="Arial"/>
          <w:color w:val="000000" w:themeColor="text1"/>
          <w:sz w:val="22"/>
          <w:szCs w:val="22"/>
        </w:rPr>
        <w:t xml:space="preserve"> condiciones especiales</w:t>
      </w:r>
      <w:r w:rsidR="003A0576" w:rsidRPr="0043774E">
        <w:rPr>
          <w:rFonts w:ascii="Arial" w:hAnsi="Arial" w:cs="Arial"/>
          <w:color w:val="000000" w:themeColor="text1"/>
          <w:sz w:val="22"/>
          <w:szCs w:val="22"/>
        </w:rPr>
        <w:t xml:space="preserve"> en relación </w:t>
      </w:r>
      <w:r w:rsidR="000B4328" w:rsidRPr="0043774E">
        <w:rPr>
          <w:rFonts w:ascii="Arial" w:hAnsi="Arial" w:cs="Arial"/>
          <w:color w:val="000000" w:themeColor="text1"/>
          <w:sz w:val="22"/>
          <w:szCs w:val="22"/>
        </w:rPr>
        <w:t>con</w:t>
      </w:r>
      <w:r w:rsidRPr="0043774E">
        <w:rPr>
          <w:rFonts w:ascii="Arial" w:hAnsi="Arial" w:cs="Arial"/>
          <w:color w:val="000000" w:themeColor="text1"/>
          <w:sz w:val="22"/>
          <w:szCs w:val="22"/>
        </w:rPr>
        <w:t xml:space="preserve"> la Línea Especial de Crédito LEC General contemplada en la Resolución</w:t>
      </w:r>
      <w:r w:rsidR="00A44AD3" w:rsidRPr="0043774E">
        <w:rPr>
          <w:rFonts w:ascii="Arial" w:hAnsi="Arial" w:cs="Arial"/>
          <w:color w:val="000000" w:themeColor="text1"/>
          <w:sz w:val="22"/>
          <w:szCs w:val="22"/>
        </w:rPr>
        <w:t xml:space="preserve"> No.</w:t>
      </w:r>
      <w:r w:rsidRPr="0043774E">
        <w:rPr>
          <w:rFonts w:ascii="Arial" w:hAnsi="Arial" w:cs="Arial"/>
          <w:color w:val="000000" w:themeColor="text1"/>
          <w:sz w:val="22"/>
          <w:szCs w:val="22"/>
        </w:rPr>
        <w:t xml:space="preserve"> 12 de 2018 de la CNCA, </w:t>
      </w:r>
      <w:r w:rsidR="000B4328" w:rsidRPr="0043774E">
        <w:rPr>
          <w:rFonts w:ascii="Arial" w:hAnsi="Arial" w:cs="Arial"/>
          <w:color w:val="000000" w:themeColor="text1"/>
          <w:sz w:val="22"/>
          <w:szCs w:val="22"/>
        </w:rPr>
        <w:t>para</w:t>
      </w:r>
      <w:r w:rsidRPr="0043774E">
        <w:rPr>
          <w:rFonts w:ascii="Arial" w:hAnsi="Arial" w:cs="Arial"/>
          <w:color w:val="000000" w:themeColor="text1"/>
          <w:sz w:val="22"/>
          <w:szCs w:val="22"/>
        </w:rPr>
        <w:t xml:space="preserve"> los productores </w:t>
      </w:r>
      <w:r w:rsidR="000B4328" w:rsidRPr="0043774E">
        <w:rPr>
          <w:rFonts w:ascii="Arial" w:hAnsi="Arial" w:cs="Arial"/>
          <w:color w:val="000000" w:themeColor="text1"/>
          <w:sz w:val="22"/>
          <w:szCs w:val="22"/>
        </w:rPr>
        <w:t>cuyas actividades económicas se desarrollen en las zonas mencionadas</w:t>
      </w:r>
      <w:r w:rsidRPr="0043774E">
        <w:rPr>
          <w:rFonts w:ascii="Arial" w:hAnsi="Arial" w:cs="Arial"/>
          <w:color w:val="000000" w:themeColor="text1"/>
          <w:sz w:val="22"/>
          <w:szCs w:val="22"/>
        </w:rPr>
        <w:t>.</w:t>
      </w:r>
    </w:p>
    <w:p w14:paraId="7E7F5E00" w14:textId="77777777" w:rsidR="00622E8B" w:rsidRPr="0043774E" w:rsidRDefault="00622E8B" w:rsidP="0087478E">
      <w:pPr>
        <w:jc w:val="both"/>
        <w:rPr>
          <w:rFonts w:ascii="Arial" w:hAnsi="Arial" w:cs="Arial"/>
          <w:b/>
          <w:color w:val="000000" w:themeColor="text1"/>
          <w:sz w:val="22"/>
          <w:szCs w:val="22"/>
          <w:lang w:bidi="es-CO"/>
        </w:rPr>
      </w:pPr>
      <w:bookmarkStart w:id="2" w:name="_Hlk1931636"/>
    </w:p>
    <w:p w14:paraId="77462201" w14:textId="77777777" w:rsidR="008A7DE8" w:rsidRPr="0043774E" w:rsidRDefault="008A7DE8" w:rsidP="008A7DE8">
      <w:pPr>
        <w:jc w:val="both"/>
        <w:rPr>
          <w:rFonts w:ascii="Arial" w:hAnsi="Arial" w:cs="Arial"/>
          <w:color w:val="000000" w:themeColor="text1"/>
          <w:sz w:val="22"/>
          <w:szCs w:val="22"/>
        </w:rPr>
      </w:pPr>
      <w:r w:rsidRPr="0043774E">
        <w:rPr>
          <w:rFonts w:ascii="Arial" w:hAnsi="Arial" w:cs="Arial"/>
          <w:b/>
          <w:color w:val="000000" w:themeColor="text1"/>
          <w:sz w:val="22"/>
          <w:szCs w:val="22"/>
        </w:rPr>
        <w:t>Cuarto.</w:t>
      </w:r>
      <w:r w:rsidRPr="0043774E">
        <w:rPr>
          <w:rFonts w:ascii="Arial" w:hAnsi="Arial" w:cs="Arial"/>
          <w:color w:val="000000" w:themeColor="text1"/>
          <w:sz w:val="22"/>
          <w:szCs w:val="22"/>
        </w:rPr>
        <w:t xml:space="preserve"> Que mediante la Resolución No.12 de 2018 se estableció el Plan Anual de ICR y LEC para el Año 2019, el cual se complementa con la Línea Especial de Crédito que se establece en esta resolución.</w:t>
      </w:r>
    </w:p>
    <w:p w14:paraId="589371E1" w14:textId="77777777" w:rsidR="008A7DE8" w:rsidRPr="0043774E" w:rsidRDefault="008A7DE8" w:rsidP="008A7DE8">
      <w:pPr>
        <w:jc w:val="both"/>
        <w:rPr>
          <w:rFonts w:ascii="Arial" w:hAnsi="Arial" w:cs="Arial"/>
          <w:color w:val="000000" w:themeColor="text1"/>
          <w:sz w:val="22"/>
          <w:szCs w:val="22"/>
        </w:rPr>
      </w:pPr>
    </w:p>
    <w:p w14:paraId="2B84A5C6" w14:textId="77777777" w:rsidR="00B33764" w:rsidRPr="0043774E" w:rsidRDefault="003A0576" w:rsidP="0087478E">
      <w:pPr>
        <w:jc w:val="both"/>
        <w:rPr>
          <w:rFonts w:ascii="Arial" w:eastAsia="Arial" w:hAnsi="Arial" w:cs="Arial"/>
          <w:color w:val="000000" w:themeColor="text1"/>
          <w:sz w:val="22"/>
          <w:szCs w:val="22"/>
          <w:lang w:eastAsia="es-CO" w:bidi="es-CO"/>
        </w:rPr>
      </w:pPr>
      <w:r w:rsidRPr="0043774E">
        <w:rPr>
          <w:rFonts w:ascii="Arial" w:hAnsi="Arial" w:cs="Arial"/>
          <w:b/>
          <w:color w:val="000000" w:themeColor="text1"/>
          <w:sz w:val="22"/>
          <w:szCs w:val="22"/>
          <w:lang w:bidi="es-CO"/>
        </w:rPr>
        <w:t>Quinto</w:t>
      </w:r>
      <w:r w:rsidR="004D6495" w:rsidRPr="0043774E">
        <w:rPr>
          <w:rFonts w:ascii="Arial" w:eastAsia="Arial" w:hAnsi="Arial" w:cs="Arial"/>
          <w:b/>
          <w:color w:val="000000" w:themeColor="text1"/>
          <w:sz w:val="22"/>
          <w:szCs w:val="22"/>
          <w:lang w:eastAsia="es-CO" w:bidi="es-CO"/>
        </w:rPr>
        <w:t>.</w:t>
      </w:r>
      <w:r w:rsidR="00B33764" w:rsidRPr="0043774E">
        <w:rPr>
          <w:rFonts w:ascii="Arial" w:eastAsia="Arial" w:hAnsi="Arial" w:cs="Arial"/>
          <w:color w:val="000000" w:themeColor="text1"/>
          <w:sz w:val="22"/>
          <w:szCs w:val="22"/>
          <w:lang w:eastAsia="es-CO" w:bidi="es-CO"/>
        </w:rPr>
        <w:t xml:space="preserve"> </w:t>
      </w:r>
      <w:bookmarkEnd w:id="2"/>
      <w:r w:rsidR="007B1D4C" w:rsidRPr="0043774E">
        <w:rPr>
          <w:rFonts w:ascii="Arial" w:hAnsi="Arial" w:cs="Arial"/>
          <w:color w:val="000000" w:themeColor="text1"/>
          <w:sz w:val="22"/>
          <w:szCs w:val="22"/>
          <w:lang w:bidi="es-CO"/>
        </w:rPr>
        <w:t xml:space="preserve">Que el proyecto de resolución </w:t>
      </w:r>
      <w:r w:rsidR="00002F96" w:rsidRPr="0043774E">
        <w:rPr>
          <w:rFonts w:ascii="Arial" w:hAnsi="Arial" w:cs="Arial"/>
          <w:color w:val="000000" w:themeColor="text1"/>
          <w:sz w:val="22"/>
          <w:szCs w:val="22"/>
          <w:lang w:bidi="es-CO"/>
        </w:rPr>
        <w:t xml:space="preserve">que modifica </w:t>
      </w:r>
      <w:r w:rsidR="00AC1D0D" w:rsidRPr="0043774E">
        <w:rPr>
          <w:rFonts w:ascii="Arial" w:eastAsia="Arial" w:hAnsi="Arial" w:cs="Arial"/>
          <w:color w:val="000000" w:themeColor="text1"/>
          <w:sz w:val="22"/>
          <w:szCs w:val="22"/>
          <w:lang w:eastAsia="es-CO" w:bidi="es-CO"/>
        </w:rPr>
        <w:t>la Resolución</w:t>
      </w:r>
      <w:r w:rsidR="008233B6" w:rsidRPr="0043774E">
        <w:rPr>
          <w:rFonts w:ascii="Arial" w:eastAsia="Arial" w:hAnsi="Arial" w:cs="Arial"/>
          <w:color w:val="000000" w:themeColor="text1"/>
          <w:sz w:val="22"/>
          <w:szCs w:val="22"/>
          <w:lang w:eastAsia="es-CO" w:bidi="es-CO"/>
        </w:rPr>
        <w:t xml:space="preserve"> No.</w:t>
      </w:r>
      <w:r w:rsidR="00002F96" w:rsidRPr="0043774E">
        <w:rPr>
          <w:rFonts w:ascii="Arial" w:hAnsi="Arial" w:cs="Arial"/>
          <w:color w:val="000000" w:themeColor="text1"/>
          <w:sz w:val="22"/>
          <w:szCs w:val="22"/>
        </w:rPr>
        <w:t xml:space="preserve"> 12 de 2018</w:t>
      </w:r>
      <w:r w:rsidRPr="0043774E">
        <w:rPr>
          <w:rFonts w:ascii="Arial" w:hAnsi="Arial" w:cs="Arial"/>
          <w:color w:val="000000" w:themeColor="text1"/>
          <w:sz w:val="22"/>
          <w:szCs w:val="22"/>
        </w:rPr>
        <w:t xml:space="preserve">, para incluir unas condiciones especiales para apoyar a productores agropecuarios afectados por </w:t>
      </w:r>
      <w:r w:rsidR="003D126F" w:rsidRPr="0043774E">
        <w:rPr>
          <w:rFonts w:ascii="Arial" w:hAnsi="Arial" w:cs="Arial"/>
          <w:color w:val="000000" w:themeColor="text1"/>
          <w:sz w:val="22"/>
          <w:szCs w:val="22"/>
        </w:rPr>
        <w:t>el cierre de la Vía al Llano</w:t>
      </w:r>
      <w:r w:rsidR="00D700F7" w:rsidRPr="0043774E">
        <w:rPr>
          <w:rFonts w:ascii="Arial" w:hAnsi="Arial" w:cs="Arial"/>
          <w:color w:val="000000" w:themeColor="text1"/>
          <w:sz w:val="22"/>
          <w:szCs w:val="22"/>
        </w:rPr>
        <w:t xml:space="preserve">, </w:t>
      </w:r>
      <w:r w:rsidR="007B1D4C" w:rsidRPr="0043774E">
        <w:rPr>
          <w:rFonts w:ascii="Arial" w:hAnsi="Arial" w:cs="Arial"/>
          <w:color w:val="000000" w:themeColor="text1"/>
          <w:sz w:val="22"/>
          <w:szCs w:val="22"/>
          <w:lang w:bidi="es-CO"/>
        </w:rPr>
        <w:t>estuvo publicado en la página web de FINAGRO para comentarios.</w:t>
      </w:r>
    </w:p>
    <w:p w14:paraId="1AD85906" w14:textId="77777777" w:rsidR="00236218" w:rsidRPr="0043774E" w:rsidRDefault="00236218" w:rsidP="0087478E">
      <w:pPr>
        <w:jc w:val="both"/>
        <w:rPr>
          <w:rFonts w:ascii="Arial" w:hAnsi="Arial" w:cs="Arial"/>
          <w:sz w:val="22"/>
          <w:szCs w:val="22"/>
        </w:rPr>
      </w:pPr>
    </w:p>
    <w:p w14:paraId="78DC0894" w14:textId="545E7684" w:rsidR="007B1D4C" w:rsidRPr="0043774E" w:rsidRDefault="003A0576" w:rsidP="007B1D4C">
      <w:pPr>
        <w:tabs>
          <w:tab w:val="left" w:pos="8503"/>
        </w:tabs>
        <w:ind w:right="-2"/>
        <w:jc w:val="both"/>
        <w:rPr>
          <w:rFonts w:ascii="Arial" w:hAnsi="Arial" w:cs="Arial"/>
          <w:color w:val="000000" w:themeColor="text1"/>
          <w:sz w:val="22"/>
          <w:szCs w:val="22"/>
          <w:lang w:bidi="es-CO"/>
        </w:rPr>
      </w:pPr>
      <w:r w:rsidRPr="0043774E">
        <w:rPr>
          <w:rFonts w:ascii="Arial" w:hAnsi="Arial" w:cs="Arial"/>
          <w:b/>
          <w:color w:val="000000" w:themeColor="text1"/>
          <w:sz w:val="22"/>
          <w:szCs w:val="22"/>
          <w:lang w:bidi="es-CO"/>
        </w:rPr>
        <w:t>Sexto</w:t>
      </w:r>
      <w:r w:rsidR="003940FE" w:rsidRPr="0043774E">
        <w:rPr>
          <w:rFonts w:ascii="Arial" w:hAnsi="Arial" w:cs="Arial"/>
          <w:b/>
          <w:color w:val="000000" w:themeColor="text1"/>
          <w:sz w:val="22"/>
          <w:szCs w:val="22"/>
          <w:lang w:bidi="es-CO"/>
        </w:rPr>
        <w:t>.</w:t>
      </w:r>
      <w:r w:rsidR="003940FE" w:rsidRPr="0043774E">
        <w:rPr>
          <w:rFonts w:ascii="Arial" w:hAnsi="Arial" w:cs="Arial"/>
          <w:color w:val="000000" w:themeColor="text1"/>
          <w:sz w:val="22"/>
          <w:szCs w:val="22"/>
          <w:lang w:bidi="es-CO"/>
        </w:rPr>
        <w:t xml:space="preserve"> </w:t>
      </w:r>
      <w:r w:rsidR="007B1D4C" w:rsidRPr="0043774E">
        <w:rPr>
          <w:rFonts w:ascii="Arial" w:hAnsi="Arial" w:cs="Arial"/>
          <w:color w:val="000000" w:themeColor="text1"/>
          <w:sz w:val="22"/>
          <w:szCs w:val="22"/>
          <w:lang w:bidi="es-CO"/>
        </w:rPr>
        <w:t xml:space="preserve">Que el documento con la justificación jurídica y técnica de la presente resolución fue presentado para consideración de la CNCA </w:t>
      </w:r>
      <w:r w:rsidR="00D1419B" w:rsidRPr="0043774E">
        <w:rPr>
          <w:rFonts w:ascii="Arial" w:hAnsi="Arial" w:cs="Arial"/>
          <w:color w:val="212121"/>
          <w:sz w:val="22"/>
          <w:szCs w:val="22"/>
        </w:rPr>
        <w:t xml:space="preserve">bajo el mecanismo de reunión no presencial previsto en la </w:t>
      </w:r>
      <w:r w:rsidR="00E94B06" w:rsidRPr="0043774E">
        <w:rPr>
          <w:rFonts w:ascii="Arial" w:hAnsi="Arial" w:cs="Arial"/>
          <w:color w:val="212121"/>
          <w:sz w:val="22"/>
          <w:szCs w:val="22"/>
        </w:rPr>
        <w:t>R</w:t>
      </w:r>
      <w:r w:rsidR="00D1419B" w:rsidRPr="0043774E">
        <w:rPr>
          <w:rFonts w:ascii="Arial" w:hAnsi="Arial" w:cs="Arial"/>
          <w:color w:val="212121"/>
          <w:sz w:val="22"/>
          <w:szCs w:val="22"/>
        </w:rPr>
        <w:t xml:space="preserve">esolución </w:t>
      </w:r>
      <w:r w:rsidR="00E94B06" w:rsidRPr="0043774E">
        <w:rPr>
          <w:rFonts w:ascii="Arial" w:hAnsi="Arial" w:cs="Arial"/>
          <w:color w:val="212121"/>
          <w:sz w:val="22"/>
          <w:szCs w:val="22"/>
        </w:rPr>
        <w:t xml:space="preserve">No. </w:t>
      </w:r>
      <w:r w:rsidR="00D1419B" w:rsidRPr="0043774E">
        <w:rPr>
          <w:rFonts w:ascii="Arial" w:hAnsi="Arial" w:cs="Arial"/>
          <w:color w:val="212121"/>
          <w:sz w:val="22"/>
          <w:szCs w:val="22"/>
        </w:rPr>
        <w:t>24 de 2008</w:t>
      </w:r>
      <w:r w:rsidR="00E94B06" w:rsidRPr="0043774E">
        <w:rPr>
          <w:rFonts w:ascii="Arial" w:hAnsi="Arial" w:cs="Arial"/>
          <w:color w:val="212121"/>
          <w:sz w:val="22"/>
          <w:szCs w:val="22"/>
        </w:rPr>
        <w:t>.</w:t>
      </w:r>
    </w:p>
    <w:p w14:paraId="2C4207F5" w14:textId="77777777" w:rsidR="007B1D4C" w:rsidRPr="0043774E" w:rsidRDefault="007B1D4C" w:rsidP="007B1D4C">
      <w:pPr>
        <w:rPr>
          <w:color w:val="000000" w:themeColor="text1"/>
        </w:rPr>
      </w:pPr>
    </w:p>
    <w:p w14:paraId="7C3814F2" w14:textId="77777777" w:rsidR="00714DC2" w:rsidRPr="0043774E" w:rsidRDefault="00714DC2" w:rsidP="0087478E">
      <w:pPr>
        <w:tabs>
          <w:tab w:val="left" w:pos="8503"/>
        </w:tabs>
        <w:ind w:right="-2"/>
        <w:jc w:val="both"/>
        <w:rPr>
          <w:rFonts w:ascii="Arial" w:hAnsi="Arial" w:cs="Arial"/>
          <w:color w:val="000000" w:themeColor="text1"/>
          <w:sz w:val="22"/>
          <w:szCs w:val="22"/>
          <w:lang w:bidi="es-CO"/>
        </w:rPr>
      </w:pPr>
      <w:r w:rsidRPr="0043774E">
        <w:rPr>
          <w:rFonts w:ascii="Arial" w:hAnsi="Arial" w:cs="Arial"/>
          <w:color w:val="000000" w:themeColor="text1"/>
          <w:sz w:val="22"/>
          <w:szCs w:val="22"/>
          <w:lang w:bidi="es-CO"/>
        </w:rPr>
        <w:t>En mérito de lo anterior,</w:t>
      </w:r>
    </w:p>
    <w:p w14:paraId="0E888B0B" w14:textId="77777777" w:rsidR="00714DC2" w:rsidRPr="0043774E" w:rsidRDefault="00714DC2" w:rsidP="0087478E">
      <w:pPr>
        <w:pStyle w:val="c5"/>
        <w:tabs>
          <w:tab w:val="left" w:pos="1479"/>
        </w:tabs>
        <w:spacing w:line="240" w:lineRule="auto"/>
        <w:rPr>
          <w:rFonts w:ascii="Arial" w:hAnsi="Arial" w:cs="Arial"/>
          <w:b/>
          <w:color w:val="000000" w:themeColor="text1"/>
          <w:sz w:val="22"/>
          <w:szCs w:val="22"/>
          <w:lang w:val="es-CO"/>
        </w:rPr>
      </w:pPr>
      <w:r w:rsidRPr="0043774E">
        <w:rPr>
          <w:rFonts w:ascii="Arial" w:hAnsi="Arial" w:cs="Arial"/>
          <w:b/>
          <w:color w:val="000000" w:themeColor="text1"/>
          <w:sz w:val="22"/>
          <w:szCs w:val="22"/>
          <w:lang w:val="es-CO"/>
        </w:rPr>
        <w:t>RESUELVE</w:t>
      </w:r>
    </w:p>
    <w:p w14:paraId="274AD3AE" w14:textId="77777777" w:rsidR="00E11C32" w:rsidRPr="0043774E" w:rsidRDefault="00E11C32" w:rsidP="0087478E">
      <w:pPr>
        <w:pStyle w:val="c5"/>
        <w:tabs>
          <w:tab w:val="left" w:pos="1479"/>
        </w:tabs>
        <w:spacing w:line="240" w:lineRule="auto"/>
        <w:rPr>
          <w:rFonts w:ascii="Arial" w:hAnsi="Arial" w:cs="Arial"/>
          <w:b/>
          <w:color w:val="000000" w:themeColor="text1"/>
          <w:sz w:val="22"/>
          <w:szCs w:val="22"/>
          <w:lang w:val="es-CO"/>
        </w:rPr>
      </w:pPr>
    </w:p>
    <w:p w14:paraId="7CA773E7" w14:textId="77777777" w:rsidR="00E11C32" w:rsidRPr="0043774E" w:rsidRDefault="00E11C32" w:rsidP="00E11C32">
      <w:pPr>
        <w:pStyle w:val="c5"/>
        <w:tabs>
          <w:tab w:val="left" w:pos="1479"/>
        </w:tabs>
        <w:spacing w:line="240" w:lineRule="auto"/>
        <w:jc w:val="both"/>
        <w:rPr>
          <w:rFonts w:ascii="Arial" w:eastAsia="Arial" w:hAnsi="Arial" w:cs="Arial"/>
          <w:sz w:val="22"/>
          <w:szCs w:val="22"/>
          <w:lang w:eastAsia="es-CO" w:bidi="es-CO"/>
        </w:rPr>
      </w:pPr>
      <w:r w:rsidRPr="0043774E">
        <w:rPr>
          <w:rFonts w:ascii="Arial" w:eastAsia="Arial" w:hAnsi="Arial" w:cs="Arial"/>
          <w:b/>
          <w:sz w:val="22"/>
          <w:szCs w:val="22"/>
          <w:lang w:eastAsia="es-CO" w:bidi="es-CO"/>
        </w:rPr>
        <w:t xml:space="preserve">Artículo 1o. </w:t>
      </w:r>
      <w:r w:rsidRPr="0043774E">
        <w:rPr>
          <w:rFonts w:ascii="Arial" w:eastAsia="Arial" w:hAnsi="Arial" w:cs="Arial"/>
          <w:sz w:val="22"/>
          <w:szCs w:val="22"/>
          <w:lang w:eastAsia="es-CO" w:bidi="es-CO"/>
        </w:rPr>
        <w:t>Modificar el</w:t>
      </w:r>
      <w:r w:rsidR="003A0576" w:rsidRPr="0043774E">
        <w:rPr>
          <w:rFonts w:ascii="Arial" w:eastAsia="Arial" w:hAnsi="Arial" w:cs="Arial"/>
          <w:sz w:val="22"/>
          <w:szCs w:val="22"/>
          <w:lang w:eastAsia="es-CO" w:bidi="es-CO"/>
        </w:rPr>
        <w:t xml:space="preserve"> literal a. del</w:t>
      </w:r>
      <w:r w:rsidRPr="0043774E">
        <w:rPr>
          <w:rFonts w:ascii="Arial" w:eastAsia="Arial" w:hAnsi="Arial" w:cs="Arial"/>
          <w:sz w:val="22"/>
          <w:szCs w:val="22"/>
          <w:lang w:eastAsia="es-CO" w:bidi="es-CO"/>
        </w:rPr>
        <w:t xml:space="preserve"> artículo 4</w:t>
      </w:r>
      <w:r w:rsidR="003A0576" w:rsidRPr="0043774E">
        <w:rPr>
          <w:rFonts w:ascii="Arial" w:eastAsia="Arial" w:hAnsi="Arial" w:cs="Arial"/>
          <w:sz w:val="22"/>
          <w:szCs w:val="22"/>
          <w:lang w:eastAsia="es-CO" w:bidi="es-CO"/>
        </w:rPr>
        <w:t>o.</w:t>
      </w:r>
      <w:r w:rsidRPr="0043774E">
        <w:rPr>
          <w:rFonts w:ascii="Arial" w:eastAsia="Arial" w:hAnsi="Arial" w:cs="Arial"/>
          <w:sz w:val="22"/>
          <w:szCs w:val="22"/>
          <w:lang w:eastAsia="es-CO" w:bidi="es-CO"/>
        </w:rPr>
        <w:t xml:space="preserve"> </w:t>
      </w:r>
      <w:r w:rsidR="003A0576" w:rsidRPr="0043774E">
        <w:rPr>
          <w:rFonts w:ascii="Arial" w:eastAsia="Arial" w:hAnsi="Arial" w:cs="Arial"/>
          <w:sz w:val="22"/>
          <w:szCs w:val="22"/>
          <w:lang w:eastAsia="es-CO" w:bidi="es-CO"/>
        </w:rPr>
        <w:t>d</w:t>
      </w:r>
      <w:r w:rsidRPr="0043774E">
        <w:rPr>
          <w:rFonts w:ascii="Arial" w:eastAsia="Arial" w:hAnsi="Arial" w:cs="Arial"/>
          <w:sz w:val="22"/>
          <w:szCs w:val="22"/>
          <w:lang w:eastAsia="es-CO" w:bidi="es-CO"/>
        </w:rPr>
        <w:t xml:space="preserve">e la </w:t>
      </w:r>
      <w:r w:rsidR="00861851" w:rsidRPr="0043774E">
        <w:rPr>
          <w:rFonts w:ascii="Arial" w:eastAsia="Arial" w:hAnsi="Arial" w:cs="Arial"/>
          <w:sz w:val="22"/>
          <w:szCs w:val="22"/>
          <w:lang w:eastAsia="es-CO" w:bidi="es-CO"/>
        </w:rPr>
        <w:t>R</w:t>
      </w:r>
      <w:r w:rsidRPr="0043774E">
        <w:rPr>
          <w:rFonts w:ascii="Arial" w:eastAsia="Arial" w:hAnsi="Arial" w:cs="Arial"/>
          <w:sz w:val="22"/>
          <w:szCs w:val="22"/>
          <w:lang w:eastAsia="es-CO" w:bidi="es-CO"/>
        </w:rPr>
        <w:t>esolución</w:t>
      </w:r>
      <w:r w:rsidR="008233B6" w:rsidRPr="0043774E">
        <w:rPr>
          <w:rFonts w:ascii="Arial" w:eastAsia="Arial" w:hAnsi="Arial" w:cs="Arial"/>
          <w:sz w:val="22"/>
          <w:szCs w:val="22"/>
          <w:lang w:eastAsia="es-CO" w:bidi="es-CO"/>
        </w:rPr>
        <w:t xml:space="preserve"> No.</w:t>
      </w:r>
      <w:r w:rsidRPr="0043774E">
        <w:rPr>
          <w:rFonts w:ascii="Arial" w:eastAsia="Arial" w:hAnsi="Arial" w:cs="Arial"/>
          <w:sz w:val="22"/>
          <w:szCs w:val="22"/>
          <w:lang w:eastAsia="es-CO" w:bidi="es-CO"/>
        </w:rPr>
        <w:t xml:space="preserve"> 12 de 2018 de la Comisión Nacional de Crédito Agropecuario, de la siguiente manera:</w:t>
      </w:r>
    </w:p>
    <w:p w14:paraId="3F165FE0" w14:textId="77777777" w:rsidR="00E11C32" w:rsidRPr="0043774E" w:rsidRDefault="00E11C32" w:rsidP="00E11C32">
      <w:pPr>
        <w:pStyle w:val="c5"/>
        <w:tabs>
          <w:tab w:val="left" w:pos="1479"/>
        </w:tabs>
        <w:spacing w:line="240" w:lineRule="auto"/>
        <w:jc w:val="both"/>
        <w:rPr>
          <w:rFonts w:ascii="Arial" w:hAnsi="Arial" w:cs="Arial"/>
          <w:color w:val="000000" w:themeColor="text1"/>
          <w:sz w:val="22"/>
          <w:szCs w:val="22"/>
          <w:lang w:val="es-CO"/>
        </w:rPr>
      </w:pPr>
    </w:p>
    <w:p w14:paraId="5868F10F" w14:textId="77777777" w:rsidR="002706B4" w:rsidRPr="0043774E" w:rsidRDefault="002706B4" w:rsidP="00362F07">
      <w:pPr>
        <w:pStyle w:val="Textoindependiente"/>
        <w:spacing w:line="242" w:lineRule="auto"/>
        <w:ind w:right="81"/>
        <w:jc w:val="both"/>
      </w:pPr>
      <w:r w:rsidRPr="0043774E">
        <w:rPr>
          <w:b/>
        </w:rPr>
        <w:t xml:space="preserve"> </w:t>
      </w:r>
      <w:r w:rsidR="00470E11" w:rsidRPr="0043774E">
        <w:t>“</w:t>
      </w:r>
      <w:r w:rsidR="00362F07" w:rsidRPr="0043774E">
        <w:t xml:space="preserve">a. </w:t>
      </w:r>
      <w:r w:rsidRPr="0043774E">
        <w:t>LEC General</w:t>
      </w:r>
    </w:p>
    <w:p w14:paraId="4CF4C0BD" w14:textId="77777777" w:rsidR="002706B4" w:rsidRPr="0043774E" w:rsidRDefault="002706B4" w:rsidP="002706B4">
      <w:pPr>
        <w:tabs>
          <w:tab w:val="left" w:pos="426"/>
          <w:tab w:val="left" w:pos="1418"/>
        </w:tabs>
        <w:spacing w:line="252" w:lineRule="exact"/>
        <w:ind w:right="81"/>
        <w:jc w:val="both"/>
        <w:rPr>
          <w:rFonts w:ascii="Arial" w:eastAsia="Arial" w:hAnsi="Arial" w:cs="Arial"/>
          <w:sz w:val="22"/>
          <w:szCs w:val="22"/>
          <w:lang w:eastAsia="es-CO" w:bidi="es-CO"/>
        </w:rPr>
      </w:pPr>
    </w:p>
    <w:p w14:paraId="6492E8E7" w14:textId="1F83A971" w:rsidR="002706B4" w:rsidRPr="0043774E" w:rsidRDefault="002706B4" w:rsidP="001B3BA8">
      <w:pPr>
        <w:tabs>
          <w:tab w:val="left" w:pos="1418"/>
        </w:tabs>
        <w:spacing w:line="252" w:lineRule="exact"/>
        <w:ind w:left="284" w:right="81"/>
        <w:jc w:val="both"/>
        <w:rPr>
          <w:rFonts w:ascii="Arial" w:eastAsia="Arial" w:hAnsi="Arial" w:cs="Arial"/>
          <w:sz w:val="22"/>
          <w:szCs w:val="22"/>
          <w:lang w:eastAsia="es-CO" w:bidi="es-CO"/>
        </w:rPr>
      </w:pPr>
      <w:r w:rsidRPr="0043774E">
        <w:rPr>
          <w:rFonts w:ascii="Arial" w:eastAsia="Arial" w:hAnsi="Arial" w:cs="Arial"/>
          <w:sz w:val="22"/>
          <w:szCs w:val="22"/>
          <w:lang w:eastAsia="es-CO" w:bidi="es-CO"/>
        </w:rPr>
        <w:t xml:space="preserve">i. Condiciones especiales de la LEC Retención de Vientres de Ganado Bovino y </w:t>
      </w:r>
    </w:p>
    <w:p w14:paraId="72FDC260" w14:textId="18ABC11F" w:rsidR="002706B4" w:rsidRPr="0043774E" w:rsidRDefault="001B3BA8" w:rsidP="001B3BA8">
      <w:pPr>
        <w:tabs>
          <w:tab w:val="left" w:pos="284"/>
          <w:tab w:val="left" w:pos="1418"/>
        </w:tabs>
        <w:spacing w:line="252" w:lineRule="exact"/>
        <w:ind w:right="81"/>
        <w:jc w:val="both"/>
        <w:rPr>
          <w:rFonts w:ascii="Arial" w:eastAsia="Arial" w:hAnsi="Arial" w:cs="Arial"/>
          <w:sz w:val="22"/>
          <w:szCs w:val="22"/>
          <w:lang w:eastAsia="es-CO" w:bidi="es-CO"/>
        </w:rPr>
      </w:pPr>
      <w:r w:rsidRPr="0043774E">
        <w:rPr>
          <w:rFonts w:ascii="Arial" w:eastAsia="Arial" w:hAnsi="Arial" w:cs="Arial"/>
          <w:sz w:val="22"/>
          <w:szCs w:val="22"/>
          <w:lang w:eastAsia="es-CO" w:bidi="es-CO"/>
        </w:rPr>
        <w:tab/>
      </w:r>
      <w:r w:rsidR="002706B4" w:rsidRPr="0043774E">
        <w:rPr>
          <w:rFonts w:ascii="Arial" w:eastAsia="Arial" w:hAnsi="Arial" w:cs="Arial"/>
          <w:sz w:val="22"/>
          <w:szCs w:val="22"/>
          <w:lang w:eastAsia="es-CO" w:bidi="es-CO"/>
        </w:rPr>
        <w:t>Bufalino.</w:t>
      </w:r>
    </w:p>
    <w:p w14:paraId="0C16E2A0" w14:textId="23A5D20B" w:rsidR="002706B4" w:rsidRPr="0043774E" w:rsidRDefault="002706B4" w:rsidP="001B3BA8">
      <w:pPr>
        <w:tabs>
          <w:tab w:val="left" w:pos="426"/>
          <w:tab w:val="left" w:pos="993"/>
          <w:tab w:val="left" w:pos="1134"/>
          <w:tab w:val="left" w:pos="1418"/>
        </w:tabs>
        <w:spacing w:line="252" w:lineRule="exact"/>
        <w:ind w:left="284" w:right="81"/>
        <w:jc w:val="both"/>
        <w:rPr>
          <w:rFonts w:ascii="Arial" w:eastAsia="Arial" w:hAnsi="Arial" w:cs="Arial"/>
          <w:sz w:val="22"/>
          <w:szCs w:val="22"/>
          <w:lang w:eastAsia="es-CO" w:bidi="es-CO"/>
        </w:rPr>
      </w:pPr>
      <w:r w:rsidRPr="0043774E">
        <w:rPr>
          <w:rFonts w:ascii="Arial" w:eastAsia="Arial" w:hAnsi="Arial" w:cs="Arial"/>
          <w:sz w:val="22"/>
          <w:szCs w:val="22"/>
          <w:lang w:eastAsia="es-CO" w:bidi="es-CO"/>
        </w:rPr>
        <w:t xml:space="preserve">ii. Condiciones especiales de la </w:t>
      </w:r>
      <w:bookmarkStart w:id="3" w:name="_Hlk534711295"/>
      <w:r w:rsidRPr="0043774E">
        <w:rPr>
          <w:rFonts w:ascii="Arial" w:eastAsia="Arial" w:hAnsi="Arial" w:cs="Arial"/>
          <w:sz w:val="22"/>
          <w:szCs w:val="22"/>
          <w:lang w:eastAsia="es-CO" w:bidi="es-CO"/>
        </w:rPr>
        <w:t xml:space="preserve">LEC Actividad Pecuaria, Pesquera y Acuícola </w:t>
      </w:r>
    </w:p>
    <w:p w14:paraId="6500D071" w14:textId="77777777" w:rsidR="002706B4" w:rsidRPr="0043774E" w:rsidRDefault="002706B4" w:rsidP="001B3BA8">
      <w:pPr>
        <w:pStyle w:val="Prrafodelista"/>
        <w:tabs>
          <w:tab w:val="left" w:pos="426"/>
          <w:tab w:val="left" w:pos="709"/>
          <w:tab w:val="left" w:pos="993"/>
          <w:tab w:val="left" w:pos="1134"/>
          <w:tab w:val="left" w:pos="1418"/>
        </w:tabs>
        <w:spacing w:line="252" w:lineRule="exact"/>
        <w:ind w:left="142" w:right="81"/>
        <w:jc w:val="both"/>
        <w:rPr>
          <w:rFonts w:ascii="Arial" w:eastAsia="Arial" w:hAnsi="Arial" w:cs="Arial"/>
          <w:sz w:val="22"/>
          <w:szCs w:val="22"/>
          <w:lang w:val="es-CO" w:eastAsia="es-CO" w:bidi="es-CO"/>
        </w:rPr>
      </w:pPr>
      <w:r w:rsidRPr="0043774E">
        <w:rPr>
          <w:rFonts w:ascii="Arial" w:eastAsia="Arial" w:hAnsi="Arial" w:cs="Arial"/>
          <w:sz w:val="22"/>
          <w:szCs w:val="22"/>
          <w:lang w:val="es-CO" w:eastAsia="es-CO" w:bidi="es-CO"/>
        </w:rPr>
        <w:t xml:space="preserve">  Sostenible.</w:t>
      </w:r>
    </w:p>
    <w:p w14:paraId="6B49615B" w14:textId="79D31108" w:rsidR="002706B4" w:rsidRPr="0043774E" w:rsidRDefault="002706B4" w:rsidP="001B3BA8">
      <w:pPr>
        <w:tabs>
          <w:tab w:val="left" w:pos="426"/>
          <w:tab w:val="left" w:pos="709"/>
          <w:tab w:val="left" w:pos="993"/>
          <w:tab w:val="left" w:pos="1134"/>
          <w:tab w:val="left" w:pos="1418"/>
        </w:tabs>
        <w:spacing w:line="252" w:lineRule="exact"/>
        <w:ind w:left="284" w:right="81"/>
        <w:jc w:val="both"/>
        <w:rPr>
          <w:rFonts w:ascii="Arial" w:hAnsi="Arial" w:cs="Arial"/>
          <w:color w:val="000000" w:themeColor="text1"/>
          <w:sz w:val="22"/>
          <w:szCs w:val="22"/>
        </w:rPr>
      </w:pPr>
      <w:r w:rsidRPr="0043774E">
        <w:rPr>
          <w:rFonts w:ascii="Arial" w:eastAsia="Arial" w:hAnsi="Arial" w:cs="Arial"/>
          <w:sz w:val="22"/>
          <w:szCs w:val="22"/>
          <w:lang w:eastAsia="es-CO" w:bidi="es-CO"/>
        </w:rPr>
        <w:t xml:space="preserve">iii. Condiciones especiales de la LEC </w:t>
      </w:r>
      <w:r w:rsidRPr="0043774E">
        <w:rPr>
          <w:rFonts w:ascii="Arial" w:hAnsi="Arial" w:cs="Arial"/>
          <w:color w:val="000000" w:themeColor="text1"/>
          <w:sz w:val="22"/>
          <w:szCs w:val="22"/>
        </w:rPr>
        <w:t>para apoyar a productores agropecuarios</w:t>
      </w:r>
      <w:r w:rsidR="003A0576" w:rsidRPr="0043774E">
        <w:rPr>
          <w:rFonts w:ascii="Arial" w:hAnsi="Arial" w:cs="Arial"/>
          <w:color w:val="000000" w:themeColor="text1"/>
          <w:sz w:val="22"/>
          <w:szCs w:val="22"/>
        </w:rPr>
        <w:t xml:space="preserve"> </w:t>
      </w:r>
    </w:p>
    <w:p w14:paraId="3E04B3D1" w14:textId="77777777" w:rsidR="001B3BA8" w:rsidRPr="0043774E" w:rsidRDefault="002706B4" w:rsidP="001B3BA8">
      <w:pPr>
        <w:tabs>
          <w:tab w:val="left" w:pos="426"/>
          <w:tab w:val="left" w:pos="709"/>
          <w:tab w:val="left" w:pos="993"/>
          <w:tab w:val="left" w:pos="1134"/>
          <w:tab w:val="left" w:pos="1418"/>
        </w:tabs>
        <w:spacing w:line="252" w:lineRule="exact"/>
        <w:ind w:left="284" w:right="81"/>
        <w:jc w:val="both"/>
        <w:rPr>
          <w:rFonts w:ascii="Arial" w:eastAsia="Arial" w:hAnsi="Arial" w:cs="Arial"/>
          <w:spacing w:val="-3"/>
          <w:sz w:val="22"/>
          <w:szCs w:val="22"/>
          <w:lang w:val="es-ES" w:eastAsia="es-CO" w:bidi="es-CO"/>
        </w:rPr>
      </w:pPr>
      <w:r w:rsidRPr="0043774E">
        <w:rPr>
          <w:rFonts w:ascii="Arial" w:hAnsi="Arial" w:cs="Arial"/>
          <w:color w:val="000000" w:themeColor="text1"/>
          <w:sz w:val="22"/>
          <w:szCs w:val="22"/>
        </w:rPr>
        <w:t xml:space="preserve">afectados por </w:t>
      </w:r>
      <w:r w:rsidR="008A7DE8" w:rsidRPr="0043774E">
        <w:rPr>
          <w:rFonts w:ascii="Arial" w:hAnsi="Arial" w:cs="Arial"/>
          <w:color w:val="000000" w:themeColor="text1"/>
          <w:sz w:val="22"/>
          <w:szCs w:val="22"/>
        </w:rPr>
        <w:t xml:space="preserve">los bloqueos y manifestaciones en </w:t>
      </w:r>
      <w:r w:rsidRPr="0043774E">
        <w:rPr>
          <w:rFonts w:ascii="Arial" w:hAnsi="Arial" w:cs="Arial"/>
          <w:color w:val="000000" w:themeColor="text1"/>
          <w:sz w:val="22"/>
          <w:szCs w:val="22"/>
        </w:rPr>
        <w:t xml:space="preserve">la Vía Panamericana y para </w:t>
      </w:r>
      <w:r w:rsidR="008233B6" w:rsidRPr="0043774E">
        <w:rPr>
          <w:rFonts w:ascii="Arial" w:hAnsi="Arial" w:cs="Arial"/>
          <w:color w:val="000000" w:themeColor="text1"/>
          <w:sz w:val="22"/>
          <w:szCs w:val="22"/>
        </w:rPr>
        <w:t>i</w:t>
      </w:r>
      <w:r w:rsidRPr="0043774E">
        <w:rPr>
          <w:rFonts w:ascii="Arial" w:hAnsi="Arial" w:cs="Arial"/>
          <w:color w:val="000000" w:themeColor="text1"/>
          <w:sz w:val="22"/>
          <w:szCs w:val="22"/>
        </w:rPr>
        <w:t xml:space="preserve">mplementar el </w:t>
      </w:r>
      <w:r w:rsidR="00391FAC" w:rsidRPr="0043774E">
        <w:rPr>
          <w:rFonts w:ascii="Arial" w:eastAsia="Arial" w:hAnsi="Arial" w:cs="Arial"/>
          <w:spacing w:val="-3"/>
          <w:sz w:val="22"/>
          <w:szCs w:val="22"/>
          <w:lang w:val="es-ES" w:eastAsia="es-CO" w:bidi="es-CO"/>
        </w:rPr>
        <w:t>“Plan de</w:t>
      </w:r>
      <w:r w:rsidR="008A7DE8" w:rsidRPr="0043774E">
        <w:rPr>
          <w:rFonts w:ascii="Arial" w:eastAsia="Arial" w:hAnsi="Arial" w:cs="Arial"/>
          <w:spacing w:val="-3"/>
          <w:sz w:val="22"/>
          <w:szCs w:val="22"/>
          <w:lang w:val="es-ES" w:eastAsia="es-CO" w:bidi="es-CO"/>
        </w:rPr>
        <w:t xml:space="preserve"> </w:t>
      </w:r>
      <w:r w:rsidR="00391FAC" w:rsidRPr="0043774E">
        <w:rPr>
          <w:rFonts w:ascii="Arial" w:eastAsia="Arial" w:hAnsi="Arial" w:cs="Arial"/>
          <w:spacing w:val="-3"/>
          <w:sz w:val="22"/>
          <w:szCs w:val="22"/>
          <w:lang w:val="es-ES" w:eastAsia="es-CO" w:bidi="es-CO"/>
        </w:rPr>
        <w:t>Impacto Frontera con Venezuela”</w:t>
      </w:r>
      <w:r w:rsidR="00944FAC" w:rsidRPr="0043774E">
        <w:rPr>
          <w:rFonts w:ascii="Arial" w:eastAsia="Arial" w:hAnsi="Arial" w:cs="Arial"/>
          <w:spacing w:val="-3"/>
          <w:sz w:val="22"/>
          <w:szCs w:val="22"/>
          <w:lang w:val="es-ES" w:eastAsia="es-CO" w:bidi="es-CO"/>
        </w:rPr>
        <w:t>.</w:t>
      </w:r>
    </w:p>
    <w:p w14:paraId="64B0D942" w14:textId="3B46A062" w:rsidR="001B3BA8" w:rsidRPr="0043774E" w:rsidRDefault="001B3BA8" w:rsidP="001B3BA8">
      <w:pPr>
        <w:tabs>
          <w:tab w:val="left" w:pos="426"/>
          <w:tab w:val="left" w:pos="709"/>
          <w:tab w:val="left" w:pos="993"/>
          <w:tab w:val="left" w:pos="1134"/>
          <w:tab w:val="left" w:pos="1418"/>
        </w:tabs>
        <w:spacing w:line="252" w:lineRule="exact"/>
        <w:ind w:left="284" w:right="81"/>
        <w:jc w:val="both"/>
        <w:rPr>
          <w:rFonts w:ascii="Arial" w:eastAsia="Arial" w:hAnsi="Arial" w:cs="Arial"/>
          <w:spacing w:val="-3"/>
          <w:sz w:val="22"/>
          <w:szCs w:val="22"/>
          <w:lang w:val="es-ES" w:eastAsia="es-CO" w:bidi="es-CO"/>
        </w:rPr>
      </w:pPr>
      <w:r w:rsidRPr="0043774E">
        <w:rPr>
          <w:rFonts w:ascii="Arial" w:eastAsia="Arial" w:hAnsi="Arial" w:cs="Arial"/>
          <w:sz w:val="22"/>
          <w:szCs w:val="22"/>
          <w:lang w:eastAsia="es-CO" w:bidi="es-CO"/>
        </w:rPr>
        <w:t xml:space="preserve">iv. Condiciones especiales de la LEC </w:t>
      </w:r>
      <w:r w:rsidRPr="0043774E">
        <w:rPr>
          <w:rFonts w:ascii="Arial" w:hAnsi="Arial" w:cs="Arial"/>
          <w:color w:val="000000" w:themeColor="text1"/>
          <w:sz w:val="22"/>
          <w:szCs w:val="22"/>
        </w:rPr>
        <w:t>para apoyar a productores agropecuarios afectados por el cierre de la Vía al Llano.</w:t>
      </w:r>
    </w:p>
    <w:bookmarkEnd w:id="3"/>
    <w:p w14:paraId="4338F29B" w14:textId="77777777" w:rsidR="001C1454" w:rsidRPr="0043774E" w:rsidRDefault="006A1EB0" w:rsidP="00470E11">
      <w:pPr>
        <w:pStyle w:val="c5"/>
        <w:tabs>
          <w:tab w:val="left" w:pos="1479"/>
        </w:tabs>
        <w:spacing w:line="240" w:lineRule="auto"/>
        <w:jc w:val="both"/>
        <w:rPr>
          <w:rFonts w:ascii="Arial" w:eastAsia="Arial" w:hAnsi="Arial" w:cs="Arial"/>
          <w:sz w:val="22"/>
          <w:szCs w:val="22"/>
          <w:lang w:eastAsia="es-CO" w:bidi="es-CO"/>
        </w:rPr>
      </w:pPr>
      <w:r w:rsidRPr="0043774E">
        <w:rPr>
          <w:rFonts w:ascii="Arial" w:eastAsia="Arial" w:hAnsi="Arial" w:cs="Arial"/>
          <w:b/>
          <w:sz w:val="22"/>
          <w:szCs w:val="22"/>
          <w:lang w:eastAsia="es-CO" w:bidi="es-CO"/>
        </w:rPr>
        <w:lastRenderedPageBreak/>
        <w:t xml:space="preserve">Artículo </w:t>
      </w:r>
      <w:r w:rsidR="0057499F" w:rsidRPr="0043774E">
        <w:rPr>
          <w:rFonts w:ascii="Arial" w:eastAsia="Arial" w:hAnsi="Arial" w:cs="Arial"/>
          <w:b/>
          <w:sz w:val="22"/>
          <w:szCs w:val="22"/>
          <w:lang w:eastAsia="es-CO" w:bidi="es-CO"/>
        </w:rPr>
        <w:t>2</w:t>
      </w:r>
      <w:r w:rsidRPr="0043774E">
        <w:rPr>
          <w:rFonts w:ascii="Arial" w:eastAsia="Arial" w:hAnsi="Arial" w:cs="Arial"/>
          <w:b/>
          <w:sz w:val="22"/>
          <w:szCs w:val="22"/>
          <w:lang w:eastAsia="es-CO" w:bidi="es-CO"/>
        </w:rPr>
        <w:t>o.</w:t>
      </w:r>
      <w:r w:rsidR="001C1454" w:rsidRPr="0043774E">
        <w:rPr>
          <w:rFonts w:ascii="Arial" w:eastAsia="Arial" w:hAnsi="Arial" w:cs="Arial"/>
          <w:b/>
          <w:sz w:val="22"/>
          <w:szCs w:val="22"/>
          <w:lang w:eastAsia="es-CO" w:bidi="es-CO"/>
        </w:rPr>
        <w:t xml:space="preserve"> </w:t>
      </w:r>
      <w:r w:rsidR="001C1454" w:rsidRPr="0043774E">
        <w:rPr>
          <w:rFonts w:ascii="Arial" w:eastAsia="Arial" w:hAnsi="Arial" w:cs="Arial"/>
          <w:sz w:val="22"/>
          <w:szCs w:val="22"/>
          <w:lang w:eastAsia="es-CO" w:bidi="es-CO"/>
        </w:rPr>
        <w:t>Modificar el primer inciso del artículo 6o. de la Resolución</w:t>
      </w:r>
      <w:r w:rsidR="008233B6" w:rsidRPr="0043774E">
        <w:rPr>
          <w:rFonts w:ascii="Arial" w:eastAsia="Arial" w:hAnsi="Arial" w:cs="Arial"/>
          <w:sz w:val="22"/>
          <w:szCs w:val="22"/>
          <w:lang w:eastAsia="es-CO" w:bidi="es-CO"/>
        </w:rPr>
        <w:t xml:space="preserve"> No.</w:t>
      </w:r>
      <w:r w:rsidR="001C1454" w:rsidRPr="0043774E">
        <w:rPr>
          <w:rFonts w:ascii="Arial" w:eastAsia="Arial" w:hAnsi="Arial" w:cs="Arial"/>
          <w:sz w:val="22"/>
          <w:szCs w:val="22"/>
          <w:lang w:eastAsia="es-CO" w:bidi="es-CO"/>
        </w:rPr>
        <w:t xml:space="preserve"> 12 de 2018 de la Comisión Nacional de Crédito Agropecuario, de la siguiente manera:</w:t>
      </w:r>
    </w:p>
    <w:p w14:paraId="7ABFEF89" w14:textId="77777777" w:rsidR="001C1454" w:rsidRPr="0043774E" w:rsidRDefault="001C1454" w:rsidP="00470E11">
      <w:pPr>
        <w:pStyle w:val="c5"/>
        <w:tabs>
          <w:tab w:val="left" w:pos="1479"/>
        </w:tabs>
        <w:spacing w:line="240" w:lineRule="auto"/>
        <w:jc w:val="both"/>
        <w:rPr>
          <w:rFonts w:ascii="Arial" w:eastAsia="Arial" w:hAnsi="Arial" w:cs="Arial"/>
          <w:b/>
          <w:sz w:val="22"/>
          <w:szCs w:val="22"/>
          <w:lang w:eastAsia="es-CO" w:bidi="es-CO"/>
        </w:rPr>
      </w:pPr>
    </w:p>
    <w:p w14:paraId="305542B2" w14:textId="06CA292A" w:rsidR="001C1454" w:rsidRPr="0043774E" w:rsidRDefault="001C1454" w:rsidP="00470E11">
      <w:pPr>
        <w:pStyle w:val="c5"/>
        <w:tabs>
          <w:tab w:val="left" w:pos="1479"/>
        </w:tabs>
        <w:spacing w:line="240" w:lineRule="auto"/>
        <w:jc w:val="both"/>
        <w:rPr>
          <w:rFonts w:ascii="Arial" w:eastAsia="Arial" w:hAnsi="Arial" w:cs="Arial"/>
          <w:spacing w:val="-3"/>
          <w:sz w:val="22"/>
          <w:szCs w:val="22"/>
          <w:lang w:eastAsia="es-CO" w:bidi="es-CO"/>
        </w:rPr>
      </w:pPr>
      <w:r w:rsidRPr="0043774E">
        <w:rPr>
          <w:rFonts w:ascii="Arial" w:eastAsia="Arial" w:hAnsi="Arial" w:cs="Arial"/>
          <w:b/>
          <w:sz w:val="22"/>
          <w:szCs w:val="22"/>
          <w:lang w:eastAsia="es-CO" w:bidi="es-CO"/>
        </w:rPr>
        <w:t xml:space="preserve">“Artículo 6o. Condiciones especiales de la LEC General. </w:t>
      </w:r>
      <w:r w:rsidRPr="0043774E">
        <w:rPr>
          <w:rFonts w:ascii="Arial" w:eastAsia="Arial" w:hAnsi="Arial" w:cs="Arial"/>
          <w:sz w:val="22"/>
          <w:szCs w:val="22"/>
          <w:lang w:eastAsia="es-CO" w:bidi="es-CO"/>
        </w:rPr>
        <w:t xml:space="preserve">La financiación de las actividades destinadas </w:t>
      </w:r>
      <w:r w:rsidR="00DB6D5B" w:rsidRPr="0043774E">
        <w:rPr>
          <w:rFonts w:ascii="Arial" w:eastAsia="Arial" w:hAnsi="Arial" w:cs="Arial"/>
          <w:sz w:val="22"/>
          <w:szCs w:val="22"/>
          <w:lang w:eastAsia="es-CO" w:bidi="es-CO"/>
        </w:rPr>
        <w:t>a la retención de vientres de ganado bovino y bufalino</w:t>
      </w:r>
      <w:r w:rsidR="002F172B" w:rsidRPr="0043774E">
        <w:rPr>
          <w:rFonts w:ascii="Arial" w:eastAsia="Arial" w:hAnsi="Arial" w:cs="Arial"/>
          <w:sz w:val="22"/>
          <w:szCs w:val="22"/>
          <w:lang w:eastAsia="es-CO" w:bidi="es-CO"/>
        </w:rPr>
        <w:t>;</w:t>
      </w:r>
      <w:r w:rsidR="00DB6D5B" w:rsidRPr="0043774E">
        <w:rPr>
          <w:rFonts w:ascii="Arial" w:eastAsia="Arial" w:hAnsi="Arial" w:cs="Arial"/>
          <w:sz w:val="22"/>
          <w:szCs w:val="22"/>
          <w:lang w:eastAsia="es-CO" w:bidi="es-CO"/>
        </w:rPr>
        <w:t xml:space="preserve"> la actividad pecuaria, pesquera y acuícola sostenible</w:t>
      </w:r>
      <w:r w:rsidR="002F172B" w:rsidRPr="0043774E">
        <w:rPr>
          <w:rFonts w:ascii="Arial" w:eastAsia="Arial" w:hAnsi="Arial" w:cs="Arial"/>
          <w:sz w:val="22"/>
          <w:szCs w:val="22"/>
          <w:lang w:eastAsia="es-CO" w:bidi="es-CO"/>
        </w:rPr>
        <w:t xml:space="preserve">; </w:t>
      </w:r>
      <w:r w:rsidR="006E6929" w:rsidRPr="0043774E">
        <w:rPr>
          <w:rFonts w:ascii="Arial" w:eastAsia="Arial" w:hAnsi="Arial" w:cs="Arial"/>
          <w:sz w:val="22"/>
          <w:szCs w:val="22"/>
          <w:lang w:eastAsia="es-CO" w:bidi="es-CO"/>
        </w:rPr>
        <w:t xml:space="preserve">las necesidades de capital de trabajo </w:t>
      </w:r>
      <w:r w:rsidR="00DB6D5B" w:rsidRPr="0043774E">
        <w:rPr>
          <w:rFonts w:ascii="Arial" w:eastAsia="Arial" w:hAnsi="Arial" w:cs="Arial"/>
          <w:sz w:val="22"/>
          <w:szCs w:val="22"/>
          <w:lang w:eastAsia="es-CO" w:bidi="es-CO"/>
        </w:rPr>
        <w:t xml:space="preserve">de los </w:t>
      </w:r>
      <w:r w:rsidR="00DB6D5B" w:rsidRPr="0043774E">
        <w:rPr>
          <w:rFonts w:ascii="Arial" w:eastAsia="Arial" w:hAnsi="Arial" w:cs="Arial"/>
          <w:sz w:val="22"/>
          <w:szCs w:val="22"/>
          <w:lang w:val="es-CO" w:eastAsia="es-CO" w:bidi="es-CO"/>
        </w:rPr>
        <w:t xml:space="preserve">productores agropecuarios afectados por </w:t>
      </w:r>
      <w:r w:rsidR="008A7DE8" w:rsidRPr="0043774E">
        <w:rPr>
          <w:rFonts w:ascii="Arial" w:hAnsi="Arial" w:cs="Arial"/>
          <w:color w:val="000000" w:themeColor="text1"/>
          <w:sz w:val="22"/>
          <w:szCs w:val="22"/>
        </w:rPr>
        <w:t xml:space="preserve">los bloqueos y manifestaciones en </w:t>
      </w:r>
      <w:r w:rsidR="00DB6D5B" w:rsidRPr="0043774E">
        <w:rPr>
          <w:rFonts w:ascii="Arial" w:eastAsia="Arial" w:hAnsi="Arial" w:cs="Arial"/>
          <w:sz w:val="22"/>
          <w:szCs w:val="22"/>
          <w:lang w:val="es-CO" w:eastAsia="es-CO" w:bidi="es-CO"/>
        </w:rPr>
        <w:t xml:space="preserve">la Vía Panamericana </w:t>
      </w:r>
      <w:r w:rsidR="00DB6D5B" w:rsidRPr="0043774E">
        <w:rPr>
          <w:rFonts w:ascii="Arial" w:eastAsia="Arial" w:hAnsi="Arial" w:cs="Arial"/>
          <w:sz w:val="22"/>
          <w:szCs w:val="22"/>
          <w:lang w:eastAsia="es-CO" w:bidi="es-CO"/>
        </w:rPr>
        <w:t xml:space="preserve">y para implementar el </w:t>
      </w:r>
      <w:r w:rsidR="00DB6D5B" w:rsidRPr="0043774E">
        <w:rPr>
          <w:rFonts w:ascii="Arial" w:eastAsia="Arial" w:hAnsi="Arial" w:cs="Arial"/>
          <w:spacing w:val="-3"/>
          <w:sz w:val="22"/>
          <w:szCs w:val="22"/>
          <w:lang w:eastAsia="es-CO" w:bidi="es-CO"/>
        </w:rPr>
        <w:t>“Plan de Impacto Frontera con Venezuela</w:t>
      </w:r>
      <w:r w:rsidR="003421F4" w:rsidRPr="0043774E">
        <w:rPr>
          <w:rFonts w:ascii="Arial" w:eastAsia="Arial" w:hAnsi="Arial" w:cs="Arial"/>
          <w:spacing w:val="-3"/>
          <w:sz w:val="22"/>
          <w:szCs w:val="22"/>
          <w:lang w:eastAsia="es-CO" w:bidi="es-CO"/>
        </w:rPr>
        <w:t xml:space="preserve">; </w:t>
      </w:r>
      <w:r w:rsidR="004F36F8" w:rsidRPr="0043774E">
        <w:rPr>
          <w:rFonts w:ascii="Arial" w:eastAsia="Arial" w:hAnsi="Arial" w:cs="Arial"/>
          <w:spacing w:val="-3"/>
          <w:sz w:val="22"/>
          <w:szCs w:val="22"/>
          <w:lang w:eastAsia="es-CO" w:bidi="es-CO"/>
        </w:rPr>
        <w:t xml:space="preserve"> </w:t>
      </w:r>
      <w:r w:rsidR="00D1419B" w:rsidRPr="0043774E">
        <w:rPr>
          <w:rFonts w:ascii="Arial" w:eastAsia="Arial" w:hAnsi="Arial" w:cs="Arial"/>
          <w:color w:val="000000" w:themeColor="text1"/>
          <w:spacing w:val="-3"/>
          <w:sz w:val="22"/>
          <w:szCs w:val="22"/>
          <w:lang w:eastAsia="es-CO" w:bidi="es-CO"/>
        </w:rPr>
        <w:t xml:space="preserve">y </w:t>
      </w:r>
      <w:r w:rsidR="00D1419B" w:rsidRPr="0043774E">
        <w:rPr>
          <w:rFonts w:ascii="Arial" w:eastAsia="Arial" w:hAnsi="Arial" w:cs="Arial"/>
          <w:color w:val="000000" w:themeColor="text1"/>
          <w:sz w:val="22"/>
          <w:szCs w:val="22"/>
          <w:lang w:eastAsia="es-CO" w:bidi="es-CO"/>
        </w:rPr>
        <w:t xml:space="preserve">las necesidades de capital de trabajo de los </w:t>
      </w:r>
      <w:r w:rsidR="00D1419B" w:rsidRPr="0043774E">
        <w:rPr>
          <w:rFonts w:ascii="Arial" w:eastAsia="Arial" w:hAnsi="Arial" w:cs="Arial"/>
          <w:color w:val="000000" w:themeColor="text1"/>
          <w:sz w:val="22"/>
          <w:szCs w:val="22"/>
          <w:lang w:val="es-CO" w:eastAsia="es-CO" w:bidi="es-CO"/>
        </w:rPr>
        <w:t>productores agropecuarios afectados por</w:t>
      </w:r>
      <w:r w:rsidR="004F36F8" w:rsidRPr="0043774E">
        <w:rPr>
          <w:rFonts w:ascii="Arial" w:eastAsia="Arial" w:hAnsi="Arial" w:cs="Arial"/>
          <w:color w:val="000000" w:themeColor="text1"/>
          <w:spacing w:val="-3"/>
          <w:sz w:val="22"/>
          <w:szCs w:val="22"/>
          <w:lang w:eastAsia="es-CO" w:bidi="es-CO"/>
        </w:rPr>
        <w:t xml:space="preserve"> </w:t>
      </w:r>
      <w:r w:rsidR="0071173D" w:rsidRPr="0043774E">
        <w:rPr>
          <w:rFonts w:ascii="Arial" w:eastAsia="Arial" w:hAnsi="Arial" w:cs="Arial"/>
          <w:color w:val="000000" w:themeColor="text1"/>
          <w:spacing w:val="-3"/>
          <w:sz w:val="22"/>
          <w:szCs w:val="22"/>
          <w:lang w:eastAsia="es-CO" w:bidi="es-CO"/>
        </w:rPr>
        <w:t xml:space="preserve">el </w:t>
      </w:r>
      <w:r w:rsidR="0071173D" w:rsidRPr="0043774E">
        <w:rPr>
          <w:rFonts w:ascii="Arial" w:eastAsia="Arial" w:hAnsi="Arial" w:cs="Arial"/>
          <w:spacing w:val="-3"/>
          <w:sz w:val="22"/>
          <w:szCs w:val="22"/>
          <w:lang w:eastAsia="es-CO" w:bidi="es-CO"/>
        </w:rPr>
        <w:t>cierre de la Vía al Llano</w:t>
      </w:r>
      <w:r w:rsidR="00711AE1" w:rsidRPr="0043774E">
        <w:rPr>
          <w:rFonts w:ascii="Arial" w:eastAsia="Arial" w:hAnsi="Arial" w:cs="Arial"/>
          <w:spacing w:val="-3"/>
          <w:sz w:val="22"/>
          <w:szCs w:val="22"/>
          <w:lang w:eastAsia="es-CO" w:bidi="es-CO"/>
        </w:rPr>
        <w:t xml:space="preserve"> se sujetarán a las siguientes reglas especiales</w:t>
      </w:r>
      <w:r w:rsidR="00711AE1" w:rsidRPr="0043774E">
        <w:rPr>
          <w:rFonts w:ascii="Arial" w:eastAsia="Arial" w:hAnsi="Arial" w:cs="Arial"/>
          <w:i/>
          <w:spacing w:val="-3"/>
          <w:sz w:val="22"/>
          <w:szCs w:val="22"/>
          <w:lang w:eastAsia="es-CO" w:bidi="es-CO"/>
        </w:rPr>
        <w:t>:</w:t>
      </w:r>
      <w:r w:rsidR="00711AE1" w:rsidRPr="0043774E">
        <w:rPr>
          <w:rFonts w:ascii="Arial" w:eastAsia="Arial" w:hAnsi="Arial" w:cs="Arial"/>
          <w:spacing w:val="-3"/>
          <w:sz w:val="22"/>
          <w:szCs w:val="22"/>
          <w:lang w:eastAsia="es-CO" w:bidi="es-CO"/>
        </w:rPr>
        <w:t>”</w:t>
      </w:r>
    </w:p>
    <w:p w14:paraId="51EC7E1B" w14:textId="77777777" w:rsidR="00711AE1" w:rsidRPr="0043774E" w:rsidRDefault="00711AE1" w:rsidP="00470E11">
      <w:pPr>
        <w:pStyle w:val="c5"/>
        <w:tabs>
          <w:tab w:val="left" w:pos="1479"/>
        </w:tabs>
        <w:spacing w:line="240" w:lineRule="auto"/>
        <w:jc w:val="both"/>
        <w:rPr>
          <w:rFonts w:ascii="Arial" w:eastAsia="Arial" w:hAnsi="Arial" w:cs="Arial"/>
          <w:sz w:val="22"/>
          <w:szCs w:val="22"/>
          <w:lang w:eastAsia="es-CO" w:bidi="es-CO"/>
        </w:rPr>
      </w:pPr>
    </w:p>
    <w:p w14:paraId="78AEAAAC" w14:textId="77777777" w:rsidR="00470E11" w:rsidRPr="0043774E" w:rsidRDefault="001C1454" w:rsidP="00470E11">
      <w:pPr>
        <w:pStyle w:val="c5"/>
        <w:tabs>
          <w:tab w:val="left" w:pos="1479"/>
        </w:tabs>
        <w:spacing w:line="240" w:lineRule="auto"/>
        <w:jc w:val="both"/>
        <w:rPr>
          <w:rFonts w:ascii="Arial" w:eastAsia="Arial" w:hAnsi="Arial" w:cs="Arial"/>
          <w:sz w:val="22"/>
          <w:szCs w:val="22"/>
          <w:lang w:eastAsia="es-CO" w:bidi="es-CO"/>
        </w:rPr>
      </w:pPr>
      <w:r w:rsidRPr="0043774E">
        <w:rPr>
          <w:rFonts w:ascii="Arial" w:eastAsia="Arial" w:hAnsi="Arial" w:cs="Arial"/>
          <w:b/>
          <w:sz w:val="22"/>
          <w:szCs w:val="22"/>
          <w:lang w:eastAsia="es-CO" w:bidi="es-CO"/>
        </w:rPr>
        <w:t xml:space="preserve">Artículo 3o. </w:t>
      </w:r>
      <w:r w:rsidR="00470E11" w:rsidRPr="0043774E">
        <w:rPr>
          <w:rFonts w:ascii="Arial" w:eastAsia="Arial" w:hAnsi="Arial" w:cs="Arial"/>
          <w:sz w:val="22"/>
          <w:szCs w:val="22"/>
          <w:lang w:eastAsia="es-CO" w:bidi="es-CO"/>
        </w:rPr>
        <w:t>Adicionar</w:t>
      </w:r>
      <w:r w:rsidR="00470E11" w:rsidRPr="0043774E">
        <w:rPr>
          <w:rFonts w:ascii="Arial" w:eastAsia="Arial" w:hAnsi="Arial" w:cs="Arial"/>
          <w:b/>
          <w:sz w:val="22"/>
          <w:szCs w:val="22"/>
          <w:lang w:eastAsia="es-CO" w:bidi="es-CO"/>
        </w:rPr>
        <w:t xml:space="preserve"> </w:t>
      </w:r>
      <w:r w:rsidR="00CD6972" w:rsidRPr="0043774E">
        <w:rPr>
          <w:rFonts w:ascii="Arial" w:eastAsia="Arial" w:hAnsi="Arial" w:cs="Arial"/>
          <w:sz w:val="22"/>
          <w:szCs w:val="22"/>
          <w:lang w:eastAsia="es-CO" w:bidi="es-CO"/>
        </w:rPr>
        <w:t>el</w:t>
      </w:r>
      <w:r w:rsidR="00AA6979" w:rsidRPr="0043774E">
        <w:rPr>
          <w:rFonts w:ascii="Arial" w:eastAsia="Arial" w:hAnsi="Arial" w:cs="Arial"/>
          <w:sz w:val="22"/>
          <w:szCs w:val="22"/>
          <w:lang w:eastAsia="es-CO" w:bidi="es-CO"/>
        </w:rPr>
        <w:t xml:space="preserve"> artículo 6o. de la </w:t>
      </w:r>
      <w:r w:rsidR="00861851" w:rsidRPr="0043774E">
        <w:rPr>
          <w:rFonts w:ascii="Arial" w:eastAsia="Arial" w:hAnsi="Arial" w:cs="Arial"/>
          <w:sz w:val="22"/>
          <w:szCs w:val="22"/>
          <w:lang w:eastAsia="es-CO" w:bidi="es-CO"/>
        </w:rPr>
        <w:t>R</w:t>
      </w:r>
      <w:r w:rsidR="00AA6979" w:rsidRPr="0043774E">
        <w:rPr>
          <w:rFonts w:ascii="Arial" w:eastAsia="Arial" w:hAnsi="Arial" w:cs="Arial"/>
          <w:sz w:val="22"/>
          <w:szCs w:val="22"/>
          <w:lang w:eastAsia="es-CO" w:bidi="es-CO"/>
        </w:rPr>
        <w:t xml:space="preserve">esolución </w:t>
      </w:r>
      <w:r w:rsidR="008233B6" w:rsidRPr="0043774E">
        <w:rPr>
          <w:rFonts w:ascii="Arial" w:eastAsia="Arial" w:hAnsi="Arial" w:cs="Arial"/>
          <w:sz w:val="22"/>
          <w:szCs w:val="22"/>
          <w:lang w:eastAsia="es-CO" w:bidi="es-CO"/>
        </w:rPr>
        <w:t>No.</w:t>
      </w:r>
      <w:r w:rsidR="00AA6979" w:rsidRPr="0043774E">
        <w:rPr>
          <w:rFonts w:ascii="Arial" w:eastAsia="Arial" w:hAnsi="Arial" w:cs="Arial"/>
          <w:sz w:val="22"/>
          <w:szCs w:val="22"/>
          <w:lang w:eastAsia="es-CO" w:bidi="es-CO"/>
        </w:rPr>
        <w:t xml:space="preserve">12 de 2018 de la Comisión Nacional de Crédito Agropecuario, </w:t>
      </w:r>
      <w:r w:rsidR="00470E11" w:rsidRPr="0043774E">
        <w:rPr>
          <w:rFonts w:ascii="Arial" w:eastAsia="Arial" w:hAnsi="Arial" w:cs="Arial"/>
          <w:sz w:val="22"/>
          <w:szCs w:val="22"/>
          <w:lang w:eastAsia="es-CO" w:bidi="es-CO"/>
        </w:rPr>
        <w:t>con el siguiente</w:t>
      </w:r>
      <w:r w:rsidR="00CD6972" w:rsidRPr="0043774E">
        <w:rPr>
          <w:rFonts w:ascii="Arial" w:eastAsia="Arial" w:hAnsi="Arial" w:cs="Arial"/>
          <w:sz w:val="22"/>
          <w:szCs w:val="22"/>
          <w:lang w:eastAsia="es-CO" w:bidi="es-CO"/>
        </w:rPr>
        <w:t xml:space="preserve"> numeral</w:t>
      </w:r>
      <w:r w:rsidR="00AA6979" w:rsidRPr="0043774E">
        <w:rPr>
          <w:rFonts w:ascii="Arial" w:eastAsia="Arial" w:hAnsi="Arial" w:cs="Arial"/>
          <w:sz w:val="22"/>
          <w:szCs w:val="22"/>
          <w:lang w:eastAsia="es-CO" w:bidi="es-CO"/>
        </w:rPr>
        <w:t>:</w:t>
      </w:r>
    </w:p>
    <w:p w14:paraId="5FD672A8" w14:textId="77777777" w:rsidR="00470E11" w:rsidRPr="0043774E" w:rsidRDefault="00470E11" w:rsidP="00470E11">
      <w:pPr>
        <w:pStyle w:val="c5"/>
        <w:tabs>
          <w:tab w:val="left" w:pos="1479"/>
        </w:tabs>
        <w:spacing w:line="240" w:lineRule="auto"/>
        <w:jc w:val="both"/>
        <w:rPr>
          <w:rFonts w:ascii="Arial" w:eastAsia="Arial" w:hAnsi="Arial" w:cs="Arial"/>
          <w:b/>
          <w:sz w:val="22"/>
          <w:szCs w:val="22"/>
          <w:lang w:eastAsia="es-CO" w:bidi="es-CO"/>
        </w:rPr>
      </w:pPr>
    </w:p>
    <w:p w14:paraId="40F97FB5" w14:textId="77777777" w:rsidR="00AA6979" w:rsidRPr="0043774E" w:rsidRDefault="00470E11" w:rsidP="00470E11">
      <w:pPr>
        <w:pStyle w:val="c5"/>
        <w:tabs>
          <w:tab w:val="left" w:pos="1479"/>
        </w:tabs>
        <w:spacing w:line="240" w:lineRule="auto"/>
        <w:jc w:val="both"/>
        <w:rPr>
          <w:rFonts w:ascii="Arial" w:eastAsia="Arial" w:hAnsi="Arial" w:cs="Arial"/>
          <w:b/>
          <w:sz w:val="22"/>
          <w:szCs w:val="22"/>
          <w:lang w:eastAsia="es-CO" w:bidi="es-CO"/>
        </w:rPr>
      </w:pPr>
      <w:r w:rsidRPr="0043774E">
        <w:rPr>
          <w:rFonts w:ascii="Arial" w:eastAsia="Arial" w:hAnsi="Arial" w:cs="Arial"/>
          <w:b/>
          <w:sz w:val="22"/>
          <w:szCs w:val="22"/>
          <w:lang w:eastAsia="es-CO" w:bidi="es-CO"/>
        </w:rPr>
        <w:t xml:space="preserve">“ </w:t>
      </w:r>
      <w:r w:rsidR="004F36F8" w:rsidRPr="0043774E">
        <w:rPr>
          <w:rFonts w:ascii="Arial" w:eastAsia="Arial" w:hAnsi="Arial" w:cs="Arial"/>
          <w:b/>
          <w:sz w:val="22"/>
          <w:szCs w:val="22"/>
          <w:lang w:eastAsia="es-CO" w:bidi="es-CO"/>
        </w:rPr>
        <w:t>IV</w:t>
      </w:r>
      <w:r w:rsidRPr="0043774E">
        <w:rPr>
          <w:rFonts w:ascii="Arial" w:eastAsia="Arial" w:hAnsi="Arial" w:cs="Arial"/>
          <w:b/>
          <w:sz w:val="22"/>
          <w:szCs w:val="22"/>
          <w:lang w:eastAsia="es-CO" w:bidi="es-CO"/>
        </w:rPr>
        <w:t>.</w:t>
      </w:r>
      <w:r w:rsidR="007F460E" w:rsidRPr="0043774E">
        <w:rPr>
          <w:rFonts w:ascii="Arial" w:eastAsia="Arial" w:hAnsi="Arial" w:cs="Arial"/>
          <w:b/>
          <w:sz w:val="22"/>
          <w:szCs w:val="22"/>
          <w:lang w:eastAsia="es-CO" w:bidi="es-CO"/>
        </w:rPr>
        <w:t xml:space="preserve"> </w:t>
      </w:r>
      <w:r w:rsidR="00AA6979" w:rsidRPr="0043774E">
        <w:rPr>
          <w:rFonts w:ascii="Arial" w:eastAsia="Arial" w:hAnsi="Arial" w:cs="Arial"/>
          <w:b/>
          <w:sz w:val="22"/>
          <w:szCs w:val="22"/>
          <w:lang w:val="es-CO" w:eastAsia="es-CO" w:bidi="es-CO"/>
        </w:rPr>
        <w:t>Productores agropecuarios afectados</w:t>
      </w:r>
      <w:r w:rsidR="0071173D" w:rsidRPr="0043774E">
        <w:rPr>
          <w:rFonts w:ascii="Arial" w:eastAsia="Arial" w:hAnsi="Arial" w:cs="Arial"/>
          <w:b/>
          <w:sz w:val="22"/>
          <w:szCs w:val="22"/>
          <w:lang w:val="es-CO" w:eastAsia="es-CO" w:bidi="es-CO"/>
        </w:rPr>
        <w:t xml:space="preserve"> el cierre de la Vía al Llano</w:t>
      </w:r>
      <w:r w:rsidR="00AA6979" w:rsidRPr="0043774E">
        <w:rPr>
          <w:rFonts w:ascii="Arial" w:eastAsia="Arial" w:hAnsi="Arial" w:cs="Arial"/>
          <w:b/>
          <w:sz w:val="22"/>
          <w:szCs w:val="22"/>
          <w:lang w:eastAsia="es-CO" w:bidi="es-CO"/>
        </w:rPr>
        <w:t>.</w:t>
      </w:r>
    </w:p>
    <w:p w14:paraId="3EA51314" w14:textId="77777777" w:rsidR="00515C3A" w:rsidRPr="0043774E" w:rsidRDefault="00515C3A" w:rsidP="00470E11">
      <w:pPr>
        <w:pStyle w:val="c5"/>
        <w:tabs>
          <w:tab w:val="left" w:pos="1479"/>
        </w:tabs>
        <w:spacing w:line="240" w:lineRule="auto"/>
        <w:jc w:val="both"/>
        <w:rPr>
          <w:rFonts w:ascii="Arial" w:eastAsia="Arial" w:hAnsi="Arial" w:cs="Arial"/>
          <w:spacing w:val="-3"/>
          <w:sz w:val="22"/>
          <w:szCs w:val="22"/>
          <w:lang w:eastAsia="es-CO" w:bidi="es-CO"/>
        </w:rPr>
      </w:pPr>
    </w:p>
    <w:p w14:paraId="5DD9B550" w14:textId="77777777" w:rsidR="00B647F2" w:rsidRPr="0043774E" w:rsidRDefault="00EE17EA" w:rsidP="004D606F">
      <w:pPr>
        <w:jc w:val="both"/>
        <w:rPr>
          <w:rFonts w:ascii="Arial" w:eastAsia="Arial" w:hAnsi="Arial" w:cs="Arial"/>
          <w:spacing w:val="-3"/>
          <w:sz w:val="22"/>
          <w:szCs w:val="22"/>
          <w:lang w:eastAsia="es-CO" w:bidi="es-CO"/>
        </w:rPr>
      </w:pPr>
      <w:r w:rsidRPr="0043774E">
        <w:rPr>
          <w:rFonts w:ascii="Arial" w:eastAsia="Arial" w:hAnsi="Arial" w:cs="Arial"/>
          <w:spacing w:val="-3"/>
          <w:sz w:val="22"/>
          <w:szCs w:val="22"/>
          <w:lang w:eastAsia="es-CO" w:bidi="es-CO"/>
        </w:rPr>
        <w:t xml:space="preserve">Sin perjuicio de lo establecido en el artículo 5o. de esta </w:t>
      </w:r>
      <w:r w:rsidR="00B72143" w:rsidRPr="0043774E">
        <w:rPr>
          <w:rFonts w:ascii="Arial" w:eastAsia="Arial" w:hAnsi="Arial" w:cs="Arial"/>
          <w:spacing w:val="-3"/>
          <w:sz w:val="22"/>
          <w:szCs w:val="22"/>
          <w:lang w:eastAsia="es-CO" w:bidi="es-CO"/>
        </w:rPr>
        <w:t>resolución</w:t>
      </w:r>
      <w:r w:rsidRPr="0043774E">
        <w:rPr>
          <w:rFonts w:ascii="Arial" w:eastAsia="Arial" w:hAnsi="Arial" w:cs="Arial"/>
          <w:spacing w:val="-3"/>
          <w:sz w:val="22"/>
          <w:szCs w:val="22"/>
          <w:lang w:eastAsia="es-CO" w:bidi="es-CO"/>
        </w:rPr>
        <w:t>, l</w:t>
      </w:r>
      <w:r w:rsidR="00B647F2" w:rsidRPr="0043774E">
        <w:rPr>
          <w:rFonts w:ascii="Arial" w:eastAsia="Arial" w:hAnsi="Arial" w:cs="Arial"/>
          <w:spacing w:val="-3"/>
          <w:sz w:val="22"/>
          <w:szCs w:val="22"/>
          <w:lang w:eastAsia="es-CO" w:bidi="es-CO"/>
        </w:rPr>
        <w:t xml:space="preserve">as condiciones </w:t>
      </w:r>
      <w:r w:rsidR="0061168C" w:rsidRPr="0043774E">
        <w:rPr>
          <w:rFonts w:ascii="Arial" w:eastAsia="Arial" w:hAnsi="Arial" w:cs="Arial"/>
          <w:spacing w:val="-3"/>
          <w:sz w:val="22"/>
          <w:szCs w:val="22"/>
          <w:lang w:eastAsia="es-CO" w:bidi="es-CO"/>
        </w:rPr>
        <w:t xml:space="preserve">de los créditos otorgados a los </w:t>
      </w:r>
      <w:r w:rsidR="0061168C" w:rsidRPr="0043774E">
        <w:rPr>
          <w:rFonts w:ascii="Arial" w:eastAsia="Arial" w:hAnsi="Arial" w:cs="Arial"/>
          <w:spacing w:val="-3"/>
          <w:sz w:val="22"/>
          <w:szCs w:val="22"/>
          <w:lang w:val="es-ES" w:eastAsia="es-CO" w:bidi="es-CO"/>
        </w:rPr>
        <w:t xml:space="preserve">productores agropecuarios afectados por </w:t>
      </w:r>
      <w:bookmarkStart w:id="4" w:name="_Hlk8633708"/>
      <w:r w:rsidR="0071173D" w:rsidRPr="0043774E">
        <w:rPr>
          <w:rFonts w:ascii="Arial" w:eastAsia="Arial" w:hAnsi="Arial" w:cs="Arial"/>
          <w:spacing w:val="-3"/>
          <w:sz w:val="22"/>
          <w:szCs w:val="22"/>
          <w:lang w:val="es-ES" w:eastAsia="es-CO" w:bidi="es-CO"/>
        </w:rPr>
        <w:t>el cierre de la Vía al Llano</w:t>
      </w:r>
      <w:bookmarkEnd w:id="4"/>
      <w:r w:rsidR="0071173D" w:rsidRPr="0043774E">
        <w:rPr>
          <w:rFonts w:ascii="Arial" w:hAnsi="Arial" w:cs="Arial"/>
          <w:color w:val="000000" w:themeColor="text1"/>
          <w:sz w:val="22"/>
          <w:szCs w:val="22"/>
        </w:rPr>
        <w:t xml:space="preserve"> </w:t>
      </w:r>
      <w:r w:rsidR="00B647F2" w:rsidRPr="0043774E">
        <w:rPr>
          <w:rFonts w:ascii="Arial" w:eastAsia="Arial" w:hAnsi="Arial" w:cs="Arial"/>
          <w:spacing w:val="-3"/>
          <w:sz w:val="22"/>
          <w:szCs w:val="22"/>
          <w:lang w:eastAsia="es-CO" w:bidi="es-CO"/>
        </w:rPr>
        <w:t>serán las siguientes:</w:t>
      </w:r>
    </w:p>
    <w:p w14:paraId="040DB01B" w14:textId="77777777" w:rsidR="0061168C" w:rsidRPr="0043774E" w:rsidRDefault="0061168C" w:rsidP="001132E9">
      <w:pPr>
        <w:pStyle w:val="c5"/>
        <w:tabs>
          <w:tab w:val="left" w:pos="1479"/>
        </w:tabs>
        <w:spacing w:line="240" w:lineRule="auto"/>
        <w:ind w:left="786"/>
        <w:jc w:val="both"/>
        <w:rPr>
          <w:rFonts w:ascii="Arial" w:hAnsi="Arial" w:cs="Arial"/>
          <w:sz w:val="22"/>
          <w:szCs w:val="22"/>
          <w:lang w:eastAsia="es-CO"/>
        </w:rPr>
      </w:pPr>
    </w:p>
    <w:p w14:paraId="1C29C0D2" w14:textId="77777777" w:rsidR="0061168C" w:rsidRPr="0043774E" w:rsidRDefault="0061168C" w:rsidP="0061168C">
      <w:pPr>
        <w:pStyle w:val="Prrafodelista"/>
        <w:numPr>
          <w:ilvl w:val="0"/>
          <w:numId w:val="17"/>
        </w:numPr>
        <w:ind w:left="426"/>
        <w:jc w:val="both"/>
        <w:rPr>
          <w:rFonts w:ascii="Arial" w:hAnsi="Arial" w:cs="Arial"/>
          <w:sz w:val="22"/>
          <w:szCs w:val="22"/>
          <w:lang w:eastAsia="es-CO"/>
        </w:rPr>
      </w:pPr>
      <w:r w:rsidRPr="0043774E">
        <w:rPr>
          <w:rFonts w:ascii="Arial" w:hAnsi="Arial" w:cs="Arial"/>
          <w:sz w:val="22"/>
          <w:szCs w:val="22"/>
          <w:lang w:eastAsia="es-CO"/>
        </w:rPr>
        <w:t xml:space="preserve">Con cargo a los recursos del MADR se establece el siguiente esquema de otorgamiento de subsidio a la tasa final al productor. </w:t>
      </w:r>
    </w:p>
    <w:p w14:paraId="08D6F6EF" w14:textId="77777777" w:rsidR="0061168C" w:rsidRPr="0043774E" w:rsidRDefault="0061168C" w:rsidP="0061168C">
      <w:pPr>
        <w:pStyle w:val="Prrafodelista"/>
        <w:rPr>
          <w:lang w:eastAsia="es-CO"/>
        </w:rPr>
      </w:pPr>
    </w:p>
    <w:tbl>
      <w:tblPr>
        <w:tblW w:w="7078" w:type="dxa"/>
        <w:jc w:val="center"/>
        <w:shd w:val="clear" w:color="auto" w:fill="FFFFFF"/>
        <w:tblCellMar>
          <w:left w:w="0" w:type="dxa"/>
          <w:right w:w="0" w:type="dxa"/>
        </w:tblCellMar>
        <w:tblLook w:val="04A0" w:firstRow="1" w:lastRow="0" w:firstColumn="1" w:lastColumn="0" w:noHBand="0" w:noVBand="1"/>
      </w:tblPr>
      <w:tblGrid>
        <w:gridCol w:w="1147"/>
        <w:gridCol w:w="1396"/>
        <w:gridCol w:w="1700"/>
        <w:gridCol w:w="1276"/>
        <w:gridCol w:w="1559"/>
      </w:tblGrid>
      <w:tr w:rsidR="00337B33" w:rsidRPr="0043774E" w14:paraId="78472566" w14:textId="77777777" w:rsidTr="00337B33">
        <w:trPr>
          <w:trHeight w:val="601"/>
          <w:jc w:val="center"/>
        </w:trPr>
        <w:tc>
          <w:tcPr>
            <w:tcW w:w="1147" w:type="dxa"/>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center"/>
            <w:hideMark/>
          </w:tcPr>
          <w:p w14:paraId="39CBDC9B"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b/>
                <w:bCs/>
                <w:color w:val="000000"/>
                <w:sz w:val="18"/>
                <w:szCs w:val="20"/>
                <w:lang w:eastAsia="es-CO"/>
              </w:rPr>
              <w:t>Tipo de Productor</w:t>
            </w:r>
          </w:p>
        </w:tc>
        <w:tc>
          <w:tcPr>
            <w:tcW w:w="1396"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14:paraId="5CDAFF79"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b/>
                <w:bCs/>
                <w:color w:val="000000"/>
                <w:sz w:val="18"/>
                <w:szCs w:val="20"/>
                <w:lang w:eastAsia="es-CO"/>
              </w:rPr>
              <w:t>Tasa Redescuento (</w:t>
            </w:r>
            <w:proofErr w:type="spellStart"/>
            <w:r w:rsidRPr="0043774E">
              <w:rPr>
                <w:rFonts w:ascii="Arial" w:hAnsi="Arial" w:cs="Arial"/>
                <w:b/>
                <w:bCs/>
                <w:color w:val="000000"/>
                <w:sz w:val="18"/>
                <w:szCs w:val="20"/>
                <w:lang w:eastAsia="es-CO"/>
              </w:rPr>
              <w:t>e.a</w:t>
            </w:r>
            <w:proofErr w:type="spellEnd"/>
            <w:r w:rsidRPr="0043774E">
              <w:rPr>
                <w:rFonts w:ascii="Arial" w:hAnsi="Arial" w:cs="Arial"/>
                <w:b/>
                <w:bCs/>
                <w:color w:val="000000"/>
                <w:sz w:val="18"/>
                <w:szCs w:val="20"/>
                <w:lang w:eastAsia="es-CO"/>
              </w:rPr>
              <w:t>.)</w:t>
            </w:r>
          </w:p>
        </w:tc>
        <w:tc>
          <w:tcPr>
            <w:tcW w:w="1700" w:type="dxa"/>
            <w:tcBorders>
              <w:top w:val="single" w:sz="8" w:space="0" w:color="auto"/>
              <w:left w:val="nil"/>
              <w:bottom w:val="single" w:sz="8" w:space="0" w:color="auto"/>
              <w:right w:val="single" w:sz="8" w:space="0" w:color="auto"/>
            </w:tcBorders>
            <w:shd w:val="clear" w:color="auto" w:fill="D0CECE"/>
            <w:vAlign w:val="center"/>
            <w:hideMark/>
          </w:tcPr>
          <w:p w14:paraId="5887A4A4"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b/>
                <w:bCs/>
                <w:color w:val="000000"/>
                <w:sz w:val="18"/>
                <w:szCs w:val="20"/>
                <w:lang w:eastAsia="es-CO"/>
              </w:rPr>
              <w:t>Tasa LEC General (</w:t>
            </w:r>
            <w:proofErr w:type="spellStart"/>
            <w:r w:rsidRPr="0043774E">
              <w:rPr>
                <w:rFonts w:ascii="Arial" w:hAnsi="Arial" w:cs="Arial"/>
                <w:b/>
                <w:bCs/>
                <w:color w:val="000000"/>
                <w:sz w:val="18"/>
                <w:szCs w:val="20"/>
                <w:lang w:eastAsia="es-CO"/>
              </w:rPr>
              <w:t>e.a</w:t>
            </w:r>
            <w:proofErr w:type="spellEnd"/>
            <w:r w:rsidRPr="0043774E">
              <w:rPr>
                <w:rFonts w:ascii="Arial" w:hAnsi="Arial" w:cs="Arial"/>
                <w:b/>
                <w:bCs/>
                <w:color w:val="000000"/>
                <w:sz w:val="18"/>
                <w:szCs w:val="20"/>
                <w:lang w:eastAsia="es-CO"/>
              </w:rPr>
              <w:t>.)</w:t>
            </w:r>
          </w:p>
        </w:tc>
        <w:tc>
          <w:tcPr>
            <w:tcW w:w="1276" w:type="dxa"/>
            <w:tcBorders>
              <w:top w:val="single" w:sz="8" w:space="0" w:color="auto"/>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14:paraId="66C3FFB1"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b/>
                <w:bCs/>
                <w:color w:val="000000"/>
                <w:sz w:val="18"/>
                <w:szCs w:val="20"/>
                <w:lang w:eastAsia="es-CO"/>
              </w:rPr>
              <w:t>Subsidio LEC General más subsidio adicional</w:t>
            </w:r>
          </w:p>
        </w:tc>
        <w:tc>
          <w:tcPr>
            <w:tcW w:w="1559" w:type="dxa"/>
            <w:tcBorders>
              <w:top w:val="single" w:sz="8" w:space="0" w:color="auto"/>
              <w:left w:val="nil"/>
              <w:bottom w:val="single" w:sz="8" w:space="0" w:color="auto"/>
              <w:right w:val="single" w:sz="8" w:space="0" w:color="auto"/>
            </w:tcBorders>
            <w:shd w:val="clear" w:color="auto" w:fill="D0CECE"/>
            <w:vAlign w:val="center"/>
            <w:hideMark/>
          </w:tcPr>
          <w:p w14:paraId="08351A85"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b/>
                <w:bCs/>
                <w:color w:val="000000"/>
                <w:sz w:val="18"/>
                <w:szCs w:val="20"/>
                <w:lang w:eastAsia="es-CO"/>
              </w:rPr>
              <w:t>Tasa Interés Final (</w:t>
            </w:r>
            <w:proofErr w:type="spellStart"/>
            <w:r w:rsidRPr="0043774E">
              <w:rPr>
                <w:rFonts w:ascii="Arial" w:hAnsi="Arial" w:cs="Arial"/>
                <w:b/>
                <w:bCs/>
                <w:color w:val="000000"/>
                <w:sz w:val="18"/>
                <w:szCs w:val="20"/>
                <w:lang w:eastAsia="es-CO"/>
              </w:rPr>
              <w:t>e.a</w:t>
            </w:r>
            <w:proofErr w:type="spellEnd"/>
            <w:r w:rsidRPr="0043774E">
              <w:rPr>
                <w:rFonts w:ascii="Arial" w:hAnsi="Arial" w:cs="Arial"/>
                <w:b/>
                <w:bCs/>
                <w:color w:val="000000"/>
                <w:sz w:val="18"/>
                <w:szCs w:val="20"/>
                <w:lang w:eastAsia="es-CO"/>
              </w:rPr>
              <w:t>.)</w:t>
            </w:r>
          </w:p>
        </w:tc>
      </w:tr>
      <w:tr w:rsidR="00337B33" w:rsidRPr="0043774E" w14:paraId="39FD22BD" w14:textId="77777777" w:rsidTr="00337B33">
        <w:trPr>
          <w:trHeight w:val="339"/>
          <w:jc w:val="center"/>
        </w:trPr>
        <w:tc>
          <w:tcPr>
            <w:tcW w:w="1147"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hideMark/>
          </w:tcPr>
          <w:p w14:paraId="5C72A606"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color w:val="212121"/>
                <w:sz w:val="18"/>
                <w:szCs w:val="20"/>
                <w:lang w:eastAsia="es-CO"/>
              </w:rPr>
              <w:t>Pequeño</w:t>
            </w:r>
          </w:p>
        </w:tc>
        <w:tc>
          <w:tcPr>
            <w:tcW w:w="1396"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35582AA4"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color w:val="212121"/>
                <w:sz w:val="18"/>
                <w:szCs w:val="20"/>
                <w:lang w:eastAsia="es-CO"/>
              </w:rPr>
              <w:t>DTF – 2.5%</w:t>
            </w:r>
          </w:p>
        </w:tc>
        <w:tc>
          <w:tcPr>
            <w:tcW w:w="1700" w:type="dxa"/>
            <w:tcBorders>
              <w:top w:val="nil"/>
              <w:left w:val="nil"/>
              <w:bottom w:val="nil"/>
              <w:right w:val="single" w:sz="8" w:space="0" w:color="auto"/>
            </w:tcBorders>
            <w:shd w:val="clear" w:color="auto" w:fill="FFFFFF"/>
            <w:vAlign w:val="bottom"/>
            <w:hideMark/>
          </w:tcPr>
          <w:p w14:paraId="1268B617" w14:textId="77777777" w:rsidR="00337B33" w:rsidRPr="0043774E" w:rsidRDefault="00337B33" w:rsidP="0061168C">
            <w:pPr>
              <w:jc w:val="center"/>
              <w:rPr>
                <w:rFonts w:ascii="Calibri" w:hAnsi="Calibri" w:cs="Calibri"/>
                <w:color w:val="212121"/>
                <w:sz w:val="18"/>
                <w:szCs w:val="22"/>
                <w:lang w:eastAsia="es-CO"/>
              </w:rPr>
            </w:pPr>
            <w:r w:rsidRPr="0043774E">
              <w:rPr>
                <w:rFonts w:ascii="Arial" w:hAnsi="Arial" w:cs="Arial"/>
                <w:color w:val="000000"/>
                <w:sz w:val="18"/>
                <w:szCs w:val="20"/>
                <w:lang w:val="es-ES" w:eastAsia="es-CO"/>
              </w:rPr>
              <w:t>Hasta DTF + 2%</w:t>
            </w:r>
          </w:p>
        </w:tc>
        <w:tc>
          <w:tcPr>
            <w:tcW w:w="1276"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561E4208" w14:textId="77777777" w:rsidR="00337B33" w:rsidRPr="0043774E" w:rsidRDefault="00337B33" w:rsidP="0061168C">
            <w:pPr>
              <w:jc w:val="center"/>
              <w:rPr>
                <w:rFonts w:ascii="Calibri" w:hAnsi="Calibri" w:cs="Calibri"/>
                <w:color w:val="212121"/>
                <w:sz w:val="18"/>
                <w:szCs w:val="22"/>
                <w:lang w:eastAsia="es-CO"/>
              </w:rPr>
            </w:pPr>
            <w:r w:rsidRPr="0043774E">
              <w:rPr>
                <w:rFonts w:ascii="Arial" w:hAnsi="Arial" w:cs="Arial"/>
                <w:color w:val="000000"/>
                <w:sz w:val="18"/>
                <w:szCs w:val="20"/>
                <w:lang w:val="es-ES" w:eastAsia="es-CO"/>
              </w:rPr>
              <w:t>6%</w:t>
            </w:r>
          </w:p>
        </w:tc>
        <w:tc>
          <w:tcPr>
            <w:tcW w:w="1559" w:type="dxa"/>
            <w:tcBorders>
              <w:top w:val="nil"/>
              <w:left w:val="nil"/>
              <w:bottom w:val="nil"/>
              <w:right w:val="single" w:sz="8" w:space="0" w:color="auto"/>
            </w:tcBorders>
            <w:shd w:val="clear" w:color="auto" w:fill="FFFFFF"/>
            <w:vAlign w:val="bottom"/>
            <w:hideMark/>
          </w:tcPr>
          <w:p w14:paraId="61D81727"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b/>
                <w:bCs/>
                <w:color w:val="212121"/>
                <w:sz w:val="18"/>
                <w:szCs w:val="20"/>
                <w:lang w:eastAsia="es-CO"/>
              </w:rPr>
              <w:t>Hasta DTF</w:t>
            </w:r>
          </w:p>
        </w:tc>
      </w:tr>
      <w:tr w:rsidR="00337B33" w:rsidRPr="0043774E" w14:paraId="37A69A3C" w14:textId="77777777" w:rsidTr="00337B33">
        <w:trPr>
          <w:trHeight w:val="339"/>
          <w:jc w:val="center"/>
        </w:trPr>
        <w:tc>
          <w:tcPr>
            <w:tcW w:w="1147"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hideMark/>
          </w:tcPr>
          <w:p w14:paraId="3F2A71E5"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color w:val="212121"/>
                <w:sz w:val="18"/>
                <w:szCs w:val="20"/>
                <w:lang w:eastAsia="es-CO"/>
              </w:rPr>
              <w:t>Mediano</w:t>
            </w:r>
          </w:p>
        </w:tc>
        <w:tc>
          <w:tcPr>
            <w:tcW w:w="1396"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5A6031BC"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color w:val="212121"/>
                <w:sz w:val="18"/>
                <w:szCs w:val="20"/>
                <w:lang w:eastAsia="es-CO"/>
              </w:rPr>
              <w:t>DTF + 1%</w:t>
            </w:r>
          </w:p>
        </w:tc>
        <w:tc>
          <w:tcPr>
            <w:tcW w:w="1700" w:type="dxa"/>
            <w:tcBorders>
              <w:top w:val="nil"/>
              <w:left w:val="nil"/>
              <w:bottom w:val="nil"/>
              <w:right w:val="single" w:sz="8" w:space="0" w:color="auto"/>
            </w:tcBorders>
            <w:shd w:val="clear" w:color="auto" w:fill="FFFFFF"/>
            <w:vAlign w:val="bottom"/>
            <w:hideMark/>
          </w:tcPr>
          <w:p w14:paraId="3760E771" w14:textId="77777777" w:rsidR="00337B33" w:rsidRPr="0043774E" w:rsidRDefault="00337B33" w:rsidP="0061168C">
            <w:pPr>
              <w:jc w:val="center"/>
              <w:rPr>
                <w:rFonts w:ascii="Calibri" w:hAnsi="Calibri" w:cs="Calibri"/>
                <w:color w:val="212121"/>
                <w:sz w:val="18"/>
                <w:szCs w:val="22"/>
                <w:lang w:eastAsia="es-CO"/>
              </w:rPr>
            </w:pPr>
            <w:r w:rsidRPr="0043774E">
              <w:rPr>
                <w:rFonts w:ascii="Arial" w:hAnsi="Arial" w:cs="Arial"/>
                <w:color w:val="000000"/>
                <w:sz w:val="18"/>
                <w:szCs w:val="20"/>
                <w:lang w:val="es-ES" w:eastAsia="es-CO"/>
              </w:rPr>
              <w:t>Hasta DTF + 4%</w:t>
            </w:r>
          </w:p>
        </w:tc>
        <w:tc>
          <w:tcPr>
            <w:tcW w:w="1276"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1B9BB458" w14:textId="77777777" w:rsidR="00337B33" w:rsidRPr="0043774E" w:rsidRDefault="00337B33" w:rsidP="0061168C">
            <w:pPr>
              <w:jc w:val="center"/>
              <w:rPr>
                <w:rFonts w:ascii="Calibri" w:hAnsi="Calibri" w:cs="Calibri"/>
                <w:color w:val="212121"/>
                <w:sz w:val="18"/>
                <w:szCs w:val="22"/>
                <w:lang w:eastAsia="es-CO"/>
              </w:rPr>
            </w:pPr>
            <w:r w:rsidRPr="0043774E">
              <w:rPr>
                <w:rFonts w:ascii="Arial" w:hAnsi="Arial" w:cs="Arial"/>
                <w:color w:val="000000"/>
                <w:sz w:val="18"/>
                <w:szCs w:val="20"/>
                <w:lang w:val="es-ES" w:eastAsia="es-CO"/>
              </w:rPr>
              <w:t>6%</w:t>
            </w:r>
          </w:p>
        </w:tc>
        <w:tc>
          <w:tcPr>
            <w:tcW w:w="1559" w:type="dxa"/>
            <w:tcBorders>
              <w:top w:val="nil"/>
              <w:left w:val="nil"/>
              <w:bottom w:val="nil"/>
              <w:right w:val="single" w:sz="8" w:space="0" w:color="auto"/>
            </w:tcBorders>
            <w:shd w:val="clear" w:color="auto" w:fill="FFFFFF"/>
            <w:vAlign w:val="bottom"/>
            <w:hideMark/>
          </w:tcPr>
          <w:p w14:paraId="3F6242B9"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b/>
                <w:bCs/>
                <w:color w:val="212121"/>
                <w:sz w:val="18"/>
                <w:szCs w:val="20"/>
                <w:lang w:eastAsia="es-CO"/>
              </w:rPr>
              <w:t>Hasta DTF + 1%</w:t>
            </w:r>
          </w:p>
        </w:tc>
      </w:tr>
      <w:tr w:rsidR="00337B33" w:rsidRPr="0043774E" w14:paraId="6330A99A" w14:textId="77777777" w:rsidTr="00337B33">
        <w:trPr>
          <w:trHeight w:val="339"/>
          <w:jc w:val="center"/>
        </w:trPr>
        <w:tc>
          <w:tcPr>
            <w:tcW w:w="114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D77C046"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color w:val="212121"/>
                <w:sz w:val="18"/>
                <w:szCs w:val="20"/>
                <w:lang w:eastAsia="es-CO"/>
              </w:rPr>
              <w:t>Grande</w:t>
            </w:r>
          </w:p>
        </w:tc>
        <w:tc>
          <w:tcPr>
            <w:tcW w:w="139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617F40D"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color w:val="212121"/>
                <w:sz w:val="18"/>
                <w:szCs w:val="20"/>
                <w:lang w:eastAsia="es-CO"/>
              </w:rPr>
              <w:t>DTF + 2%</w:t>
            </w:r>
          </w:p>
        </w:tc>
        <w:tc>
          <w:tcPr>
            <w:tcW w:w="1700" w:type="dxa"/>
            <w:tcBorders>
              <w:top w:val="nil"/>
              <w:left w:val="nil"/>
              <w:bottom w:val="single" w:sz="8" w:space="0" w:color="auto"/>
              <w:right w:val="single" w:sz="8" w:space="0" w:color="auto"/>
            </w:tcBorders>
            <w:shd w:val="clear" w:color="auto" w:fill="FFFFFF"/>
            <w:vAlign w:val="bottom"/>
            <w:hideMark/>
          </w:tcPr>
          <w:p w14:paraId="1FFA8086" w14:textId="77777777" w:rsidR="00337B33" w:rsidRPr="0043774E" w:rsidRDefault="00337B33" w:rsidP="0061168C">
            <w:pPr>
              <w:jc w:val="center"/>
              <w:rPr>
                <w:rFonts w:ascii="Calibri" w:hAnsi="Calibri" w:cs="Calibri"/>
                <w:color w:val="212121"/>
                <w:sz w:val="18"/>
                <w:szCs w:val="22"/>
                <w:lang w:eastAsia="es-CO"/>
              </w:rPr>
            </w:pPr>
            <w:r w:rsidRPr="0043774E">
              <w:rPr>
                <w:rFonts w:ascii="Arial" w:hAnsi="Arial" w:cs="Arial"/>
                <w:color w:val="000000"/>
                <w:sz w:val="18"/>
                <w:szCs w:val="20"/>
                <w:lang w:val="es-ES" w:eastAsia="es-CO"/>
              </w:rPr>
              <w:t>Hasta DTF + 5%</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8215A70" w14:textId="77777777" w:rsidR="00337B33" w:rsidRPr="0043774E" w:rsidRDefault="00337B33" w:rsidP="0061168C">
            <w:pPr>
              <w:jc w:val="center"/>
              <w:rPr>
                <w:rFonts w:ascii="Calibri" w:hAnsi="Calibri" w:cs="Calibri"/>
                <w:color w:val="212121"/>
                <w:sz w:val="18"/>
                <w:szCs w:val="22"/>
                <w:lang w:eastAsia="es-CO"/>
              </w:rPr>
            </w:pPr>
            <w:r w:rsidRPr="0043774E">
              <w:rPr>
                <w:rFonts w:ascii="Arial" w:hAnsi="Arial" w:cs="Arial"/>
                <w:color w:val="000000"/>
                <w:sz w:val="18"/>
                <w:szCs w:val="20"/>
                <w:lang w:val="es-ES" w:eastAsia="es-CO"/>
              </w:rPr>
              <w:t>5%</w:t>
            </w:r>
          </w:p>
        </w:tc>
        <w:tc>
          <w:tcPr>
            <w:tcW w:w="1559" w:type="dxa"/>
            <w:tcBorders>
              <w:top w:val="nil"/>
              <w:left w:val="nil"/>
              <w:bottom w:val="single" w:sz="8" w:space="0" w:color="auto"/>
              <w:right w:val="single" w:sz="8" w:space="0" w:color="auto"/>
            </w:tcBorders>
            <w:shd w:val="clear" w:color="auto" w:fill="FFFFFF"/>
            <w:vAlign w:val="bottom"/>
            <w:hideMark/>
          </w:tcPr>
          <w:p w14:paraId="629758A5" w14:textId="77777777" w:rsidR="00337B33" w:rsidRPr="0043774E" w:rsidRDefault="00337B33" w:rsidP="0061168C">
            <w:pPr>
              <w:spacing w:line="231" w:lineRule="atLeast"/>
              <w:jc w:val="center"/>
              <w:rPr>
                <w:rFonts w:ascii="Calibri" w:hAnsi="Calibri" w:cs="Calibri"/>
                <w:color w:val="212121"/>
                <w:sz w:val="18"/>
                <w:szCs w:val="22"/>
                <w:lang w:eastAsia="es-CO"/>
              </w:rPr>
            </w:pPr>
            <w:r w:rsidRPr="0043774E">
              <w:rPr>
                <w:rFonts w:ascii="Arial" w:hAnsi="Arial" w:cs="Arial"/>
                <w:b/>
                <w:bCs/>
                <w:color w:val="212121"/>
                <w:sz w:val="18"/>
                <w:szCs w:val="20"/>
                <w:lang w:eastAsia="es-CO"/>
              </w:rPr>
              <w:t>Hasta DTF + 2%</w:t>
            </w:r>
          </w:p>
        </w:tc>
      </w:tr>
    </w:tbl>
    <w:p w14:paraId="5CE755DB" w14:textId="77777777" w:rsidR="00515C3A" w:rsidRPr="0043774E" w:rsidRDefault="00515C3A" w:rsidP="00515C3A">
      <w:pPr>
        <w:pStyle w:val="c5"/>
        <w:tabs>
          <w:tab w:val="left" w:pos="1479"/>
        </w:tabs>
        <w:spacing w:line="240" w:lineRule="auto"/>
        <w:jc w:val="both"/>
        <w:rPr>
          <w:rFonts w:ascii="Arial" w:eastAsia="Arial" w:hAnsi="Arial" w:cs="Arial"/>
          <w:spacing w:val="-3"/>
          <w:sz w:val="22"/>
          <w:szCs w:val="22"/>
          <w:lang w:eastAsia="es-CO" w:bidi="es-CO"/>
        </w:rPr>
      </w:pPr>
    </w:p>
    <w:p w14:paraId="31D59564" w14:textId="77777777" w:rsidR="008E4C22" w:rsidRPr="0043774E" w:rsidRDefault="008E4C22" w:rsidP="004A14E7">
      <w:pPr>
        <w:pStyle w:val="c5"/>
        <w:numPr>
          <w:ilvl w:val="0"/>
          <w:numId w:val="17"/>
        </w:numPr>
        <w:tabs>
          <w:tab w:val="left" w:pos="1479"/>
        </w:tabs>
        <w:spacing w:line="240" w:lineRule="auto"/>
        <w:ind w:left="426" w:hanging="284"/>
        <w:jc w:val="both"/>
        <w:rPr>
          <w:rFonts w:ascii="Arial" w:hAnsi="Arial" w:cs="Arial"/>
          <w:sz w:val="22"/>
          <w:szCs w:val="22"/>
          <w:lang w:eastAsia="es-CO"/>
        </w:rPr>
      </w:pPr>
      <w:r w:rsidRPr="0043774E">
        <w:rPr>
          <w:rFonts w:ascii="Arial" w:eastAsia="Arial" w:hAnsi="Arial" w:cs="Arial"/>
          <w:spacing w:val="-3"/>
          <w:sz w:val="22"/>
          <w:szCs w:val="22"/>
          <w:lang w:eastAsia="es-CO" w:bidi="es-CO"/>
        </w:rPr>
        <w:t>El plazo máximo de</w:t>
      </w:r>
      <w:r w:rsidR="00462CFA" w:rsidRPr="0043774E">
        <w:rPr>
          <w:rFonts w:ascii="Arial" w:eastAsia="Arial" w:hAnsi="Arial" w:cs="Arial"/>
          <w:spacing w:val="-3"/>
          <w:sz w:val="22"/>
          <w:szCs w:val="22"/>
          <w:lang w:eastAsia="es-CO" w:bidi="es-CO"/>
        </w:rPr>
        <w:t>l crédito y de</w:t>
      </w:r>
      <w:r w:rsidR="006E6929" w:rsidRPr="0043774E">
        <w:rPr>
          <w:rFonts w:ascii="Arial" w:eastAsia="Arial" w:hAnsi="Arial" w:cs="Arial"/>
          <w:spacing w:val="-3"/>
          <w:sz w:val="22"/>
          <w:szCs w:val="22"/>
          <w:lang w:eastAsia="es-CO" w:bidi="es-CO"/>
        </w:rPr>
        <w:t>l</w:t>
      </w:r>
      <w:r w:rsidRPr="0043774E">
        <w:rPr>
          <w:rFonts w:ascii="Arial" w:eastAsia="Arial" w:hAnsi="Arial" w:cs="Arial"/>
          <w:spacing w:val="-3"/>
          <w:sz w:val="22"/>
          <w:szCs w:val="22"/>
          <w:lang w:eastAsia="es-CO" w:bidi="es-CO"/>
        </w:rPr>
        <w:t xml:space="preserve"> otorgamiento del subsidio será hasta veinticuatro (24) </w:t>
      </w:r>
      <w:r w:rsidR="00C86D91" w:rsidRPr="0043774E">
        <w:rPr>
          <w:rFonts w:ascii="Arial" w:eastAsia="Arial" w:hAnsi="Arial" w:cs="Arial"/>
          <w:spacing w:val="-3"/>
          <w:sz w:val="22"/>
          <w:szCs w:val="22"/>
          <w:lang w:eastAsia="es-CO" w:bidi="es-CO"/>
        </w:rPr>
        <w:t>meses.</w:t>
      </w:r>
    </w:p>
    <w:p w14:paraId="69D0E735" w14:textId="77777777" w:rsidR="0071173D" w:rsidRPr="0043774E" w:rsidRDefault="0071173D" w:rsidP="0071173D">
      <w:pPr>
        <w:jc w:val="both"/>
        <w:rPr>
          <w:rFonts w:ascii="Arial" w:hAnsi="Arial" w:cs="Arial"/>
          <w:color w:val="000000" w:themeColor="text1"/>
          <w:sz w:val="22"/>
          <w:szCs w:val="22"/>
        </w:rPr>
      </w:pPr>
    </w:p>
    <w:p w14:paraId="0E42B9D8" w14:textId="05ED4758" w:rsidR="00CA0F10" w:rsidRPr="0043774E" w:rsidRDefault="0071173D" w:rsidP="00CA0F10">
      <w:pPr>
        <w:pStyle w:val="c5"/>
        <w:numPr>
          <w:ilvl w:val="0"/>
          <w:numId w:val="17"/>
        </w:numPr>
        <w:tabs>
          <w:tab w:val="left" w:pos="1479"/>
        </w:tabs>
        <w:spacing w:line="240" w:lineRule="auto"/>
        <w:ind w:left="426" w:hanging="284"/>
        <w:jc w:val="both"/>
        <w:rPr>
          <w:rFonts w:ascii="Arial" w:hAnsi="Arial" w:cs="Arial"/>
          <w:sz w:val="22"/>
          <w:szCs w:val="22"/>
          <w:lang w:eastAsia="es-CO"/>
        </w:rPr>
      </w:pPr>
      <w:r w:rsidRPr="0043774E">
        <w:rPr>
          <w:rFonts w:ascii="Arial" w:eastAsia="Arial" w:hAnsi="Arial" w:cs="Arial"/>
          <w:sz w:val="22"/>
          <w:szCs w:val="22"/>
          <w:lang w:eastAsia="es-CO" w:bidi="es-CO"/>
        </w:rPr>
        <w:t xml:space="preserve">Las condiciones de que trata el presente numeral serán aplicables a los pequeños, medianos y grandes productores </w:t>
      </w:r>
      <w:r w:rsidRPr="0043774E">
        <w:rPr>
          <w:rFonts w:ascii="Arial" w:hAnsi="Arial"/>
          <w:sz w:val="22"/>
          <w:szCs w:val="22"/>
        </w:rPr>
        <w:t xml:space="preserve">afectados </w:t>
      </w:r>
      <w:r w:rsidRPr="0043774E">
        <w:rPr>
          <w:rFonts w:ascii="Arial" w:eastAsia="Arial" w:hAnsi="Arial" w:cs="Arial"/>
          <w:spacing w:val="-3"/>
          <w:sz w:val="22"/>
          <w:szCs w:val="22"/>
          <w:lang w:eastAsia="es-CO" w:bidi="es-CO"/>
        </w:rPr>
        <w:t>el cierre de la vía al Llano</w:t>
      </w:r>
      <w:r w:rsidRPr="0043774E">
        <w:rPr>
          <w:rFonts w:ascii="Arial" w:hAnsi="Arial"/>
          <w:sz w:val="22"/>
          <w:szCs w:val="22"/>
        </w:rPr>
        <w:t xml:space="preserve"> </w:t>
      </w:r>
      <w:r w:rsidRPr="0043774E">
        <w:rPr>
          <w:rFonts w:ascii="Arial" w:eastAsia="Arial" w:hAnsi="Arial" w:cs="Arial"/>
          <w:sz w:val="22"/>
          <w:szCs w:val="22"/>
          <w:lang w:eastAsia="es-CO" w:bidi="es-CO"/>
        </w:rPr>
        <w:t xml:space="preserve">en los departamentos de </w:t>
      </w:r>
      <w:r w:rsidRPr="0043774E">
        <w:rPr>
          <w:rFonts w:ascii="Arial" w:hAnsi="Arial" w:cs="Arial"/>
          <w:sz w:val="22"/>
          <w:szCs w:val="22"/>
        </w:rPr>
        <w:t xml:space="preserve">Meta, Guaviare, </w:t>
      </w:r>
      <w:r w:rsidR="009048C8" w:rsidRPr="0043774E">
        <w:rPr>
          <w:rFonts w:ascii="Arial" w:hAnsi="Arial" w:cs="Arial"/>
          <w:sz w:val="22"/>
          <w:szCs w:val="22"/>
        </w:rPr>
        <w:t>los</w:t>
      </w:r>
      <w:r w:rsidRPr="0043774E">
        <w:rPr>
          <w:rFonts w:ascii="Arial" w:hAnsi="Arial" w:cs="Arial"/>
          <w:sz w:val="22"/>
          <w:szCs w:val="22"/>
        </w:rPr>
        <w:t xml:space="preserve"> municipios de Medina, </w:t>
      </w:r>
      <w:proofErr w:type="spellStart"/>
      <w:r w:rsidRPr="0043774E">
        <w:rPr>
          <w:rFonts w:ascii="Arial" w:hAnsi="Arial" w:cs="Arial"/>
          <w:sz w:val="22"/>
          <w:szCs w:val="22"/>
        </w:rPr>
        <w:t>Quetame</w:t>
      </w:r>
      <w:proofErr w:type="spellEnd"/>
      <w:r w:rsidRPr="0043774E">
        <w:rPr>
          <w:rFonts w:ascii="Arial" w:hAnsi="Arial" w:cs="Arial"/>
          <w:sz w:val="22"/>
          <w:szCs w:val="22"/>
        </w:rPr>
        <w:t xml:space="preserve">, </w:t>
      </w:r>
      <w:proofErr w:type="spellStart"/>
      <w:r w:rsidRPr="0043774E">
        <w:rPr>
          <w:rFonts w:ascii="Arial" w:hAnsi="Arial" w:cs="Arial"/>
          <w:sz w:val="22"/>
          <w:szCs w:val="22"/>
        </w:rPr>
        <w:t>Paratebueno</w:t>
      </w:r>
      <w:proofErr w:type="spellEnd"/>
      <w:r w:rsidRPr="0043774E">
        <w:rPr>
          <w:rFonts w:ascii="Arial" w:hAnsi="Arial" w:cs="Arial"/>
          <w:sz w:val="22"/>
          <w:szCs w:val="22"/>
        </w:rPr>
        <w:t xml:space="preserve"> y </w:t>
      </w:r>
      <w:proofErr w:type="spellStart"/>
      <w:r w:rsidRPr="0043774E">
        <w:rPr>
          <w:rFonts w:ascii="Arial" w:hAnsi="Arial" w:cs="Arial"/>
          <w:sz w:val="22"/>
          <w:szCs w:val="22"/>
        </w:rPr>
        <w:t>Guayabetal</w:t>
      </w:r>
      <w:proofErr w:type="spellEnd"/>
      <w:r w:rsidR="009048C8" w:rsidRPr="0043774E">
        <w:rPr>
          <w:rFonts w:ascii="Arial" w:hAnsi="Arial" w:cs="Arial"/>
          <w:sz w:val="22"/>
          <w:szCs w:val="22"/>
        </w:rPr>
        <w:t xml:space="preserve"> (Cundinamarca)</w:t>
      </w:r>
      <w:r w:rsidRPr="0043774E">
        <w:rPr>
          <w:rFonts w:ascii="Arial" w:hAnsi="Arial" w:cs="Arial"/>
          <w:sz w:val="22"/>
          <w:szCs w:val="22"/>
        </w:rPr>
        <w:t xml:space="preserve"> y el municipio de Villanueva </w:t>
      </w:r>
      <w:r w:rsidR="00B51C19" w:rsidRPr="0043774E">
        <w:rPr>
          <w:rFonts w:ascii="Arial" w:hAnsi="Arial" w:cs="Arial"/>
          <w:sz w:val="22"/>
          <w:szCs w:val="22"/>
        </w:rPr>
        <w:t>(</w:t>
      </w:r>
      <w:r w:rsidRPr="0043774E">
        <w:rPr>
          <w:rFonts w:ascii="Arial" w:hAnsi="Arial" w:cs="Arial"/>
          <w:sz w:val="22"/>
          <w:szCs w:val="22"/>
        </w:rPr>
        <w:t>Casanare</w:t>
      </w:r>
      <w:r w:rsidR="00B51C19" w:rsidRPr="0043774E">
        <w:rPr>
          <w:rFonts w:ascii="Arial" w:hAnsi="Arial" w:cs="Arial"/>
          <w:sz w:val="22"/>
          <w:szCs w:val="22"/>
        </w:rPr>
        <w:t>)</w:t>
      </w:r>
      <w:r w:rsidR="00B2774C" w:rsidRPr="0043774E">
        <w:rPr>
          <w:rFonts w:ascii="Arial" w:hAnsi="Arial" w:cs="Arial"/>
          <w:sz w:val="22"/>
          <w:szCs w:val="22"/>
        </w:rPr>
        <w:t xml:space="preserve">; </w:t>
      </w:r>
    </w:p>
    <w:p w14:paraId="0F213A8C" w14:textId="48F6FEC8" w:rsidR="00A808A1" w:rsidRPr="0043774E" w:rsidRDefault="00A808A1" w:rsidP="001B3BA8">
      <w:pPr>
        <w:pStyle w:val="c5"/>
        <w:tabs>
          <w:tab w:val="left" w:pos="1479"/>
        </w:tabs>
        <w:spacing w:line="240" w:lineRule="auto"/>
        <w:jc w:val="both"/>
        <w:rPr>
          <w:rFonts w:ascii="Arial" w:hAnsi="Arial"/>
          <w:sz w:val="22"/>
          <w:szCs w:val="22"/>
        </w:rPr>
      </w:pPr>
    </w:p>
    <w:p w14:paraId="08CFD851" w14:textId="6938D918" w:rsidR="00CA0F10" w:rsidRPr="0043774E" w:rsidRDefault="00CA0F10" w:rsidP="00CA0F10">
      <w:pPr>
        <w:pStyle w:val="c5"/>
        <w:tabs>
          <w:tab w:val="left" w:pos="1479"/>
        </w:tabs>
        <w:spacing w:line="240" w:lineRule="auto"/>
        <w:ind w:left="426"/>
        <w:jc w:val="both"/>
        <w:rPr>
          <w:rFonts w:ascii="Arial" w:eastAsia="Arial" w:hAnsi="Arial" w:cs="Arial"/>
          <w:spacing w:val="-3"/>
          <w:sz w:val="22"/>
          <w:szCs w:val="22"/>
          <w:lang w:eastAsia="es-CO" w:bidi="es-CO"/>
        </w:rPr>
      </w:pPr>
      <w:r w:rsidRPr="0043774E">
        <w:rPr>
          <w:rFonts w:ascii="Arial" w:hAnsi="Arial"/>
          <w:sz w:val="22"/>
          <w:szCs w:val="22"/>
        </w:rPr>
        <w:t xml:space="preserve">Las operaciones de crédito de los productores agropecuarios afectados </w:t>
      </w:r>
      <w:r w:rsidRPr="0043774E">
        <w:rPr>
          <w:rFonts w:ascii="Arial" w:eastAsia="Arial" w:hAnsi="Arial" w:cs="Arial"/>
          <w:spacing w:val="-3"/>
          <w:sz w:val="22"/>
          <w:szCs w:val="22"/>
          <w:lang w:eastAsia="es-CO" w:bidi="es-CO"/>
        </w:rPr>
        <w:t xml:space="preserve">por </w:t>
      </w:r>
      <w:r w:rsidRPr="0043774E">
        <w:rPr>
          <w:rFonts w:ascii="Arial" w:hAnsi="Arial" w:cs="Arial"/>
          <w:color w:val="000000" w:themeColor="text1"/>
          <w:sz w:val="22"/>
          <w:szCs w:val="22"/>
        </w:rPr>
        <w:t xml:space="preserve">el cierre de la Vía al Llano </w:t>
      </w:r>
      <w:r w:rsidR="00B51C19" w:rsidRPr="0043774E">
        <w:rPr>
          <w:rFonts w:ascii="Arial" w:eastAsia="Arial" w:hAnsi="Arial" w:cs="Arial"/>
          <w:sz w:val="22"/>
          <w:szCs w:val="22"/>
          <w:lang w:eastAsia="es-CO" w:bidi="es-CO"/>
        </w:rPr>
        <w:t xml:space="preserve">en los departamentos de </w:t>
      </w:r>
      <w:r w:rsidR="00B51C19" w:rsidRPr="0043774E">
        <w:rPr>
          <w:rFonts w:ascii="Arial" w:hAnsi="Arial" w:cs="Arial"/>
          <w:sz w:val="22"/>
          <w:szCs w:val="22"/>
        </w:rPr>
        <w:t xml:space="preserve">Meta, Guaviare, los municipios de Medina, </w:t>
      </w:r>
      <w:proofErr w:type="spellStart"/>
      <w:r w:rsidR="00B51C19" w:rsidRPr="0043774E">
        <w:rPr>
          <w:rFonts w:ascii="Arial" w:hAnsi="Arial" w:cs="Arial"/>
          <w:sz w:val="22"/>
          <w:szCs w:val="22"/>
        </w:rPr>
        <w:t>Quetame</w:t>
      </w:r>
      <w:proofErr w:type="spellEnd"/>
      <w:r w:rsidR="00B51C19" w:rsidRPr="0043774E">
        <w:rPr>
          <w:rFonts w:ascii="Arial" w:hAnsi="Arial" w:cs="Arial"/>
          <w:sz w:val="22"/>
          <w:szCs w:val="22"/>
        </w:rPr>
        <w:t xml:space="preserve">, </w:t>
      </w:r>
      <w:proofErr w:type="spellStart"/>
      <w:r w:rsidR="00B51C19" w:rsidRPr="0043774E">
        <w:rPr>
          <w:rFonts w:ascii="Arial" w:hAnsi="Arial" w:cs="Arial"/>
          <w:sz w:val="22"/>
          <w:szCs w:val="22"/>
        </w:rPr>
        <w:t>Paratebueno</w:t>
      </w:r>
      <w:proofErr w:type="spellEnd"/>
      <w:r w:rsidR="00B51C19" w:rsidRPr="0043774E">
        <w:rPr>
          <w:rFonts w:ascii="Arial" w:hAnsi="Arial" w:cs="Arial"/>
          <w:sz w:val="22"/>
          <w:szCs w:val="22"/>
        </w:rPr>
        <w:t xml:space="preserve"> y </w:t>
      </w:r>
      <w:proofErr w:type="spellStart"/>
      <w:r w:rsidR="00B51C19" w:rsidRPr="0043774E">
        <w:rPr>
          <w:rFonts w:ascii="Arial" w:hAnsi="Arial" w:cs="Arial"/>
          <w:sz w:val="22"/>
          <w:szCs w:val="22"/>
        </w:rPr>
        <w:t>Guayabetal</w:t>
      </w:r>
      <w:proofErr w:type="spellEnd"/>
      <w:r w:rsidR="00B51C19" w:rsidRPr="0043774E">
        <w:rPr>
          <w:rFonts w:ascii="Arial" w:hAnsi="Arial" w:cs="Arial"/>
          <w:sz w:val="22"/>
          <w:szCs w:val="22"/>
        </w:rPr>
        <w:t xml:space="preserve"> (Cundinamarca) y el municipio de Villanueva (Casanare)</w:t>
      </w:r>
      <w:r w:rsidR="0076565A" w:rsidRPr="0043774E">
        <w:rPr>
          <w:rFonts w:ascii="Arial" w:hAnsi="Arial" w:cs="Arial"/>
          <w:sz w:val="22"/>
          <w:szCs w:val="22"/>
        </w:rPr>
        <w:t xml:space="preserve">, </w:t>
      </w:r>
      <w:r w:rsidRPr="0043774E">
        <w:rPr>
          <w:rFonts w:ascii="Arial" w:eastAsia="Arial" w:hAnsi="Arial" w:cs="Arial"/>
          <w:spacing w:val="-3"/>
          <w:sz w:val="22"/>
          <w:szCs w:val="22"/>
          <w:lang w:eastAsia="es-CO" w:bidi="es-CO"/>
        </w:rPr>
        <w:t>deberán registrarse en FINAGRO hasta el treinta (31) de diciembre de dos mil diecinueve (2019).</w:t>
      </w:r>
    </w:p>
    <w:p w14:paraId="2737CEC2" w14:textId="46990E74" w:rsidR="00FA3FB0" w:rsidRPr="0043774E" w:rsidRDefault="00FA3FB0" w:rsidP="001B3BA8">
      <w:pPr>
        <w:pStyle w:val="c5"/>
        <w:tabs>
          <w:tab w:val="left" w:pos="1479"/>
        </w:tabs>
        <w:spacing w:line="240" w:lineRule="auto"/>
        <w:jc w:val="both"/>
        <w:rPr>
          <w:rFonts w:ascii="Arial" w:eastAsia="Arial" w:hAnsi="Arial" w:cs="Arial"/>
          <w:sz w:val="22"/>
          <w:szCs w:val="22"/>
          <w:lang w:eastAsia="es-CO" w:bidi="es-CO"/>
        </w:rPr>
      </w:pPr>
    </w:p>
    <w:p w14:paraId="2303C205" w14:textId="77777777" w:rsidR="00FA3FB0" w:rsidRPr="0043774E" w:rsidRDefault="00FA3FB0" w:rsidP="00FA3FB0">
      <w:pPr>
        <w:pStyle w:val="c5"/>
        <w:numPr>
          <w:ilvl w:val="0"/>
          <w:numId w:val="17"/>
        </w:numPr>
        <w:tabs>
          <w:tab w:val="left" w:pos="1479"/>
        </w:tabs>
        <w:spacing w:line="240" w:lineRule="auto"/>
        <w:ind w:left="426"/>
        <w:jc w:val="both"/>
        <w:rPr>
          <w:rFonts w:ascii="Arial" w:eastAsia="Arial" w:hAnsi="Arial" w:cs="Arial"/>
          <w:spacing w:val="-3"/>
          <w:sz w:val="22"/>
          <w:szCs w:val="22"/>
          <w:lang w:eastAsia="es-CO" w:bidi="es-CO"/>
        </w:rPr>
      </w:pPr>
      <w:r w:rsidRPr="0043774E">
        <w:rPr>
          <w:rFonts w:ascii="Arial" w:eastAsia="Arial" w:hAnsi="Arial" w:cs="Arial"/>
          <w:spacing w:val="-3"/>
          <w:sz w:val="22"/>
          <w:szCs w:val="22"/>
          <w:lang w:eastAsia="es-CO" w:bidi="es-CO"/>
        </w:rPr>
        <w:t>El monto máximo de subsidio establecido en el literal f</w:t>
      </w:r>
      <w:r w:rsidR="00F07018" w:rsidRPr="0043774E">
        <w:rPr>
          <w:rFonts w:ascii="Arial" w:eastAsia="Arial" w:hAnsi="Arial" w:cs="Arial"/>
          <w:spacing w:val="-3"/>
          <w:sz w:val="22"/>
          <w:szCs w:val="22"/>
          <w:lang w:eastAsia="es-CO" w:bidi="es-CO"/>
        </w:rPr>
        <w:t>.</w:t>
      </w:r>
      <w:r w:rsidRPr="0043774E">
        <w:rPr>
          <w:rFonts w:ascii="Arial" w:eastAsia="Arial" w:hAnsi="Arial" w:cs="Arial"/>
          <w:spacing w:val="-3"/>
          <w:sz w:val="22"/>
          <w:szCs w:val="22"/>
          <w:lang w:eastAsia="es-CO" w:bidi="es-CO"/>
        </w:rPr>
        <w:t xml:space="preserve"> del artículo 5o.</w:t>
      </w:r>
      <w:r w:rsidR="004A14E7" w:rsidRPr="0043774E">
        <w:rPr>
          <w:rFonts w:ascii="Arial" w:eastAsia="Arial" w:hAnsi="Arial" w:cs="Arial"/>
          <w:spacing w:val="-3"/>
          <w:sz w:val="22"/>
          <w:szCs w:val="22"/>
          <w:lang w:eastAsia="es-CO" w:bidi="es-CO"/>
        </w:rPr>
        <w:t xml:space="preserve"> de esta resolución</w:t>
      </w:r>
      <w:r w:rsidRPr="0043774E">
        <w:rPr>
          <w:rFonts w:ascii="Arial" w:eastAsia="Arial" w:hAnsi="Arial" w:cs="Arial"/>
          <w:spacing w:val="-3"/>
          <w:sz w:val="22"/>
          <w:szCs w:val="22"/>
          <w:lang w:eastAsia="es-CO" w:bidi="es-CO"/>
        </w:rPr>
        <w:t xml:space="preserve"> será aplicable </w:t>
      </w:r>
      <w:r w:rsidR="004924D6" w:rsidRPr="0043774E">
        <w:rPr>
          <w:rFonts w:ascii="Arial" w:eastAsia="Arial" w:hAnsi="Arial" w:cs="Arial"/>
          <w:spacing w:val="-3"/>
          <w:sz w:val="22"/>
          <w:szCs w:val="22"/>
          <w:lang w:eastAsia="es-CO" w:bidi="es-CO"/>
        </w:rPr>
        <w:t>a los pequeños, medianos y grandes productores</w:t>
      </w:r>
      <w:r w:rsidRPr="0043774E">
        <w:rPr>
          <w:rFonts w:ascii="Arial" w:eastAsia="Arial" w:hAnsi="Arial" w:cs="Arial"/>
          <w:spacing w:val="-3"/>
          <w:sz w:val="22"/>
          <w:szCs w:val="22"/>
          <w:lang w:eastAsia="es-CO" w:bidi="es-CO"/>
        </w:rPr>
        <w:t>.</w:t>
      </w:r>
    </w:p>
    <w:p w14:paraId="6236EF9D" w14:textId="77777777" w:rsidR="00F876B2" w:rsidRPr="0043774E" w:rsidRDefault="00F876B2" w:rsidP="00F876B2">
      <w:pPr>
        <w:pStyle w:val="Prrafodelista"/>
        <w:rPr>
          <w:rFonts w:ascii="Arial" w:eastAsia="Arial" w:hAnsi="Arial" w:cs="Arial"/>
          <w:spacing w:val="-3"/>
          <w:sz w:val="22"/>
          <w:szCs w:val="22"/>
          <w:lang w:eastAsia="es-CO" w:bidi="es-CO"/>
        </w:rPr>
      </w:pPr>
    </w:p>
    <w:p w14:paraId="709343E8" w14:textId="77777777" w:rsidR="00F876B2" w:rsidRPr="0043774E" w:rsidRDefault="00F876B2" w:rsidP="00FA3FB0">
      <w:pPr>
        <w:pStyle w:val="c5"/>
        <w:numPr>
          <w:ilvl w:val="0"/>
          <w:numId w:val="17"/>
        </w:numPr>
        <w:tabs>
          <w:tab w:val="left" w:pos="1479"/>
        </w:tabs>
        <w:spacing w:line="240" w:lineRule="auto"/>
        <w:ind w:left="426"/>
        <w:jc w:val="both"/>
        <w:rPr>
          <w:rFonts w:ascii="Arial" w:eastAsia="Arial" w:hAnsi="Arial" w:cs="Arial"/>
          <w:spacing w:val="-3"/>
          <w:sz w:val="22"/>
          <w:szCs w:val="22"/>
          <w:lang w:eastAsia="es-CO" w:bidi="es-CO"/>
        </w:rPr>
      </w:pPr>
      <w:r w:rsidRPr="0043774E">
        <w:rPr>
          <w:rFonts w:ascii="Arial" w:eastAsia="Arial" w:hAnsi="Arial" w:cs="Arial"/>
          <w:spacing w:val="-3"/>
          <w:sz w:val="22"/>
          <w:szCs w:val="22"/>
          <w:lang w:eastAsia="es-CO" w:bidi="es-CO"/>
        </w:rPr>
        <w:lastRenderedPageBreak/>
        <w:t>El literal d. del artículo 5</w:t>
      </w:r>
      <w:r w:rsidR="00E51E67" w:rsidRPr="0043774E">
        <w:rPr>
          <w:rFonts w:ascii="Arial" w:eastAsia="Arial" w:hAnsi="Arial" w:cs="Arial"/>
          <w:spacing w:val="-3"/>
          <w:sz w:val="22"/>
          <w:szCs w:val="22"/>
          <w:lang w:eastAsia="es-CO" w:bidi="es-CO"/>
        </w:rPr>
        <w:t>o.</w:t>
      </w:r>
      <w:r w:rsidRPr="0043774E">
        <w:rPr>
          <w:rFonts w:ascii="Arial" w:eastAsia="Arial" w:hAnsi="Arial" w:cs="Arial"/>
          <w:spacing w:val="-3"/>
          <w:sz w:val="22"/>
          <w:szCs w:val="22"/>
          <w:lang w:eastAsia="es-CO" w:bidi="es-CO"/>
        </w:rPr>
        <w:t xml:space="preserve"> de </w:t>
      </w:r>
      <w:r w:rsidR="008457F9" w:rsidRPr="0043774E">
        <w:rPr>
          <w:rFonts w:ascii="Arial" w:eastAsia="Arial" w:hAnsi="Arial" w:cs="Arial"/>
          <w:spacing w:val="-3"/>
          <w:sz w:val="22"/>
          <w:szCs w:val="22"/>
          <w:lang w:eastAsia="es-CO" w:bidi="es-CO"/>
        </w:rPr>
        <w:t>esta r</w:t>
      </w:r>
      <w:r w:rsidRPr="0043774E">
        <w:rPr>
          <w:rFonts w:ascii="Arial" w:eastAsia="Arial" w:hAnsi="Arial" w:cs="Arial"/>
          <w:spacing w:val="-3"/>
          <w:sz w:val="22"/>
          <w:szCs w:val="22"/>
          <w:lang w:eastAsia="es-CO" w:bidi="es-CO"/>
        </w:rPr>
        <w:t>esolución no será aplicable a</w:t>
      </w:r>
      <w:r w:rsidRPr="0043774E">
        <w:rPr>
          <w:rFonts w:ascii="Arial" w:eastAsia="Arial" w:hAnsi="Arial" w:cs="Arial"/>
          <w:sz w:val="22"/>
          <w:szCs w:val="22"/>
          <w:lang w:val="es-CO" w:eastAsia="es-CO" w:bidi="es-CO"/>
        </w:rPr>
        <w:t xml:space="preserve"> los </w:t>
      </w:r>
      <w:r w:rsidR="00FC4E61" w:rsidRPr="0043774E">
        <w:rPr>
          <w:rFonts w:ascii="Arial" w:eastAsia="Arial" w:hAnsi="Arial" w:cs="Arial"/>
          <w:sz w:val="22"/>
          <w:szCs w:val="22"/>
          <w:lang w:val="es-CO" w:eastAsia="es-CO" w:bidi="es-CO"/>
        </w:rPr>
        <w:t>p</w:t>
      </w:r>
      <w:r w:rsidRPr="0043774E">
        <w:rPr>
          <w:rFonts w:ascii="Arial" w:eastAsia="Arial" w:hAnsi="Arial" w:cs="Arial"/>
          <w:sz w:val="22"/>
          <w:szCs w:val="22"/>
          <w:lang w:val="es-CO" w:eastAsia="es-CO" w:bidi="es-CO"/>
        </w:rPr>
        <w:t xml:space="preserve">roductores </w:t>
      </w:r>
      <w:r w:rsidR="004924D6" w:rsidRPr="0043774E">
        <w:rPr>
          <w:rFonts w:ascii="Arial" w:eastAsia="Arial" w:hAnsi="Arial" w:cs="Arial"/>
          <w:sz w:val="22"/>
          <w:szCs w:val="22"/>
          <w:lang w:val="es-CO" w:eastAsia="es-CO" w:bidi="es-CO"/>
        </w:rPr>
        <w:t>de que trata este numeral</w:t>
      </w:r>
      <w:r w:rsidRPr="0043774E">
        <w:rPr>
          <w:rFonts w:ascii="Arial" w:eastAsia="Arial" w:hAnsi="Arial" w:cs="Arial"/>
          <w:sz w:val="22"/>
          <w:szCs w:val="22"/>
          <w:lang w:eastAsia="es-CO" w:bidi="es-CO"/>
        </w:rPr>
        <w:t>.</w:t>
      </w:r>
    </w:p>
    <w:p w14:paraId="5CA10E5F" w14:textId="77777777" w:rsidR="003D017E" w:rsidRPr="0043774E" w:rsidRDefault="003D017E" w:rsidP="00C86D91">
      <w:pPr>
        <w:pStyle w:val="c5"/>
        <w:tabs>
          <w:tab w:val="left" w:pos="1479"/>
        </w:tabs>
        <w:spacing w:line="240" w:lineRule="auto"/>
        <w:ind w:left="426"/>
        <w:jc w:val="both"/>
        <w:rPr>
          <w:rFonts w:ascii="Arial" w:eastAsia="Arial" w:hAnsi="Arial" w:cs="Arial"/>
          <w:spacing w:val="-3"/>
          <w:sz w:val="22"/>
          <w:szCs w:val="22"/>
          <w:lang w:eastAsia="es-CO" w:bidi="es-CO"/>
        </w:rPr>
      </w:pPr>
    </w:p>
    <w:p w14:paraId="29B12C5A" w14:textId="77777777" w:rsidR="000B69DE" w:rsidRPr="0043774E" w:rsidRDefault="00C220EC" w:rsidP="00EA5A2F">
      <w:pPr>
        <w:pStyle w:val="c5"/>
        <w:tabs>
          <w:tab w:val="left" w:pos="1479"/>
        </w:tabs>
        <w:spacing w:line="240" w:lineRule="auto"/>
        <w:jc w:val="both"/>
        <w:rPr>
          <w:rFonts w:ascii="Arial" w:eastAsia="Arial" w:hAnsi="Arial" w:cs="Arial"/>
          <w:sz w:val="22"/>
          <w:szCs w:val="22"/>
          <w:lang w:eastAsia="es-CO" w:bidi="es-CO"/>
        </w:rPr>
      </w:pPr>
      <w:r w:rsidRPr="0043774E">
        <w:rPr>
          <w:rFonts w:ascii="Arial" w:eastAsia="Arial" w:hAnsi="Arial" w:cs="Arial"/>
          <w:b/>
          <w:sz w:val="22"/>
          <w:szCs w:val="22"/>
          <w:lang w:eastAsia="es-CO" w:bidi="es-CO"/>
        </w:rPr>
        <w:t xml:space="preserve">Artículo </w:t>
      </w:r>
      <w:r w:rsidR="001A57AB" w:rsidRPr="0043774E">
        <w:rPr>
          <w:rFonts w:ascii="Arial" w:eastAsia="Arial" w:hAnsi="Arial" w:cs="Arial"/>
          <w:b/>
          <w:sz w:val="22"/>
          <w:szCs w:val="22"/>
          <w:lang w:eastAsia="es-CO" w:bidi="es-CO"/>
        </w:rPr>
        <w:t>4</w:t>
      </w:r>
      <w:r w:rsidRPr="0043774E">
        <w:rPr>
          <w:rFonts w:ascii="Arial" w:eastAsia="Arial" w:hAnsi="Arial" w:cs="Arial"/>
          <w:b/>
          <w:sz w:val="22"/>
          <w:szCs w:val="22"/>
          <w:lang w:eastAsia="es-CO" w:bidi="es-CO"/>
        </w:rPr>
        <w:t xml:space="preserve">o. </w:t>
      </w:r>
      <w:r w:rsidR="000B69DE" w:rsidRPr="0043774E">
        <w:rPr>
          <w:rFonts w:ascii="Arial" w:eastAsia="Arial" w:hAnsi="Arial" w:cs="Arial"/>
          <w:sz w:val="22"/>
          <w:szCs w:val="22"/>
          <w:lang w:eastAsia="es-CO" w:bidi="es-CO"/>
        </w:rPr>
        <w:t xml:space="preserve">Modificar el parágrafo del </w:t>
      </w:r>
      <w:r w:rsidR="00F07018" w:rsidRPr="0043774E">
        <w:rPr>
          <w:rFonts w:ascii="Arial" w:eastAsia="Arial" w:hAnsi="Arial" w:cs="Arial"/>
          <w:sz w:val="22"/>
          <w:szCs w:val="22"/>
          <w:lang w:eastAsia="es-CO" w:bidi="es-CO"/>
        </w:rPr>
        <w:t>a</w:t>
      </w:r>
      <w:r w:rsidR="000B69DE" w:rsidRPr="0043774E">
        <w:rPr>
          <w:rFonts w:ascii="Arial" w:eastAsia="Arial" w:hAnsi="Arial" w:cs="Arial"/>
          <w:sz w:val="22"/>
          <w:szCs w:val="22"/>
          <w:lang w:eastAsia="es-CO" w:bidi="es-CO"/>
        </w:rPr>
        <w:t xml:space="preserve">rtículo 6o. de la </w:t>
      </w:r>
      <w:r w:rsidR="002341D3" w:rsidRPr="0043774E">
        <w:rPr>
          <w:rFonts w:ascii="Arial" w:eastAsia="Arial" w:hAnsi="Arial" w:cs="Arial"/>
          <w:sz w:val="22"/>
          <w:szCs w:val="22"/>
          <w:lang w:eastAsia="es-CO" w:bidi="es-CO"/>
        </w:rPr>
        <w:t>R</w:t>
      </w:r>
      <w:r w:rsidR="000B69DE" w:rsidRPr="0043774E">
        <w:rPr>
          <w:rFonts w:ascii="Arial" w:eastAsia="Arial" w:hAnsi="Arial" w:cs="Arial"/>
          <w:sz w:val="22"/>
          <w:szCs w:val="22"/>
          <w:lang w:eastAsia="es-CO" w:bidi="es-CO"/>
        </w:rPr>
        <w:t xml:space="preserve">esolución </w:t>
      </w:r>
      <w:r w:rsidR="0000240E" w:rsidRPr="0043774E">
        <w:rPr>
          <w:rFonts w:ascii="Arial" w:eastAsia="Arial" w:hAnsi="Arial" w:cs="Arial"/>
          <w:sz w:val="22"/>
          <w:szCs w:val="22"/>
          <w:lang w:eastAsia="es-CO" w:bidi="es-CO"/>
        </w:rPr>
        <w:t>No.</w:t>
      </w:r>
      <w:r w:rsidR="000B69DE" w:rsidRPr="0043774E">
        <w:rPr>
          <w:rFonts w:ascii="Arial" w:eastAsia="Arial" w:hAnsi="Arial" w:cs="Arial"/>
          <w:sz w:val="22"/>
          <w:szCs w:val="22"/>
          <w:lang w:eastAsia="es-CO" w:bidi="es-CO"/>
        </w:rPr>
        <w:t>12 de 2018 de la Comisión Nacional de Crédito Agropecuario, de la siguiente manera:</w:t>
      </w:r>
    </w:p>
    <w:p w14:paraId="0CFF4A5F" w14:textId="77777777" w:rsidR="000B69DE" w:rsidRPr="0043774E" w:rsidRDefault="000B69DE" w:rsidP="00EA5A2F">
      <w:pPr>
        <w:pStyle w:val="c5"/>
        <w:tabs>
          <w:tab w:val="left" w:pos="1479"/>
        </w:tabs>
        <w:spacing w:line="240" w:lineRule="auto"/>
        <w:jc w:val="both"/>
        <w:rPr>
          <w:rFonts w:ascii="Arial" w:eastAsia="Arial" w:hAnsi="Arial" w:cs="Arial"/>
          <w:sz w:val="22"/>
          <w:szCs w:val="22"/>
          <w:lang w:eastAsia="es-CO" w:bidi="es-CO"/>
        </w:rPr>
      </w:pPr>
    </w:p>
    <w:p w14:paraId="38D4D18A" w14:textId="77777777" w:rsidR="000B69DE" w:rsidRPr="0043774E" w:rsidRDefault="00DC39D0" w:rsidP="00EA5A2F">
      <w:pPr>
        <w:pStyle w:val="c5"/>
        <w:tabs>
          <w:tab w:val="left" w:pos="1479"/>
        </w:tabs>
        <w:spacing w:line="240" w:lineRule="auto"/>
        <w:jc w:val="both"/>
        <w:rPr>
          <w:rFonts w:ascii="Arial" w:eastAsia="Arial" w:hAnsi="Arial" w:cs="Arial"/>
          <w:sz w:val="22"/>
          <w:szCs w:val="22"/>
          <w:lang w:eastAsia="es-CO" w:bidi="es-CO"/>
        </w:rPr>
      </w:pPr>
      <w:r w:rsidRPr="0043774E">
        <w:rPr>
          <w:rFonts w:ascii="Arial" w:eastAsia="Arial" w:hAnsi="Arial" w:cs="Arial"/>
          <w:b/>
          <w:sz w:val="22"/>
          <w:szCs w:val="22"/>
          <w:lang w:eastAsia="es-CO" w:bidi="es-CO"/>
        </w:rPr>
        <w:t>“</w:t>
      </w:r>
      <w:r w:rsidR="000B69DE" w:rsidRPr="0043774E">
        <w:rPr>
          <w:rFonts w:ascii="Arial" w:eastAsia="Arial" w:hAnsi="Arial" w:cs="Arial"/>
          <w:b/>
          <w:sz w:val="22"/>
          <w:szCs w:val="22"/>
          <w:lang w:eastAsia="es-CO" w:bidi="es-CO"/>
        </w:rPr>
        <w:t xml:space="preserve">Parágrafo. </w:t>
      </w:r>
      <w:r w:rsidR="000B69DE" w:rsidRPr="0043774E">
        <w:rPr>
          <w:rFonts w:ascii="Arial" w:eastAsia="Arial" w:hAnsi="Arial" w:cs="Arial"/>
          <w:sz w:val="22"/>
          <w:szCs w:val="22"/>
          <w:lang w:eastAsia="es-CO" w:bidi="es-CO"/>
        </w:rPr>
        <w:t>El control de inversión para las condiciones especiales señaladas en el presente artículo será obligatorio para los intermediarios financieros, quienes deberán identificar entre otros, la existencia de los vientres retenidos y el sistema de identificación del ganado bovino y/o bufalino.</w:t>
      </w:r>
    </w:p>
    <w:p w14:paraId="5777695B" w14:textId="77777777" w:rsidR="000B69DE" w:rsidRPr="0043774E" w:rsidRDefault="000B69DE" w:rsidP="00EA5A2F">
      <w:pPr>
        <w:pStyle w:val="c5"/>
        <w:tabs>
          <w:tab w:val="left" w:pos="1479"/>
        </w:tabs>
        <w:spacing w:line="240" w:lineRule="auto"/>
        <w:jc w:val="both"/>
        <w:rPr>
          <w:rFonts w:ascii="Arial" w:eastAsia="Arial" w:hAnsi="Arial" w:cs="Arial"/>
          <w:sz w:val="22"/>
          <w:szCs w:val="22"/>
          <w:lang w:eastAsia="es-CO" w:bidi="es-CO"/>
        </w:rPr>
      </w:pPr>
    </w:p>
    <w:p w14:paraId="76770622" w14:textId="77777777" w:rsidR="00D1419B" w:rsidRPr="0043774E" w:rsidRDefault="00D1419B" w:rsidP="00D1419B">
      <w:pPr>
        <w:pStyle w:val="c5"/>
        <w:tabs>
          <w:tab w:val="left" w:pos="1479"/>
        </w:tabs>
        <w:spacing w:line="240" w:lineRule="auto"/>
        <w:jc w:val="both"/>
        <w:rPr>
          <w:rFonts w:ascii="Arial" w:eastAsia="Arial" w:hAnsi="Arial" w:cs="Arial"/>
          <w:sz w:val="22"/>
          <w:szCs w:val="22"/>
          <w:lang w:eastAsia="es-CO" w:bidi="es-CO"/>
        </w:rPr>
      </w:pPr>
      <w:r w:rsidRPr="0043774E">
        <w:rPr>
          <w:rFonts w:ascii="Arial" w:eastAsia="Arial" w:hAnsi="Arial" w:cs="Arial"/>
          <w:sz w:val="22"/>
          <w:szCs w:val="22"/>
          <w:lang w:eastAsia="es-CO" w:bidi="es-CO"/>
        </w:rPr>
        <w:t xml:space="preserve">Para efectos de lo dispuesto en el numeral III y IV del presente artículo, el intermediario financiero deberá verificar que la actividad productiva se encuentra ubicada en los Departamentos de </w:t>
      </w:r>
      <w:r w:rsidRPr="0043774E">
        <w:rPr>
          <w:rFonts w:ascii="Arial" w:hAnsi="Arial" w:cs="Arial"/>
          <w:sz w:val="22"/>
          <w:szCs w:val="22"/>
        </w:rPr>
        <w:t xml:space="preserve">Cauca, Nariño, Putumayo, </w:t>
      </w:r>
      <w:r w:rsidRPr="0043774E">
        <w:rPr>
          <w:rFonts w:ascii="Arial" w:hAnsi="Arial"/>
          <w:sz w:val="22"/>
          <w:szCs w:val="22"/>
        </w:rPr>
        <w:t xml:space="preserve">Guajira, César, Norte de Santander, Arauca, Vichada, Guainía, Meta, Guaviare o en los municipios de Cubará (Boyacá), </w:t>
      </w:r>
      <w:r w:rsidRPr="0043774E">
        <w:rPr>
          <w:rFonts w:ascii="Arial" w:hAnsi="Arial" w:cs="Arial"/>
          <w:sz w:val="22"/>
          <w:szCs w:val="22"/>
        </w:rPr>
        <w:t xml:space="preserve">Medina, </w:t>
      </w:r>
      <w:proofErr w:type="spellStart"/>
      <w:r w:rsidRPr="0043774E">
        <w:rPr>
          <w:rFonts w:ascii="Arial" w:hAnsi="Arial" w:cs="Arial"/>
          <w:sz w:val="22"/>
          <w:szCs w:val="22"/>
        </w:rPr>
        <w:t>Quetame</w:t>
      </w:r>
      <w:proofErr w:type="spellEnd"/>
      <w:r w:rsidRPr="0043774E">
        <w:rPr>
          <w:rFonts w:ascii="Arial" w:hAnsi="Arial" w:cs="Arial"/>
          <w:sz w:val="22"/>
          <w:szCs w:val="22"/>
        </w:rPr>
        <w:t xml:space="preserve">, </w:t>
      </w:r>
      <w:proofErr w:type="spellStart"/>
      <w:r w:rsidRPr="0043774E">
        <w:rPr>
          <w:rFonts w:ascii="Arial" w:hAnsi="Arial" w:cs="Arial"/>
          <w:sz w:val="22"/>
          <w:szCs w:val="22"/>
        </w:rPr>
        <w:t>Paratebueno</w:t>
      </w:r>
      <w:proofErr w:type="spellEnd"/>
      <w:r w:rsidRPr="0043774E">
        <w:rPr>
          <w:rFonts w:ascii="Arial" w:hAnsi="Arial" w:cs="Arial"/>
          <w:sz w:val="22"/>
          <w:szCs w:val="22"/>
        </w:rPr>
        <w:t xml:space="preserve">, </w:t>
      </w:r>
      <w:proofErr w:type="spellStart"/>
      <w:r w:rsidRPr="0043774E">
        <w:rPr>
          <w:rFonts w:ascii="Arial" w:hAnsi="Arial" w:cs="Arial"/>
          <w:sz w:val="22"/>
          <w:szCs w:val="22"/>
        </w:rPr>
        <w:t>Guayabetal</w:t>
      </w:r>
      <w:proofErr w:type="spellEnd"/>
      <w:r w:rsidRPr="0043774E">
        <w:rPr>
          <w:rFonts w:ascii="Arial" w:hAnsi="Arial" w:cs="Arial"/>
          <w:sz w:val="22"/>
          <w:szCs w:val="22"/>
        </w:rPr>
        <w:t xml:space="preserve"> (Cundinamarca) y Villanueva (Casanare)</w:t>
      </w:r>
      <w:r w:rsidRPr="0043774E">
        <w:rPr>
          <w:rFonts w:ascii="Arial" w:hAnsi="Arial"/>
          <w:sz w:val="22"/>
          <w:szCs w:val="22"/>
        </w:rPr>
        <w:t>”</w:t>
      </w:r>
      <w:r w:rsidRPr="0043774E">
        <w:rPr>
          <w:rFonts w:ascii="Arial" w:eastAsia="Arial" w:hAnsi="Arial" w:cs="Arial"/>
          <w:sz w:val="22"/>
          <w:szCs w:val="22"/>
          <w:lang w:eastAsia="es-CO" w:bidi="es-CO"/>
        </w:rPr>
        <w:t>.</w:t>
      </w:r>
    </w:p>
    <w:p w14:paraId="576A44C1" w14:textId="77777777" w:rsidR="0081545F" w:rsidRPr="0043774E" w:rsidRDefault="0081545F" w:rsidP="00EA5A2F">
      <w:pPr>
        <w:pStyle w:val="c5"/>
        <w:tabs>
          <w:tab w:val="left" w:pos="1479"/>
        </w:tabs>
        <w:spacing w:line="240" w:lineRule="auto"/>
        <w:jc w:val="both"/>
        <w:rPr>
          <w:rFonts w:ascii="Arial" w:eastAsia="Arial" w:hAnsi="Arial" w:cs="Arial"/>
          <w:sz w:val="22"/>
          <w:szCs w:val="22"/>
          <w:lang w:eastAsia="es-CO" w:bidi="es-CO"/>
        </w:rPr>
      </w:pPr>
    </w:p>
    <w:p w14:paraId="092896CB" w14:textId="77777777" w:rsidR="000B69DE" w:rsidRPr="0043774E" w:rsidRDefault="000B69DE" w:rsidP="00EA5A2F">
      <w:pPr>
        <w:pStyle w:val="c5"/>
        <w:tabs>
          <w:tab w:val="left" w:pos="1479"/>
        </w:tabs>
        <w:spacing w:line="240" w:lineRule="auto"/>
        <w:jc w:val="both"/>
        <w:rPr>
          <w:rFonts w:ascii="Arial" w:eastAsia="Arial" w:hAnsi="Arial" w:cs="Arial"/>
          <w:sz w:val="22"/>
          <w:szCs w:val="22"/>
          <w:lang w:eastAsia="es-CO" w:bidi="es-CO"/>
        </w:rPr>
      </w:pPr>
    </w:p>
    <w:p w14:paraId="752D9906" w14:textId="77777777" w:rsidR="00A72B11" w:rsidRPr="0043774E" w:rsidRDefault="009D452B" w:rsidP="00A72B11">
      <w:pPr>
        <w:widowControl w:val="0"/>
        <w:autoSpaceDE w:val="0"/>
        <w:autoSpaceDN w:val="0"/>
        <w:jc w:val="both"/>
        <w:rPr>
          <w:rFonts w:ascii="Arial" w:eastAsia="Arial" w:hAnsi="Arial" w:cs="Arial"/>
          <w:sz w:val="22"/>
          <w:szCs w:val="22"/>
          <w:lang w:eastAsia="es-CO" w:bidi="es-CO"/>
        </w:rPr>
      </w:pPr>
      <w:r w:rsidRPr="0043774E">
        <w:rPr>
          <w:rFonts w:ascii="Arial" w:eastAsia="Arial" w:hAnsi="Arial" w:cs="Arial"/>
          <w:b/>
          <w:sz w:val="22"/>
          <w:szCs w:val="22"/>
          <w:lang w:eastAsia="es-CO" w:bidi="es-CO"/>
        </w:rPr>
        <w:t xml:space="preserve">Artículo </w:t>
      </w:r>
      <w:r w:rsidR="001A57AB" w:rsidRPr="0043774E">
        <w:rPr>
          <w:rFonts w:ascii="Arial" w:eastAsia="Arial" w:hAnsi="Arial" w:cs="Arial"/>
          <w:b/>
          <w:sz w:val="22"/>
          <w:szCs w:val="22"/>
          <w:lang w:eastAsia="es-CO" w:bidi="es-CO"/>
        </w:rPr>
        <w:t>5</w:t>
      </w:r>
      <w:r w:rsidRPr="0043774E">
        <w:rPr>
          <w:rFonts w:ascii="Arial" w:eastAsia="Arial" w:hAnsi="Arial" w:cs="Arial"/>
          <w:b/>
          <w:sz w:val="22"/>
          <w:szCs w:val="22"/>
          <w:lang w:eastAsia="es-CO" w:bidi="es-CO"/>
        </w:rPr>
        <w:t xml:space="preserve">o. </w:t>
      </w:r>
      <w:r w:rsidR="002A5F3D" w:rsidRPr="0043774E">
        <w:rPr>
          <w:rFonts w:ascii="Arial" w:eastAsia="Arial" w:hAnsi="Arial" w:cs="Arial"/>
          <w:sz w:val="22"/>
          <w:szCs w:val="22"/>
          <w:lang w:eastAsia="es-CO" w:bidi="es-CO"/>
        </w:rPr>
        <w:t>La presente resolución rige a partir de la fecha de su publicación en el Diario Oficial, y sus efectos aplicarán a partir de la fecha en que FINAGRO disponga de los recursos presupuestales</w:t>
      </w:r>
      <w:r w:rsidR="00B27618" w:rsidRPr="0043774E">
        <w:rPr>
          <w:rFonts w:ascii="Arial" w:eastAsia="Arial" w:hAnsi="Arial" w:cs="Arial"/>
          <w:sz w:val="22"/>
          <w:szCs w:val="22"/>
          <w:lang w:eastAsia="es-CO" w:bidi="es-CO"/>
        </w:rPr>
        <w:t xml:space="preserve"> que se destinen para el desarrollo de esta línea</w:t>
      </w:r>
      <w:r w:rsidR="00ED7FC9" w:rsidRPr="0043774E">
        <w:rPr>
          <w:rFonts w:ascii="Arial" w:eastAsia="Arial" w:hAnsi="Arial" w:cs="Arial"/>
          <w:sz w:val="22"/>
          <w:szCs w:val="22"/>
          <w:lang w:eastAsia="es-CO" w:bidi="es-CO"/>
        </w:rPr>
        <w:t>.</w:t>
      </w:r>
      <w:r w:rsidR="00A72B11" w:rsidRPr="0043774E">
        <w:rPr>
          <w:rFonts w:ascii="Arial" w:eastAsia="Arial" w:hAnsi="Arial" w:cs="Arial"/>
          <w:sz w:val="22"/>
          <w:szCs w:val="22"/>
          <w:lang w:eastAsia="es-CO" w:bidi="es-CO"/>
        </w:rPr>
        <w:t xml:space="preserve"> </w:t>
      </w:r>
    </w:p>
    <w:p w14:paraId="71546C9E" w14:textId="77777777" w:rsidR="00A72B11" w:rsidRPr="0043774E" w:rsidRDefault="00A72B11" w:rsidP="00A72B11">
      <w:pPr>
        <w:widowControl w:val="0"/>
        <w:autoSpaceDE w:val="0"/>
        <w:autoSpaceDN w:val="0"/>
        <w:jc w:val="both"/>
        <w:rPr>
          <w:rFonts w:ascii="Arial" w:eastAsia="Arial" w:hAnsi="Arial" w:cs="Arial"/>
          <w:sz w:val="22"/>
          <w:szCs w:val="22"/>
          <w:lang w:eastAsia="es-CO" w:bidi="es-CO"/>
        </w:rPr>
      </w:pPr>
    </w:p>
    <w:p w14:paraId="4ED7E9E6" w14:textId="77777777" w:rsidR="00A72B11" w:rsidRPr="0043774E" w:rsidRDefault="00A72B11" w:rsidP="00A72B11">
      <w:pPr>
        <w:widowControl w:val="0"/>
        <w:autoSpaceDE w:val="0"/>
        <w:autoSpaceDN w:val="0"/>
        <w:jc w:val="both"/>
        <w:rPr>
          <w:rFonts w:ascii="Arial" w:eastAsia="Arial" w:hAnsi="Arial" w:cs="Arial"/>
          <w:sz w:val="22"/>
          <w:szCs w:val="22"/>
          <w:lang w:eastAsia="es-CO" w:bidi="es-CO"/>
        </w:rPr>
      </w:pPr>
      <w:r w:rsidRPr="0043774E">
        <w:rPr>
          <w:rFonts w:ascii="Arial" w:eastAsia="Arial" w:hAnsi="Arial" w:cs="Arial"/>
          <w:sz w:val="22"/>
          <w:szCs w:val="22"/>
          <w:lang w:eastAsia="es-CO" w:bidi="es-CO"/>
        </w:rPr>
        <w:t>FINAGRO adoptará los procedimientos y medidas necesarias para el desarrollo de la presente resolución para lo cual expedirá la circular reglamentaria</w:t>
      </w:r>
      <w:r w:rsidRPr="0043774E">
        <w:rPr>
          <w:rFonts w:ascii="Arial" w:eastAsia="Arial" w:hAnsi="Arial" w:cs="Arial"/>
          <w:spacing w:val="-5"/>
          <w:sz w:val="22"/>
          <w:szCs w:val="22"/>
          <w:lang w:eastAsia="es-CO" w:bidi="es-CO"/>
        </w:rPr>
        <w:t xml:space="preserve"> </w:t>
      </w:r>
      <w:r w:rsidRPr="0043774E">
        <w:rPr>
          <w:rFonts w:ascii="Arial" w:eastAsia="Arial" w:hAnsi="Arial" w:cs="Arial"/>
          <w:sz w:val="22"/>
          <w:szCs w:val="22"/>
          <w:lang w:eastAsia="es-CO" w:bidi="es-CO"/>
        </w:rPr>
        <w:t>correspondiente.</w:t>
      </w:r>
    </w:p>
    <w:p w14:paraId="4C350A2D" w14:textId="77777777" w:rsidR="002A5F3D" w:rsidRPr="0043774E" w:rsidRDefault="002A5F3D" w:rsidP="0087478E">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p>
    <w:p w14:paraId="29D43039" w14:textId="77777777" w:rsidR="00367588" w:rsidRPr="0043774E" w:rsidRDefault="00367588" w:rsidP="00367588">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43774E">
        <w:rPr>
          <w:rFonts w:ascii="Arial" w:eastAsia="Arial" w:hAnsi="Arial" w:cs="Arial"/>
          <w:b/>
          <w:color w:val="000000" w:themeColor="text1"/>
          <w:sz w:val="22"/>
          <w:szCs w:val="22"/>
          <w:lang w:eastAsia="es-CO" w:bidi="es-CO"/>
        </w:rPr>
        <w:t xml:space="preserve">Artículo </w:t>
      </w:r>
      <w:r w:rsidR="001A57AB" w:rsidRPr="0043774E">
        <w:rPr>
          <w:rFonts w:ascii="Arial" w:eastAsia="Arial" w:hAnsi="Arial" w:cs="Arial"/>
          <w:b/>
          <w:color w:val="000000" w:themeColor="text1"/>
          <w:sz w:val="22"/>
          <w:szCs w:val="22"/>
          <w:lang w:eastAsia="es-CO" w:bidi="es-CO"/>
        </w:rPr>
        <w:t>6</w:t>
      </w:r>
      <w:r w:rsidRPr="0043774E">
        <w:rPr>
          <w:rFonts w:ascii="Arial" w:eastAsia="Arial" w:hAnsi="Arial" w:cs="Arial"/>
          <w:b/>
          <w:color w:val="000000" w:themeColor="text1"/>
          <w:sz w:val="22"/>
          <w:szCs w:val="22"/>
          <w:lang w:eastAsia="es-CO" w:bidi="es-CO"/>
        </w:rPr>
        <w:t xml:space="preserve">o. </w:t>
      </w:r>
      <w:r w:rsidRPr="0043774E">
        <w:rPr>
          <w:rFonts w:ascii="Arial" w:eastAsia="Arial" w:hAnsi="Arial" w:cs="Arial"/>
          <w:color w:val="000000" w:themeColor="text1"/>
          <w:sz w:val="22"/>
          <w:szCs w:val="22"/>
          <w:lang w:eastAsia="es-CO" w:bidi="es-CO"/>
        </w:rPr>
        <w:t>Los términos y condiciones establecidos en las demás resoluciones de la Comisión Nacional de Crédito Agropecuario permanecerán inalterados y conservarán todo su vigencia y efecto, en cuanto no se opongan a lo establecido en la presente resolución.</w:t>
      </w:r>
    </w:p>
    <w:p w14:paraId="4C4AC64F" w14:textId="77777777" w:rsidR="00367588" w:rsidRPr="0043774E" w:rsidRDefault="00367588" w:rsidP="0087478E">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p>
    <w:p w14:paraId="6BA6A91A" w14:textId="50AE0AE6" w:rsidR="002A5F3D" w:rsidRPr="0043774E" w:rsidRDefault="002A5F3D" w:rsidP="0087478E">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43774E">
        <w:rPr>
          <w:rFonts w:ascii="Arial" w:eastAsia="Arial" w:hAnsi="Arial" w:cs="Arial"/>
          <w:color w:val="000000" w:themeColor="text1"/>
          <w:sz w:val="22"/>
          <w:szCs w:val="22"/>
          <w:lang w:eastAsia="es-CO" w:bidi="es-CO"/>
        </w:rPr>
        <w:t>Dada en Bogotá D.C., a los</w:t>
      </w:r>
      <w:r w:rsidR="001558E0" w:rsidRPr="0043774E">
        <w:rPr>
          <w:rFonts w:ascii="Arial" w:eastAsia="Arial" w:hAnsi="Arial" w:cs="Arial"/>
          <w:color w:val="000000" w:themeColor="text1"/>
          <w:sz w:val="22"/>
          <w:szCs w:val="22"/>
          <w:lang w:eastAsia="es-CO" w:bidi="es-CO"/>
        </w:rPr>
        <w:t xml:space="preserve"> </w:t>
      </w:r>
      <w:r w:rsidR="00827785" w:rsidRPr="0043774E">
        <w:rPr>
          <w:rFonts w:ascii="Arial" w:eastAsia="Arial" w:hAnsi="Arial" w:cs="Arial"/>
          <w:color w:val="000000" w:themeColor="text1"/>
          <w:sz w:val="22"/>
          <w:szCs w:val="22"/>
          <w:lang w:eastAsia="es-CO" w:bidi="es-CO"/>
        </w:rPr>
        <w:t xml:space="preserve">XXXXX (XX) </w:t>
      </w:r>
      <w:r w:rsidR="001558E0" w:rsidRPr="0043774E">
        <w:rPr>
          <w:rFonts w:ascii="Arial" w:eastAsia="Arial" w:hAnsi="Arial" w:cs="Arial"/>
          <w:color w:val="000000" w:themeColor="text1"/>
          <w:sz w:val="22"/>
          <w:szCs w:val="22"/>
          <w:lang w:eastAsia="es-CO" w:bidi="es-CO"/>
        </w:rPr>
        <w:t xml:space="preserve">días del mes de </w:t>
      </w:r>
      <w:r w:rsidR="00082C07" w:rsidRPr="0043774E">
        <w:rPr>
          <w:rFonts w:ascii="Arial" w:eastAsia="Arial" w:hAnsi="Arial" w:cs="Arial"/>
          <w:color w:val="000000" w:themeColor="text1"/>
          <w:sz w:val="22"/>
          <w:szCs w:val="22"/>
          <w:lang w:eastAsia="es-CO" w:bidi="es-CO"/>
        </w:rPr>
        <w:t>junio</w:t>
      </w:r>
      <w:r w:rsidR="001558E0" w:rsidRPr="0043774E">
        <w:rPr>
          <w:rFonts w:ascii="Arial" w:eastAsia="Arial" w:hAnsi="Arial" w:cs="Arial"/>
          <w:color w:val="000000" w:themeColor="text1"/>
          <w:sz w:val="22"/>
          <w:szCs w:val="22"/>
          <w:lang w:eastAsia="es-CO" w:bidi="es-CO"/>
        </w:rPr>
        <w:t xml:space="preserve"> de 2019</w:t>
      </w:r>
      <w:r w:rsidR="00602FC0" w:rsidRPr="0043774E">
        <w:rPr>
          <w:rFonts w:ascii="Arial" w:eastAsia="Arial" w:hAnsi="Arial" w:cs="Arial"/>
          <w:color w:val="000000" w:themeColor="text1"/>
          <w:sz w:val="22"/>
          <w:szCs w:val="22"/>
          <w:lang w:eastAsia="es-CO" w:bidi="es-CO"/>
        </w:rPr>
        <w:t>.</w:t>
      </w:r>
    </w:p>
    <w:p w14:paraId="73B23391" w14:textId="77777777" w:rsidR="002A5F3D" w:rsidRPr="0043774E"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16713BE3" w14:textId="77777777" w:rsidR="002A5F3D" w:rsidRPr="0043774E"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111330D6" w14:textId="77777777" w:rsidR="002A5F3D" w:rsidRPr="0043774E"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28452C27" w14:textId="77777777" w:rsidR="008C1ECA" w:rsidRPr="0043774E" w:rsidRDefault="008C1ECA" w:rsidP="008C1ECA">
      <w:pPr>
        <w:widowControl w:val="0"/>
        <w:autoSpaceDE w:val="0"/>
        <w:autoSpaceDN w:val="0"/>
        <w:jc w:val="center"/>
        <w:rPr>
          <w:rFonts w:ascii="Arial" w:eastAsiaTheme="minorHAnsi" w:hAnsi="Arial" w:cs="Arial"/>
          <w:b/>
          <w:color w:val="000000" w:themeColor="text1"/>
          <w:sz w:val="22"/>
          <w:szCs w:val="22"/>
          <w:lang w:eastAsia="en-US" w:bidi="es-CO"/>
        </w:rPr>
      </w:pPr>
      <w:r w:rsidRPr="0043774E">
        <w:rPr>
          <w:rFonts w:ascii="Arial" w:eastAsiaTheme="minorHAnsi" w:hAnsi="Arial" w:cs="Arial"/>
          <w:b/>
          <w:color w:val="000000" w:themeColor="text1"/>
          <w:sz w:val="22"/>
          <w:szCs w:val="22"/>
          <w:lang w:eastAsia="en-US" w:bidi="es-CO"/>
        </w:rPr>
        <w:t>ANDRÉS VALENCIA PINZÓN</w:t>
      </w:r>
      <w:r w:rsidRPr="0043774E">
        <w:rPr>
          <w:rFonts w:ascii="Arial" w:eastAsiaTheme="minorHAnsi" w:hAnsi="Arial" w:cs="Arial"/>
          <w:b/>
          <w:color w:val="000000" w:themeColor="text1"/>
          <w:sz w:val="22"/>
          <w:szCs w:val="22"/>
          <w:lang w:eastAsia="en-US" w:bidi="es-CO"/>
        </w:rPr>
        <w:tab/>
      </w:r>
      <w:r w:rsidRPr="0043774E">
        <w:rPr>
          <w:rFonts w:ascii="Arial" w:eastAsiaTheme="minorHAnsi" w:hAnsi="Arial" w:cs="Arial"/>
          <w:b/>
          <w:color w:val="000000" w:themeColor="text1"/>
          <w:sz w:val="22"/>
          <w:szCs w:val="22"/>
          <w:lang w:eastAsia="en-US" w:bidi="es-CO"/>
        </w:rPr>
        <w:tab/>
      </w:r>
      <w:r w:rsidRPr="0043774E">
        <w:rPr>
          <w:rFonts w:ascii="Arial" w:eastAsiaTheme="minorHAnsi" w:hAnsi="Arial" w:cs="Arial"/>
          <w:b/>
          <w:color w:val="000000" w:themeColor="text1"/>
          <w:sz w:val="22"/>
          <w:szCs w:val="22"/>
          <w:lang w:eastAsia="en-US" w:bidi="es-CO"/>
        </w:rPr>
        <w:tab/>
      </w:r>
      <w:r w:rsidR="004F36F8" w:rsidRPr="0043774E">
        <w:rPr>
          <w:rFonts w:ascii="Arial" w:eastAsiaTheme="minorHAnsi" w:hAnsi="Arial" w:cs="Arial"/>
          <w:b/>
          <w:color w:val="000000" w:themeColor="text1"/>
          <w:sz w:val="22"/>
          <w:szCs w:val="22"/>
          <w:lang w:eastAsia="en-US" w:bidi="es-CO"/>
        </w:rPr>
        <w:t>ANDRES LOZANO KARANAUSKAS</w:t>
      </w:r>
    </w:p>
    <w:p w14:paraId="00BBA6AB" w14:textId="77777777" w:rsidR="008C1ECA" w:rsidRPr="008C1ECA" w:rsidRDefault="008C1ECA" w:rsidP="008C1ECA">
      <w:pPr>
        <w:widowControl w:val="0"/>
        <w:autoSpaceDE w:val="0"/>
        <w:autoSpaceDN w:val="0"/>
        <w:jc w:val="center"/>
        <w:rPr>
          <w:rFonts w:ascii="Arial" w:eastAsiaTheme="minorHAnsi" w:hAnsi="Arial" w:cs="Arial"/>
          <w:b/>
          <w:color w:val="000000" w:themeColor="text1"/>
          <w:sz w:val="22"/>
          <w:szCs w:val="22"/>
          <w:lang w:eastAsia="en-US" w:bidi="es-CO"/>
        </w:rPr>
      </w:pPr>
      <w:r w:rsidRPr="0043774E">
        <w:rPr>
          <w:rFonts w:ascii="Arial" w:eastAsiaTheme="minorHAnsi" w:hAnsi="Arial" w:cs="Arial"/>
          <w:b/>
          <w:color w:val="000000" w:themeColor="text1"/>
          <w:sz w:val="22"/>
          <w:szCs w:val="22"/>
          <w:lang w:eastAsia="en-US" w:bidi="es-CO"/>
        </w:rPr>
        <w:t>Presidente</w:t>
      </w:r>
      <w:r w:rsidRPr="0043774E">
        <w:rPr>
          <w:rFonts w:ascii="Arial" w:eastAsiaTheme="minorHAnsi" w:hAnsi="Arial" w:cs="Arial"/>
          <w:b/>
          <w:color w:val="000000" w:themeColor="text1"/>
          <w:sz w:val="22"/>
          <w:szCs w:val="22"/>
          <w:lang w:eastAsia="en-US" w:bidi="es-CO"/>
        </w:rPr>
        <w:tab/>
      </w:r>
      <w:r w:rsidRPr="0043774E">
        <w:rPr>
          <w:rFonts w:ascii="Arial" w:eastAsiaTheme="minorHAnsi" w:hAnsi="Arial" w:cs="Arial"/>
          <w:b/>
          <w:color w:val="000000" w:themeColor="text1"/>
          <w:sz w:val="22"/>
          <w:szCs w:val="22"/>
          <w:lang w:eastAsia="en-US" w:bidi="es-CO"/>
        </w:rPr>
        <w:tab/>
      </w:r>
      <w:r w:rsidRPr="0043774E">
        <w:rPr>
          <w:rFonts w:ascii="Arial" w:eastAsiaTheme="minorHAnsi" w:hAnsi="Arial" w:cs="Arial"/>
          <w:b/>
          <w:color w:val="000000" w:themeColor="text1"/>
          <w:sz w:val="22"/>
          <w:szCs w:val="22"/>
          <w:lang w:eastAsia="en-US" w:bidi="es-CO"/>
        </w:rPr>
        <w:tab/>
      </w:r>
      <w:r w:rsidRPr="0043774E">
        <w:rPr>
          <w:rFonts w:ascii="Arial" w:eastAsiaTheme="minorHAnsi" w:hAnsi="Arial" w:cs="Arial"/>
          <w:b/>
          <w:color w:val="000000" w:themeColor="text1"/>
          <w:sz w:val="22"/>
          <w:szCs w:val="22"/>
          <w:lang w:eastAsia="en-US" w:bidi="es-CO"/>
        </w:rPr>
        <w:tab/>
      </w:r>
      <w:r w:rsidRPr="0043774E">
        <w:rPr>
          <w:rFonts w:ascii="Arial" w:eastAsiaTheme="minorHAnsi" w:hAnsi="Arial" w:cs="Arial"/>
          <w:b/>
          <w:color w:val="000000" w:themeColor="text1"/>
          <w:sz w:val="22"/>
          <w:szCs w:val="22"/>
          <w:lang w:eastAsia="en-US" w:bidi="es-CO"/>
        </w:rPr>
        <w:tab/>
      </w:r>
      <w:r w:rsidRPr="0043774E">
        <w:rPr>
          <w:rFonts w:ascii="Arial" w:eastAsiaTheme="minorHAnsi" w:hAnsi="Arial" w:cs="Arial"/>
          <w:b/>
          <w:color w:val="000000" w:themeColor="text1"/>
          <w:sz w:val="22"/>
          <w:szCs w:val="22"/>
          <w:lang w:eastAsia="en-US" w:bidi="es-CO"/>
        </w:rPr>
        <w:tab/>
        <w:t>Secretari</w:t>
      </w:r>
      <w:r w:rsidR="004F36F8" w:rsidRPr="0043774E">
        <w:rPr>
          <w:rFonts w:ascii="Arial" w:eastAsiaTheme="minorHAnsi" w:hAnsi="Arial" w:cs="Arial"/>
          <w:b/>
          <w:color w:val="000000" w:themeColor="text1"/>
          <w:sz w:val="22"/>
          <w:szCs w:val="22"/>
          <w:lang w:eastAsia="en-US" w:bidi="es-CO"/>
        </w:rPr>
        <w:t>o</w:t>
      </w:r>
      <w:r w:rsidRPr="0043774E">
        <w:rPr>
          <w:rFonts w:ascii="Arial" w:eastAsiaTheme="minorHAnsi" w:hAnsi="Arial" w:cs="Arial"/>
          <w:b/>
          <w:color w:val="000000" w:themeColor="text1"/>
          <w:sz w:val="22"/>
          <w:szCs w:val="22"/>
          <w:lang w:eastAsia="en-US" w:bidi="es-CO"/>
        </w:rPr>
        <w:t xml:space="preserve"> Técnic</w:t>
      </w:r>
      <w:r w:rsidR="004F36F8" w:rsidRPr="0043774E">
        <w:rPr>
          <w:rFonts w:ascii="Arial" w:eastAsiaTheme="minorHAnsi" w:hAnsi="Arial" w:cs="Arial"/>
          <w:b/>
          <w:color w:val="000000" w:themeColor="text1"/>
          <w:sz w:val="22"/>
          <w:szCs w:val="22"/>
          <w:lang w:eastAsia="en-US" w:bidi="es-CO"/>
        </w:rPr>
        <w:t>o</w:t>
      </w:r>
      <w:r w:rsidRPr="0043774E">
        <w:rPr>
          <w:rFonts w:ascii="Arial" w:eastAsiaTheme="minorHAnsi" w:hAnsi="Arial" w:cs="Arial"/>
          <w:b/>
          <w:color w:val="000000" w:themeColor="text1"/>
          <w:sz w:val="22"/>
          <w:szCs w:val="22"/>
          <w:lang w:eastAsia="en-US" w:bidi="es-CO"/>
        </w:rPr>
        <w:t xml:space="preserve"> (E)</w:t>
      </w:r>
      <w:bookmarkStart w:id="5" w:name="_GoBack"/>
      <w:bookmarkEnd w:id="5"/>
    </w:p>
    <w:p w14:paraId="39F5A113" w14:textId="77777777" w:rsidR="002A5F3D" w:rsidRPr="004A1C44" w:rsidRDefault="002A5F3D" w:rsidP="008C1ECA">
      <w:pPr>
        <w:widowControl w:val="0"/>
        <w:autoSpaceDE w:val="0"/>
        <w:autoSpaceDN w:val="0"/>
        <w:jc w:val="both"/>
        <w:rPr>
          <w:rFonts w:ascii="Arial" w:eastAsiaTheme="minorHAnsi" w:hAnsi="Arial" w:cs="Arial"/>
          <w:color w:val="000000" w:themeColor="text1"/>
          <w:sz w:val="22"/>
          <w:szCs w:val="22"/>
          <w:lang w:eastAsia="en-US" w:bidi="es-CO"/>
        </w:rPr>
      </w:pPr>
    </w:p>
    <w:sectPr w:rsidR="002A5F3D" w:rsidRPr="004A1C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90E"/>
    <w:multiLevelType w:val="hybridMultilevel"/>
    <w:tmpl w:val="8A0087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10A02"/>
    <w:multiLevelType w:val="hybridMultilevel"/>
    <w:tmpl w:val="DAAEED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227F50"/>
    <w:multiLevelType w:val="hybridMultilevel"/>
    <w:tmpl w:val="8966986E"/>
    <w:lvl w:ilvl="0" w:tplc="99F0393E">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059A9"/>
    <w:multiLevelType w:val="hybridMultilevel"/>
    <w:tmpl w:val="5EB6F2F0"/>
    <w:lvl w:ilvl="0" w:tplc="240A0019">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490EDA"/>
    <w:multiLevelType w:val="hybridMultilevel"/>
    <w:tmpl w:val="98824886"/>
    <w:lvl w:ilvl="0" w:tplc="D7A2E418">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1D362F3"/>
    <w:multiLevelType w:val="hybridMultilevel"/>
    <w:tmpl w:val="B89A70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319308F6"/>
    <w:multiLevelType w:val="hybridMultilevel"/>
    <w:tmpl w:val="7D34D2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9F51C4"/>
    <w:multiLevelType w:val="hybridMultilevel"/>
    <w:tmpl w:val="B832C71C"/>
    <w:lvl w:ilvl="0" w:tplc="25860646">
      <w:start w:val="1"/>
      <w:numFmt w:val="lowerLetter"/>
      <w:lvlText w:val="%1."/>
      <w:lvlJc w:val="left"/>
      <w:pPr>
        <w:ind w:left="902" w:hanging="360"/>
      </w:pPr>
      <w:rPr>
        <w:rFonts w:ascii="Arial" w:eastAsia="Arial" w:hAnsi="Arial" w:cs="Arial"/>
        <w:spacing w:val="-1"/>
        <w:w w:val="100"/>
        <w:sz w:val="22"/>
        <w:szCs w:val="22"/>
        <w:lang w:val="es-CO" w:eastAsia="es-CO" w:bidi="es-CO"/>
      </w:rPr>
    </w:lvl>
    <w:lvl w:ilvl="1" w:tplc="D04A4C2C">
      <w:numFmt w:val="bullet"/>
      <w:lvlText w:val="•"/>
      <w:lvlJc w:val="left"/>
      <w:pPr>
        <w:ind w:left="1696" w:hanging="360"/>
      </w:pPr>
      <w:rPr>
        <w:rFonts w:hint="default"/>
        <w:lang w:val="es-CO" w:eastAsia="es-CO" w:bidi="es-CO"/>
      </w:rPr>
    </w:lvl>
    <w:lvl w:ilvl="2" w:tplc="B62095A0">
      <w:numFmt w:val="bullet"/>
      <w:lvlText w:val="•"/>
      <w:lvlJc w:val="left"/>
      <w:pPr>
        <w:ind w:left="2493" w:hanging="360"/>
      </w:pPr>
      <w:rPr>
        <w:rFonts w:hint="default"/>
        <w:lang w:val="es-CO" w:eastAsia="es-CO" w:bidi="es-CO"/>
      </w:rPr>
    </w:lvl>
    <w:lvl w:ilvl="3" w:tplc="C23E39EE">
      <w:numFmt w:val="bullet"/>
      <w:lvlText w:val="•"/>
      <w:lvlJc w:val="left"/>
      <w:pPr>
        <w:ind w:left="3289" w:hanging="360"/>
      </w:pPr>
      <w:rPr>
        <w:rFonts w:hint="default"/>
        <w:lang w:val="es-CO" w:eastAsia="es-CO" w:bidi="es-CO"/>
      </w:rPr>
    </w:lvl>
    <w:lvl w:ilvl="4" w:tplc="ADC4ADD8">
      <w:numFmt w:val="bullet"/>
      <w:lvlText w:val="•"/>
      <w:lvlJc w:val="left"/>
      <w:pPr>
        <w:ind w:left="4086" w:hanging="360"/>
      </w:pPr>
      <w:rPr>
        <w:rFonts w:hint="default"/>
        <w:lang w:val="es-CO" w:eastAsia="es-CO" w:bidi="es-CO"/>
      </w:rPr>
    </w:lvl>
    <w:lvl w:ilvl="5" w:tplc="C7B4DF64">
      <w:numFmt w:val="bullet"/>
      <w:lvlText w:val="•"/>
      <w:lvlJc w:val="left"/>
      <w:pPr>
        <w:ind w:left="4883" w:hanging="360"/>
      </w:pPr>
      <w:rPr>
        <w:rFonts w:hint="default"/>
        <w:lang w:val="es-CO" w:eastAsia="es-CO" w:bidi="es-CO"/>
      </w:rPr>
    </w:lvl>
    <w:lvl w:ilvl="6" w:tplc="A19A0FEC">
      <w:numFmt w:val="bullet"/>
      <w:lvlText w:val="•"/>
      <w:lvlJc w:val="left"/>
      <w:pPr>
        <w:ind w:left="5679" w:hanging="360"/>
      </w:pPr>
      <w:rPr>
        <w:rFonts w:hint="default"/>
        <w:lang w:val="es-CO" w:eastAsia="es-CO" w:bidi="es-CO"/>
      </w:rPr>
    </w:lvl>
    <w:lvl w:ilvl="7" w:tplc="2ABCB558">
      <w:numFmt w:val="bullet"/>
      <w:lvlText w:val="•"/>
      <w:lvlJc w:val="left"/>
      <w:pPr>
        <w:ind w:left="6476" w:hanging="360"/>
      </w:pPr>
      <w:rPr>
        <w:rFonts w:hint="default"/>
        <w:lang w:val="es-CO" w:eastAsia="es-CO" w:bidi="es-CO"/>
      </w:rPr>
    </w:lvl>
    <w:lvl w:ilvl="8" w:tplc="93186F46">
      <w:numFmt w:val="bullet"/>
      <w:lvlText w:val="•"/>
      <w:lvlJc w:val="left"/>
      <w:pPr>
        <w:ind w:left="7273" w:hanging="360"/>
      </w:pPr>
      <w:rPr>
        <w:rFonts w:hint="default"/>
        <w:lang w:val="es-CO" w:eastAsia="es-CO" w:bidi="es-CO"/>
      </w:rPr>
    </w:lvl>
  </w:abstractNum>
  <w:abstractNum w:abstractNumId="8" w15:restartNumberingAfterBreak="0">
    <w:nsid w:val="3740481B"/>
    <w:multiLevelType w:val="hybridMultilevel"/>
    <w:tmpl w:val="EFC62860"/>
    <w:lvl w:ilvl="0" w:tplc="03A0719C">
      <w:start w:val="7"/>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42A02800"/>
    <w:multiLevelType w:val="hybridMultilevel"/>
    <w:tmpl w:val="76BEFBD8"/>
    <w:lvl w:ilvl="0" w:tplc="0C0A001B">
      <w:start w:val="1"/>
      <w:numFmt w:val="lowerRoman"/>
      <w:lvlText w:val="%1."/>
      <w:lvlJc w:val="righ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7687140"/>
    <w:multiLevelType w:val="hybridMultilevel"/>
    <w:tmpl w:val="159C67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DD230E"/>
    <w:multiLevelType w:val="hybridMultilevel"/>
    <w:tmpl w:val="7B526A2A"/>
    <w:lvl w:ilvl="0" w:tplc="2E503096">
      <w:start w:val="1"/>
      <w:numFmt w:val="bullet"/>
      <w:lvlText w:val="-"/>
      <w:lvlJc w:val="left"/>
      <w:pPr>
        <w:ind w:left="786" w:hanging="360"/>
      </w:pPr>
      <w:rPr>
        <w:rFonts w:ascii="Arial" w:eastAsia="Arial"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2" w15:restartNumberingAfterBreak="0">
    <w:nsid w:val="626D36A7"/>
    <w:multiLevelType w:val="hybridMultilevel"/>
    <w:tmpl w:val="DFB2448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64D04C0E"/>
    <w:multiLevelType w:val="hybridMultilevel"/>
    <w:tmpl w:val="D5BA0072"/>
    <w:lvl w:ilvl="0" w:tplc="251C0C3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586BE6"/>
    <w:multiLevelType w:val="hybridMultilevel"/>
    <w:tmpl w:val="37AE7E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9F22F3"/>
    <w:multiLevelType w:val="hybridMultilevel"/>
    <w:tmpl w:val="1AF80900"/>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A042F50"/>
    <w:multiLevelType w:val="hybridMultilevel"/>
    <w:tmpl w:val="7840A4E2"/>
    <w:lvl w:ilvl="0" w:tplc="A67C918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7D58B6"/>
    <w:multiLevelType w:val="hybridMultilevel"/>
    <w:tmpl w:val="FB64DBBA"/>
    <w:lvl w:ilvl="0" w:tplc="240A0019">
      <w:start w:val="1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17"/>
  </w:num>
  <w:num w:numId="5">
    <w:abstractNumId w:val="9"/>
  </w:num>
  <w:num w:numId="6">
    <w:abstractNumId w:val="5"/>
  </w:num>
  <w:num w:numId="7">
    <w:abstractNumId w:val="7"/>
  </w:num>
  <w:num w:numId="8">
    <w:abstractNumId w:val="10"/>
  </w:num>
  <w:num w:numId="9">
    <w:abstractNumId w:val="3"/>
  </w:num>
  <w:num w:numId="10">
    <w:abstractNumId w:val="15"/>
  </w:num>
  <w:num w:numId="11">
    <w:abstractNumId w:val="8"/>
  </w:num>
  <w:num w:numId="12">
    <w:abstractNumId w:val="0"/>
  </w:num>
  <w:num w:numId="13">
    <w:abstractNumId w:val="13"/>
  </w:num>
  <w:num w:numId="14">
    <w:abstractNumId w:val="2"/>
  </w:num>
  <w:num w:numId="15">
    <w:abstractNumId w:val="14"/>
  </w:num>
  <w:num w:numId="16">
    <w:abstractNumId w:val="1"/>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7"/>
    <w:rsid w:val="000009DF"/>
    <w:rsid w:val="0000112E"/>
    <w:rsid w:val="00001ED9"/>
    <w:rsid w:val="0000240E"/>
    <w:rsid w:val="00002F96"/>
    <w:rsid w:val="000031D4"/>
    <w:rsid w:val="0001002B"/>
    <w:rsid w:val="000105B7"/>
    <w:rsid w:val="000155F1"/>
    <w:rsid w:val="000201F8"/>
    <w:rsid w:val="000225DC"/>
    <w:rsid w:val="00022E39"/>
    <w:rsid w:val="00027135"/>
    <w:rsid w:val="00027CC4"/>
    <w:rsid w:val="00051457"/>
    <w:rsid w:val="00053BCF"/>
    <w:rsid w:val="00056199"/>
    <w:rsid w:val="00056845"/>
    <w:rsid w:val="0005684F"/>
    <w:rsid w:val="0006035D"/>
    <w:rsid w:val="00061363"/>
    <w:rsid w:val="00061AD8"/>
    <w:rsid w:val="000631F2"/>
    <w:rsid w:val="00067EC9"/>
    <w:rsid w:val="00070101"/>
    <w:rsid w:val="000706E4"/>
    <w:rsid w:val="000709F0"/>
    <w:rsid w:val="00076C54"/>
    <w:rsid w:val="00082C07"/>
    <w:rsid w:val="00083E4E"/>
    <w:rsid w:val="00085D76"/>
    <w:rsid w:val="00094B5E"/>
    <w:rsid w:val="00095015"/>
    <w:rsid w:val="000A085A"/>
    <w:rsid w:val="000A0E19"/>
    <w:rsid w:val="000A5D54"/>
    <w:rsid w:val="000B2CB5"/>
    <w:rsid w:val="000B4328"/>
    <w:rsid w:val="000B69DE"/>
    <w:rsid w:val="000C1206"/>
    <w:rsid w:val="000C1B7E"/>
    <w:rsid w:val="000C21E3"/>
    <w:rsid w:val="000C2AC1"/>
    <w:rsid w:val="000C4C2C"/>
    <w:rsid w:val="000C6369"/>
    <w:rsid w:val="000C7B59"/>
    <w:rsid w:val="000D204D"/>
    <w:rsid w:val="000D4C83"/>
    <w:rsid w:val="000E2DDB"/>
    <w:rsid w:val="000E4CC6"/>
    <w:rsid w:val="000E507D"/>
    <w:rsid w:val="000E515F"/>
    <w:rsid w:val="000E675F"/>
    <w:rsid w:val="000F413F"/>
    <w:rsid w:val="000F4225"/>
    <w:rsid w:val="000F7935"/>
    <w:rsid w:val="00100C5E"/>
    <w:rsid w:val="00103F9F"/>
    <w:rsid w:val="00107A3F"/>
    <w:rsid w:val="001100D2"/>
    <w:rsid w:val="00110419"/>
    <w:rsid w:val="00110944"/>
    <w:rsid w:val="001132E9"/>
    <w:rsid w:val="001141EE"/>
    <w:rsid w:val="00114B97"/>
    <w:rsid w:val="00116101"/>
    <w:rsid w:val="00127474"/>
    <w:rsid w:val="00140A4A"/>
    <w:rsid w:val="00140BB7"/>
    <w:rsid w:val="00141C71"/>
    <w:rsid w:val="0014377A"/>
    <w:rsid w:val="00143851"/>
    <w:rsid w:val="001441FA"/>
    <w:rsid w:val="00144DEC"/>
    <w:rsid w:val="00147E03"/>
    <w:rsid w:val="00154151"/>
    <w:rsid w:val="00155510"/>
    <w:rsid w:val="001558E0"/>
    <w:rsid w:val="0016140B"/>
    <w:rsid w:val="001614C2"/>
    <w:rsid w:val="00162A71"/>
    <w:rsid w:val="00162FEE"/>
    <w:rsid w:val="001822FF"/>
    <w:rsid w:val="001863C0"/>
    <w:rsid w:val="00190482"/>
    <w:rsid w:val="001914E7"/>
    <w:rsid w:val="00193B36"/>
    <w:rsid w:val="001966D6"/>
    <w:rsid w:val="001A0206"/>
    <w:rsid w:val="001A0D4C"/>
    <w:rsid w:val="001A57AB"/>
    <w:rsid w:val="001A712F"/>
    <w:rsid w:val="001B30CD"/>
    <w:rsid w:val="001B3BA8"/>
    <w:rsid w:val="001B4009"/>
    <w:rsid w:val="001B48C1"/>
    <w:rsid w:val="001B5C64"/>
    <w:rsid w:val="001B66E7"/>
    <w:rsid w:val="001C1454"/>
    <w:rsid w:val="001C1B9C"/>
    <w:rsid w:val="001C4796"/>
    <w:rsid w:val="001C65B0"/>
    <w:rsid w:val="001D4098"/>
    <w:rsid w:val="001E3EC5"/>
    <w:rsid w:val="001E491B"/>
    <w:rsid w:val="001E70FC"/>
    <w:rsid w:val="001E74B6"/>
    <w:rsid w:val="001F0CED"/>
    <w:rsid w:val="001F5514"/>
    <w:rsid w:val="001F63A5"/>
    <w:rsid w:val="0021278B"/>
    <w:rsid w:val="002265E8"/>
    <w:rsid w:val="00226ED7"/>
    <w:rsid w:val="00230255"/>
    <w:rsid w:val="002339EC"/>
    <w:rsid w:val="002341D3"/>
    <w:rsid w:val="00236218"/>
    <w:rsid w:val="00236B80"/>
    <w:rsid w:val="0024073B"/>
    <w:rsid w:val="00241AB6"/>
    <w:rsid w:val="00242885"/>
    <w:rsid w:val="0024407C"/>
    <w:rsid w:val="002440F2"/>
    <w:rsid w:val="00251051"/>
    <w:rsid w:val="00251434"/>
    <w:rsid w:val="00251F5C"/>
    <w:rsid w:val="00254D27"/>
    <w:rsid w:val="0025664A"/>
    <w:rsid w:val="00260A89"/>
    <w:rsid w:val="0026451E"/>
    <w:rsid w:val="002650ED"/>
    <w:rsid w:val="0026578B"/>
    <w:rsid w:val="002706B4"/>
    <w:rsid w:val="0027469E"/>
    <w:rsid w:val="0027546D"/>
    <w:rsid w:val="002768F9"/>
    <w:rsid w:val="00276C49"/>
    <w:rsid w:val="00281239"/>
    <w:rsid w:val="00282EFC"/>
    <w:rsid w:val="00283406"/>
    <w:rsid w:val="00283664"/>
    <w:rsid w:val="00283F67"/>
    <w:rsid w:val="00284CB3"/>
    <w:rsid w:val="00284F24"/>
    <w:rsid w:val="002914D9"/>
    <w:rsid w:val="00291572"/>
    <w:rsid w:val="00291DC3"/>
    <w:rsid w:val="002A5F3D"/>
    <w:rsid w:val="002A7EFB"/>
    <w:rsid w:val="002B07A1"/>
    <w:rsid w:val="002B16CE"/>
    <w:rsid w:val="002B3108"/>
    <w:rsid w:val="002B351A"/>
    <w:rsid w:val="002B734C"/>
    <w:rsid w:val="002C2B98"/>
    <w:rsid w:val="002C5202"/>
    <w:rsid w:val="002C6D6C"/>
    <w:rsid w:val="002C774C"/>
    <w:rsid w:val="002D053A"/>
    <w:rsid w:val="002D1F97"/>
    <w:rsid w:val="002D3AE8"/>
    <w:rsid w:val="002E2858"/>
    <w:rsid w:val="002E3878"/>
    <w:rsid w:val="002E3FAE"/>
    <w:rsid w:val="002E46C2"/>
    <w:rsid w:val="002E658A"/>
    <w:rsid w:val="002E79D8"/>
    <w:rsid w:val="002F0495"/>
    <w:rsid w:val="002F172B"/>
    <w:rsid w:val="002F3146"/>
    <w:rsid w:val="002F3FC5"/>
    <w:rsid w:val="002F416D"/>
    <w:rsid w:val="003073FE"/>
    <w:rsid w:val="003129E0"/>
    <w:rsid w:val="00315907"/>
    <w:rsid w:val="003176CF"/>
    <w:rsid w:val="0032107C"/>
    <w:rsid w:val="003241CD"/>
    <w:rsid w:val="00332EA3"/>
    <w:rsid w:val="003344B6"/>
    <w:rsid w:val="00337B33"/>
    <w:rsid w:val="003421F4"/>
    <w:rsid w:val="00346B12"/>
    <w:rsid w:val="003504B1"/>
    <w:rsid w:val="00353CB0"/>
    <w:rsid w:val="00356B69"/>
    <w:rsid w:val="00362A19"/>
    <w:rsid w:val="00362F07"/>
    <w:rsid w:val="003643D1"/>
    <w:rsid w:val="003662EC"/>
    <w:rsid w:val="00367588"/>
    <w:rsid w:val="00370F79"/>
    <w:rsid w:val="0037219B"/>
    <w:rsid w:val="00375EF3"/>
    <w:rsid w:val="00381583"/>
    <w:rsid w:val="0038216F"/>
    <w:rsid w:val="003839FE"/>
    <w:rsid w:val="00391FAC"/>
    <w:rsid w:val="003940FE"/>
    <w:rsid w:val="003957F7"/>
    <w:rsid w:val="003958AB"/>
    <w:rsid w:val="003A0576"/>
    <w:rsid w:val="003A2DDC"/>
    <w:rsid w:val="003A454F"/>
    <w:rsid w:val="003A7AAA"/>
    <w:rsid w:val="003B1D7B"/>
    <w:rsid w:val="003B6BB4"/>
    <w:rsid w:val="003C000D"/>
    <w:rsid w:val="003C0D04"/>
    <w:rsid w:val="003C27A4"/>
    <w:rsid w:val="003C4C95"/>
    <w:rsid w:val="003C5C47"/>
    <w:rsid w:val="003D017E"/>
    <w:rsid w:val="003D1120"/>
    <w:rsid w:val="003D126F"/>
    <w:rsid w:val="003D426B"/>
    <w:rsid w:val="003F1C6D"/>
    <w:rsid w:val="003F34B9"/>
    <w:rsid w:val="003F761F"/>
    <w:rsid w:val="0040087C"/>
    <w:rsid w:val="004033DE"/>
    <w:rsid w:val="004145CE"/>
    <w:rsid w:val="004210D3"/>
    <w:rsid w:val="00422A39"/>
    <w:rsid w:val="004236DE"/>
    <w:rsid w:val="00434BC2"/>
    <w:rsid w:val="00436951"/>
    <w:rsid w:val="0043774E"/>
    <w:rsid w:val="00440D3A"/>
    <w:rsid w:val="004508FC"/>
    <w:rsid w:val="00451E55"/>
    <w:rsid w:val="00456409"/>
    <w:rsid w:val="0046149B"/>
    <w:rsid w:val="00462CCF"/>
    <w:rsid w:val="00462CFA"/>
    <w:rsid w:val="004638F0"/>
    <w:rsid w:val="00464E9D"/>
    <w:rsid w:val="0046588C"/>
    <w:rsid w:val="00467557"/>
    <w:rsid w:val="00470E11"/>
    <w:rsid w:val="00474626"/>
    <w:rsid w:val="00484337"/>
    <w:rsid w:val="0048659E"/>
    <w:rsid w:val="00491A44"/>
    <w:rsid w:val="004924D6"/>
    <w:rsid w:val="00492605"/>
    <w:rsid w:val="004937B0"/>
    <w:rsid w:val="004950CF"/>
    <w:rsid w:val="004960F7"/>
    <w:rsid w:val="004A14E7"/>
    <w:rsid w:val="004A1C44"/>
    <w:rsid w:val="004A4FA5"/>
    <w:rsid w:val="004A5ED8"/>
    <w:rsid w:val="004A5EEF"/>
    <w:rsid w:val="004B139F"/>
    <w:rsid w:val="004B45C1"/>
    <w:rsid w:val="004B5467"/>
    <w:rsid w:val="004B79B3"/>
    <w:rsid w:val="004D585D"/>
    <w:rsid w:val="004D606F"/>
    <w:rsid w:val="004D6495"/>
    <w:rsid w:val="004E4202"/>
    <w:rsid w:val="004E5CA3"/>
    <w:rsid w:val="004F33F8"/>
    <w:rsid w:val="004F36F8"/>
    <w:rsid w:val="004F45D8"/>
    <w:rsid w:val="004F6AA6"/>
    <w:rsid w:val="00512443"/>
    <w:rsid w:val="00512E2C"/>
    <w:rsid w:val="00515C3A"/>
    <w:rsid w:val="00521F55"/>
    <w:rsid w:val="005227C3"/>
    <w:rsid w:val="00524188"/>
    <w:rsid w:val="005250C0"/>
    <w:rsid w:val="00530173"/>
    <w:rsid w:val="00530D16"/>
    <w:rsid w:val="0053675F"/>
    <w:rsid w:val="005408AB"/>
    <w:rsid w:val="00542D04"/>
    <w:rsid w:val="00545F19"/>
    <w:rsid w:val="005536C5"/>
    <w:rsid w:val="00564619"/>
    <w:rsid w:val="00566A86"/>
    <w:rsid w:val="005701FC"/>
    <w:rsid w:val="0057357C"/>
    <w:rsid w:val="0057499F"/>
    <w:rsid w:val="00581610"/>
    <w:rsid w:val="005827D4"/>
    <w:rsid w:val="00593FFD"/>
    <w:rsid w:val="005A195A"/>
    <w:rsid w:val="005A2D52"/>
    <w:rsid w:val="005A6647"/>
    <w:rsid w:val="005A6A97"/>
    <w:rsid w:val="005B09FC"/>
    <w:rsid w:val="005B0A9C"/>
    <w:rsid w:val="005B4E45"/>
    <w:rsid w:val="005B5183"/>
    <w:rsid w:val="005B6106"/>
    <w:rsid w:val="005B7030"/>
    <w:rsid w:val="005C7FF4"/>
    <w:rsid w:val="005D2015"/>
    <w:rsid w:val="005D25E1"/>
    <w:rsid w:val="005D3724"/>
    <w:rsid w:val="005D49C1"/>
    <w:rsid w:val="005D7719"/>
    <w:rsid w:val="005E03C0"/>
    <w:rsid w:val="005E19BB"/>
    <w:rsid w:val="005E7267"/>
    <w:rsid w:val="005F212A"/>
    <w:rsid w:val="005F4A97"/>
    <w:rsid w:val="005F54AA"/>
    <w:rsid w:val="006013C9"/>
    <w:rsid w:val="00602BD1"/>
    <w:rsid w:val="00602FC0"/>
    <w:rsid w:val="0061168C"/>
    <w:rsid w:val="00612F72"/>
    <w:rsid w:val="00613DE0"/>
    <w:rsid w:val="00615CAC"/>
    <w:rsid w:val="00620EE6"/>
    <w:rsid w:val="00622E8B"/>
    <w:rsid w:val="0062716A"/>
    <w:rsid w:val="0062747F"/>
    <w:rsid w:val="00631D43"/>
    <w:rsid w:val="006431FE"/>
    <w:rsid w:val="0065008F"/>
    <w:rsid w:val="006513B2"/>
    <w:rsid w:val="006607C9"/>
    <w:rsid w:val="0066722C"/>
    <w:rsid w:val="00673EBD"/>
    <w:rsid w:val="00681157"/>
    <w:rsid w:val="00685D67"/>
    <w:rsid w:val="00692C5A"/>
    <w:rsid w:val="006A1EB0"/>
    <w:rsid w:val="006A3E85"/>
    <w:rsid w:val="006A5025"/>
    <w:rsid w:val="006A57BD"/>
    <w:rsid w:val="006B2E1A"/>
    <w:rsid w:val="006B2E2F"/>
    <w:rsid w:val="006B3DDF"/>
    <w:rsid w:val="006B3F0D"/>
    <w:rsid w:val="006B4007"/>
    <w:rsid w:val="006B615B"/>
    <w:rsid w:val="006B6778"/>
    <w:rsid w:val="006B6FF4"/>
    <w:rsid w:val="006C27E5"/>
    <w:rsid w:val="006C507B"/>
    <w:rsid w:val="006C5F64"/>
    <w:rsid w:val="006C7C81"/>
    <w:rsid w:val="006C7EBB"/>
    <w:rsid w:val="006D2941"/>
    <w:rsid w:val="006D2DEB"/>
    <w:rsid w:val="006D4606"/>
    <w:rsid w:val="006D5940"/>
    <w:rsid w:val="006E1E83"/>
    <w:rsid w:val="006E4663"/>
    <w:rsid w:val="006E6929"/>
    <w:rsid w:val="006F4488"/>
    <w:rsid w:val="006F4645"/>
    <w:rsid w:val="006F47DF"/>
    <w:rsid w:val="00701234"/>
    <w:rsid w:val="00702DE3"/>
    <w:rsid w:val="007072D6"/>
    <w:rsid w:val="0071173D"/>
    <w:rsid w:val="00711AE1"/>
    <w:rsid w:val="00712736"/>
    <w:rsid w:val="00712E5F"/>
    <w:rsid w:val="0071381B"/>
    <w:rsid w:val="00714DC2"/>
    <w:rsid w:val="00721FBA"/>
    <w:rsid w:val="007221D5"/>
    <w:rsid w:val="00730E71"/>
    <w:rsid w:val="0075053D"/>
    <w:rsid w:val="00750C3A"/>
    <w:rsid w:val="00753414"/>
    <w:rsid w:val="007555F2"/>
    <w:rsid w:val="00760F0B"/>
    <w:rsid w:val="00761466"/>
    <w:rsid w:val="007637B1"/>
    <w:rsid w:val="0076565A"/>
    <w:rsid w:val="007667A4"/>
    <w:rsid w:val="00775918"/>
    <w:rsid w:val="00777993"/>
    <w:rsid w:val="00777F50"/>
    <w:rsid w:val="00784635"/>
    <w:rsid w:val="00790368"/>
    <w:rsid w:val="007915D6"/>
    <w:rsid w:val="00794EC2"/>
    <w:rsid w:val="007951C3"/>
    <w:rsid w:val="00796250"/>
    <w:rsid w:val="00797D3F"/>
    <w:rsid w:val="007A77D5"/>
    <w:rsid w:val="007B085C"/>
    <w:rsid w:val="007B1D4C"/>
    <w:rsid w:val="007B2919"/>
    <w:rsid w:val="007C21FC"/>
    <w:rsid w:val="007C23E0"/>
    <w:rsid w:val="007C3EF0"/>
    <w:rsid w:val="007C4791"/>
    <w:rsid w:val="007C76E1"/>
    <w:rsid w:val="007D31EA"/>
    <w:rsid w:val="007D5B22"/>
    <w:rsid w:val="007D791B"/>
    <w:rsid w:val="007E1580"/>
    <w:rsid w:val="007E2719"/>
    <w:rsid w:val="007E3DE8"/>
    <w:rsid w:val="007E5AC7"/>
    <w:rsid w:val="007E5EA6"/>
    <w:rsid w:val="007F1552"/>
    <w:rsid w:val="007F21E0"/>
    <w:rsid w:val="007F27C4"/>
    <w:rsid w:val="007F31F2"/>
    <w:rsid w:val="007F460E"/>
    <w:rsid w:val="008079B4"/>
    <w:rsid w:val="00810B5F"/>
    <w:rsid w:val="0081545F"/>
    <w:rsid w:val="008156C4"/>
    <w:rsid w:val="008233B6"/>
    <w:rsid w:val="0082454F"/>
    <w:rsid w:val="00827785"/>
    <w:rsid w:val="0083298C"/>
    <w:rsid w:val="00835CB8"/>
    <w:rsid w:val="008366B8"/>
    <w:rsid w:val="00836C04"/>
    <w:rsid w:val="008457F9"/>
    <w:rsid w:val="00846D29"/>
    <w:rsid w:val="00854304"/>
    <w:rsid w:val="008615C1"/>
    <w:rsid w:val="00861851"/>
    <w:rsid w:val="00871866"/>
    <w:rsid w:val="00873B3E"/>
    <w:rsid w:val="0087478E"/>
    <w:rsid w:val="00874B61"/>
    <w:rsid w:val="008825EF"/>
    <w:rsid w:val="0088573F"/>
    <w:rsid w:val="00892EBB"/>
    <w:rsid w:val="008A1409"/>
    <w:rsid w:val="008A4E27"/>
    <w:rsid w:val="008A4E51"/>
    <w:rsid w:val="008A5234"/>
    <w:rsid w:val="008A6B7A"/>
    <w:rsid w:val="008A7DE8"/>
    <w:rsid w:val="008B31A8"/>
    <w:rsid w:val="008B6553"/>
    <w:rsid w:val="008B79D8"/>
    <w:rsid w:val="008C0176"/>
    <w:rsid w:val="008C1ECA"/>
    <w:rsid w:val="008C24A9"/>
    <w:rsid w:val="008C3166"/>
    <w:rsid w:val="008C3F85"/>
    <w:rsid w:val="008D4E19"/>
    <w:rsid w:val="008D5FC7"/>
    <w:rsid w:val="008E4C22"/>
    <w:rsid w:val="008E71F7"/>
    <w:rsid w:val="008F0ACC"/>
    <w:rsid w:val="008F0FBB"/>
    <w:rsid w:val="008F4789"/>
    <w:rsid w:val="00901A40"/>
    <w:rsid w:val="00901FFC"/>
    <w:rsid w:val="009048C8"/>
    <w:rsid w:val="009049E4"/>
    <w:rsid w:val="0091079B"/>
    <w:rsid w:val="009141CF"/>
    <w:rsid w:val="00924570"/>
    <w:rsid w:val="0092466D"/>
    <w:rsid w:val="00925C6B"/>
    <w:rsid w:val="00925D35"/>
    <w:rsid w:val="0093556B"/>
    <w:rsid w:val="00942E72"/>
    <w:rsid w:val="00943FAC"/>
    <w:rsid w:val="00944FAC"/>
    <w:rsid w:val="009506CD"/>
    <w:rsid w:val="00951233"/>
    <w:rsid w:val="009512BC"/>
    <w:rsid w:val="00955DD3"/>
    <w:rsid w:val="00957D83"/>
    <w:rsid w:val="00966F97"/>
    <w:rsid w:val="009703C6"/>
    <w:rsid w:val="00971B23"/>
    <w:rsid w:val="009764F5"/>
    <w:rsid w:val="009768F1"/>
    <w:rsid w:val="009937F9"/>
    <w:rsid w:val="009A13B5"/>
    <w:rsid w:val="009A4702"/>
    <w:rsid w:val="009A70F3"/>
    <w:rsid w:val="009B05BB"/>
    <w:rsid w:val="009B27B3"/>
    <w:rsid w:val="009B30EA"/>
    <w:rsid w:val="009B501D"/>
    <w:rsid w:val="009D00C7"/>
    <w:rsid w:val="009D2442"/>
    <w:rsid w:val="009D3E7A"/>
    <w:rsid w:val="009D42BF"/>
    <w:rsid w:val="009D43AF"/>
    <w:rsid w:val="009D452B"/>
    <w:rsid w:val="009D48D7"/>
    <w:rsid w:val="009D7056"/>
    <w:rsid w:val="009D7310"/>
    <w:rsid w:val="009E20B7"/>
    <w:rsid w:val="009E55C7"/>
    <w:rsid w:val="009E626E"/>
    <w:rsid w:val="009F7B78"/>
    <w:rsid w:val="00A03F9B"/>
    <w:rsid w:val="00A06190"/>
    <w:rsid w:val="00A07EB2"/>
    <w:rsid w:val="00A1255E"/>
    <w:rsid w:val="00A165B5"/>
    <w:rsid w:val="00A30D3B"/>
    <w:rsid w:val="00A35DD7"/>
    <w:rsid w:val="00A363AC"/>
    <w:rsid w:val="00A44AD3"/>
    <w:rsid w:val="00A51709"/>
    <w:rsid w:val="00A530DB"/>
    <w:rsid w:val="00A548F2"/>
    <w:rsid w:val="00A724E7"/>
    <w:rsid w:val="00A72B11"/>
    <w:rsid w:val="00A739F4"/>
    <w:rsid w:val="00A808A1"/>
    <w:rsid w:val="00A8174B"/>
    <w:rsid w:val="00A917C7"/>
    <w:rsid w:val="00A95DFE"/>
    <w:rsid w:val="00AA3E87"/>
    <w:rsid w:val="00AA66DB"/>
    <w:rsid w:val="00AA6979"/>
    <w:rsid w:val="00AA782B"/>
    <w:rsid w:val="00AB1CFF"/>
    <w:rsid w:val="00AB63F7"/>
    <w:rsid w:val="00AB64F9"/>
    <w:rsid w:val="00AB757E"/>
    <w:rsid w:val="00AC164B"/>
    <w:rsid w:val="00AC1D0D"/>
    <w:rsid w:val="00AD0409"/>
    <w:rsid w:val="00AD1421"/>
    <w:rsid w:val="00AD36DE"/>
    <w:rsid w:val="00AE3002"/>
    <w:rsid w:val="00AE588F"/>
    <w:rsid w:val="00AE5E30"/>
    <w:rsid w:val="00AF0820"/>
    <w:rsid w:val="00AF097E"/>
    <w:rsid w:val="00B1249B"/>
    <w:rsid w:val="00B16A44"/>
    <w:rsid w:val="00B175B5"/>
    <w:rsid w:val="00B17C41"/>
    <w:rsid w:val="00B240A4"/>
    <w:rsid w:val="00B249B9"/>
    <w:rsid w:val="00B24A79"/>
    <w:rsid w:val="00B25D7F"/>
    <w:rsid w:val="00B260E0"/>
    <w:rsid w:val="00B271D4"/>
    <w:rsid w:val="00B27618"/>
    <w:rsid w:val="00B2774C"/>
    <w:rsid w:val="00B318BA"/>
    <w:rsid w:val="00B319A8"/>
    <w:rsid w:val="00B31A6C"/>
    <w:rsid w:val="00B33764"/>
    <w:rsid w:val="00B33A06"/>
    <w:rsid w:val="00B3646D"/>
    <w:rsid w:val="00B36715"/>
    <w:rsid w:val="00B3795E"/>
    <w:rsid w:val="00B4052C"/>
    <w:rsid w:val="00B42D0F"/>
    <w:rsid w:val="00B4699A"/>
    <w:rsid w:val="00B500A3"/>
    <w:rsid w:val="00B509B5"/>
    <w:rsid w:val="00B511C8"/>
    <w:rsid w:val="00B51C19"/>
    <w:rsid w:val="00B54552"/>
    <w:rsid w:val="00B5603B"/>
    <w:rsid w:val="00B562B1"/>
    <w:rsid w:val="00B603C6"/>
    <w:rsid w:val="00B606A3"/>
    <w:rsid w:val="00B633BA"/>
    <w:rsid w:val="00B647F2"/>
    <w:rsid w:val="00B71036"/>
    <w:rsid w:val="00B72143"/>
    <w:rsid w:val="00B90E32"/>
    <w:rsid w:val="00B916FB"/>
    <w:rsid w:val="00B92E14"/>
    <w:rsid w:val="00B9309E"/>
    <w:rsid w:val="00B93FF5"/>
    <w:rsid w:val="00B94F56"/>
    <w:rsid w:val="00BA2950"/>
    <w:rsid w:val="00BA30EC"/>
    <w:rsid w:val="00BA770E"/>
    <w:rsid w:val="00BB4453"/>
    <w:rsid w:val="00BB462F"/>
    <w:rsid w:val="00BB55C4"/>
    <w:rsid w:val="00BB5DBA"/>
    <w:rsid w:val="00BB6618"/>
    <w:rsid w:val="00BB76CC"/>
    <w:rsid w:val="00BC66D2"/>
    <w:rsid w:val="00BC6AF6"/>
    <w:rsid w:val="00BD1251"/>
    <w:rsid w:val="00BD4B83"/>
    <w:rsid w:val="00BD4ECA"/>
    <w:rsid w:val="00BE36A4"/>
    <w:rsid w:val="00BF04C4"/>
    <w:rsid w:val="00BF251A"/>
    <w:rsid w:val="00BF7359"/>
    <w:rsid w:val="00BF7E32"/>
    <w:rsid w:val="00C03F30"/>
    <w:rsid w:val="00C04379"/>
    <w:rsid w:val="00C04F7D"/>
    <w:rsid w:val="00C05C64"/>
    <w:rsid w:val="00C070C7"/>
    <w:rsid w:val="00C107B3"/>
    <w:rsid w:val="00C112DA"/>
    <w:rsid w:val="00C11FB3"/>
    <w:rsid w:val="00C12467"/>
    <w:rsid w:val="00C13A8B"/>
    <w:rsid w:val="00C220EC"/>
    <w:rsid w:val="00C22B74"/>
    <w:rsid w:val="00C237C2"/>
    <w:rsid w:val="00C24216"/>
    <w:rsid w:val="00C255AD"/>
    <w:rsid w:val="00C26E7F"/>
    <w:rsid w:val="00C364C0"/>
    <w:rsid w:val="00C45D6E"/>
    <w:rsid w:val="00C81A78"/>
    <w:rsid w:val="00C81C15"/>
    <w:rsid w:val="00C86D91"/>
    <w:rsid w:val="00C8708B"/>
    <w:rsid w:val="00C956D9"/>
    <w:rsid w:val="00C96138"/>
    <w:rsid w:val="00CA0F10"/>
    <w:rsid w:val="00CA1460"/>
    <w:rsid w:val="00CA784B"/>
    <w:rsid w:val="00CC056D"/>
    <w:rsid w:val="00CC25B0"/>
    <w:rsid w:val="00CC4173"/>
    <w:rsid w:val="00CC4E45"/>
    <w:rsid w:val="00CC7FC1"/>
    <w:rsid w:val="00CD0865"/>
    <w:rsid w:val="00CD1842"/>
    <w:rsid w:val="00CD601B"/>
    <w:rsid w:val="00CD6972"/>
    <w:rsid w:val="00CD6B8B"/>
    <w:rsid w:val="00CD76CA"/>
    <w:rsid w:val="00CE0EA7"/>
    <w:rsid w:val="00CE1AF3"/>
    <w:rsid w:val="00CE659A"/>
    <w:rsid w:val="00CF3328"/>
    <w:rsid w:val="00CF64B3"/>
    <w:rsid w:val="00D10493"/>
    <w:rsid w:val="00D1419B"/>
    <w:rsid w:val="00D221AC"/>
    <w:rsid w:val="00D25254"/>
    <w:rsid w:val="00D25804"/>
    <w:rsid w:val="00D26622"/>
    <w:rsid w:val="00D31F23"/>
    <w:rsid w:val="00D432F7"/>
    <w:rsid w:val="00D47464"/>
    <w:rsid w:val="00D47A39"/>
    <w:rsid w:val="00D5051C"/>
    <w:rsid w:val="00D5133F"/>
    <w:rsid w:val="00D55146"/>
    <w:rsid w:val="00D62039"/>
    <w:rsid w:val="00D63828"/>
    <w:rsid w:val="00D63CBA"/>
    <w:rsid w:val="00D641B1"/>
    <w:rsid w:val="00D66559"/>
    <w:rsid w:val="00D66AEC"/>
    <w:rsid w:val="00D700F7"/>
    <w:rsid w:val="00D70507"/>
    <w:rsid w:val="00D7062A"/>
    <w:rsid w:val="00D7436D"/>
    <w:rsid w:val="00D74777"/>
    <w:rsid w:val="00D75606"/>
    <w:rsid w:val="00D77D50"/>
    <w:rsid w:val="00D81768"/>
    <w:rsid w:val="00D82292"/>
    <w:rsid w:val="00D84A29"/>
    <w:rsid w:val="00D85F98"/>
    <w:rsid w:val="00D87A2A"/>
    <w:rsid w:val="00D90951"/>
    <w:rsid w:val="00D936DE"/>
    <w:rsid w:val="00D94A44"/>
    <w:rsid w:val="00D95310"/>
    <w:rsid w:val="00DA6A94"/>
    <w:rsid w:val="00DB06A6"/>
    <w:rsid w:val="00DB5BDB"/>
    <w:rsid w:val="00DB60CE"/>
    <w:rsid w:val="00DB6D5B"/>
    <w:rsid w:val="00DB77EE"/>
    <w:rsid w:val="00DC3062"/>
    <w:rsid w:val="00DC39D0"/>
    <w:rsid w:val="00DC558C"/>
    <w:rsid w:val="00DC5BB3"/>
    <w:rsid w:val="00DD328D"/>
    <w:rsid w:val="00DD5079"/>
    <w:rsid w:val="00DE0B8D"/>
    <w:rsid w:val="00DE452F"/>
    <w:rsid w:val="00DF35CA"/>
    <w:rsid w:val="00DF6319"/>
    <w:rsid w:val="00E00CA3"/>
    <w:rsid w:val="00E06750"/>
    <w:rsid w:val="00E069CF"/>
    <w:rsid w:val="00E10CCE"/>
    <w:rsid w:val="00E11A49"/>
    <w:rsid w:val="00E11C32"/>
    <w:rsid w:val="00E12E35"/>
    <w:rsid w:val="00E157C4"/>
    <w:rsid w:val="00E1611F"/>
    <w:rsid w:val="00E22870"/>
    <w:rsid w:val="00E300E2"/>
    <w:rsid w:val="00E352A1"/>
    <w:rsid w:val="00E4026A"/>
    <w:rsid w:val="00E4610C"/>
    <w:rsid w:val="00E51E67"/>
    <w:rsid w:val="00E5340C"/>
    <w:rsid w:val="00E57D66"/>
    <w:rsid w:val="00E62320"/>
    <w:rsid w:val="00E6429B"/>
    <w:rsid w:val="00E82209"/>
    <w:rsid w:val="00E83176"/>
    <w:rsid w:val="00E8742A"/>
    <w:rsid w:val="00E90161"/>
    <w:rsid w:val="00E90FB2"/>
    <w:rsid w:val="00E94B06"/>
    <w:rsid w:val="00EA1E7A"/>
    <w:rsid w:val="00EA5A2F"/>
    <w:rsid w:val="00EB2685"/>
    <w:rsid w:val="00EB2DF2"/>
    <w:rsid w:val="00EB52DA"/>
    <w:rsid w:val="00EB63E6"/>
    <w:rsid w:val="00EB7D17"/>
    <w:rsid w:val="00EC3BF8"/>
    <w:rsid w:val="00EC5DA0"/>
    <w:rsid w:val="00ED2A66"/>
    <w:rsid w:val="00ED3703"/>
    <w:rsid w:val="00ED3F10"/>
    <w:rsid w:val="00ED70B9"/>
    <w:rsid w:val="00ED7FC9"/>
    <w:rsid w:val="00EE027E"/>
    <w:rsid w:val="00EE17EA"/>
    <w:rsid w:val="00EF04CB"/>
    <w:rsid w:val="00EF1942"/>
    <w:rsid w:val="00EF506D"/>
    <w:rsid w:val="00F06AEA"/>
    <w:rsid w:val="00F07018"/>
    <w:rsid w:val="00F11BFA"/>
    <w:rsid w:val="00F165DE"/>
    <w:rsid w:val="00F21F27"/>
    <w:rsid w:val="00F300A6"/>
    <w:rsid w:val="00F308E1"/>
    <w:rsid w:val="00F33CEF"/>
    <w:rsid w:val="00F36968"/>
    <w:rsid w:val="00F37B94"/>
    <w:rsid w:val="00F416C9"/>
    <w:rsid w:val="00F51CF6"/>
    <w:rsid w:val="00F60C8E"/>
    <w:rsid w:val="00F619B0"/>
    <w:rsid w:val="00F641D8"/>
    <w:rsid w:val="00F66BD8"/>
    <w:rsid w:val="00F72DE1"/>
    <w:rsid w:val="00F756DD"/>
    <w:rsid w:val="00F7775B"/>
    <w:rsid w:val="00F83F92"/>
    <w:rsid w:val="00F876B2"/>
    <w:rsid w:val="00F93EC7"/>
    <w:rsid w:val="00FA05B9"/>
    <w:rsid w:val="00FA2E88"/>
    <w:rsid w:val="00FA3FB0"/>
    <w:rsid w:val="00FC290B"/>
    <w:rsid w:val="00FC3347"/>
    <w:rsid w:val="00FC4E61"/>
    <w:rsid w:val="00FC5F61"/>
    <w:rsid w:val="00FC706D"/>
    <w:rsid w:val="00FD02EC"/>
    <w:rsid w:val="00FD2CCF"/>
    <w:rsid w:val="00FD2CE4"/>
    <w:rsid w:val="00FD4295"/>
    <w:rsid w:val="00FE3EA9"/>
    <w:rsid w:val="00FE443E"/>
    <w:rsid w:val="00FE519A"/>
    <w:rsid w:val="00FE72FE"/>
    <w:rsid w:val="00FF14AF"/>
    <w:rsid w:val="00FF261F"/>
    <w:rsid w:val="00FF3D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05EC"/>
  <w15:chartTrackingRefBased/>
  <w15:docId w15:val="{A9D1EC3D-2FB3-4D9F-B0CD-4004100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4C"/>
    <w:pPr>
      <w:spacing w:after="0" w:line="240" w:lineRule="auto"/>
    </w:pPr>
    <w:rPr>
      <w:rFonts w:ascii="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2407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370F79"/>
    <w:pPr>
      <w:keepNext/>
      <w:spacing w:before="240" w:after="60"/>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customStyle="1" w:styleId="c5">
    <w:name w:val="c5"/>
    <w:basedOn w:val="Normal"/>
    <w:rsid w:val="008A4E27"/>
    <w:pPr>
      <w:autoSpaceDE w:val="0"/>
      <w:autoSpaceDN w:val="0"/>
      <w:spacing w:line="240" w:lineRule="atLeast"/>
      <w:jc w:val="center"/>
    </w:pPr>
    <w:rPr>
      <w:lang w:val="es-ES" w:eastAsia="es-ES"/>
    </w:rPr>
  </w:style>
  <w:style w:type="paragraph" w:customStyle="1" w:styleId="c4">
    <w:name w:val="c4"/>
    <w:basedOn w:val="Normal"/>
    <w:rsid w:val="008A4E27"/>
    <w:pPr>
      <w:widowControl w:val="0"/>
      <w:autoSpaceDE w:val="0"/>
      <w:autoSpaceDN w:val="0"/>
      <w:adjustRightInd w:val="0"/>
      <w:spacing w:line="240" w:lineRule="atLeast"/>
      <w:jc w:val="center"/>
    </w:pPr>
    <w:rPr>
      <w:lang w:val="en-US" w:eastAsia="es-ES"/>
    </w:rPr>
  </w:style>
  <w:style w:type="paragraph" w:customStyle="1" w:styleId="p6">
    <w:name w:val="p6"/>
    <w:basedOn w:val="Normal"/>
    <w:rsid w:val="008A4E27"/>
    <w:pPr>
      <w:widowControl w:val="0"/>
      <w:tabs>
        <w:tab w:val="left" w:pos="1479"/>
      </w:tabs>
      <w:autoSpaceDE w:val="0"/>
      <w:autoSpaceDN w:val="0"/>
      <w:adjustRightInd w:val="0"/>
      <w:spacing w:line="266" w:lineRule="atLeast"/>
      <w:ind w:left="555"/>
      <w:jc w:val="both"/>
    </w:pPr>
    <w:rPr>
      <w:lang w:val="en-US" w:eastAsia="es-ES"/>
    </w:rPr>
  </w:style>
  <w:style w:type="paragraph" w:customStyle="1" w:styleId="p2">
    <w:name w:val="p2"/>
    <w:basedOn w:val="Normal"/>
    <w:rsid w:val="00714DC2"/>
    <w:pPr>
      <w:widowControl w:val="0"/>
      <w:tabs>
        <w:tab w:val="left" w:pos="170"/>
      </w:tabs>
      <w:autoSpaceDE w:val="0"/>
      <w:autoSpaceDN w:val="0"/>
      <w:adjustRightInd w:val="0"/>
      <w:spacing w:line="240" w:lineRule="atLeast"/>
      <w:ind w:left="754"/>
      <w:jc w:val="both"/>
    </w:pPr>
    <w:rPr>
      <w:lang w:val="en-US" w:eastAsia="es-ES"/>
    </w:rPr>
  </w:style>
  <w:style w:type="table" w:customStyle="1" w:styleId="Tabladecuadrcula4-nfasis64">
    <w:name w:val="Tabla de cuadrícula 4 - Énfasis 64"/>
    <w:basedOn w:val="Tablanormal"/>
    <w:next w:val="Tabladecuadrcula4-nfasis6"/>
    <w:uiPriority w:val="49"/>
    <w:rsid w:val="00901A40"/>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90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aliases w:val="Segundo nivel de viñetas"/>
    <w:basedOn w:val="Normal"/>
    <w:qFormat/>
    <w:rsid w:val="009049E4"/>
    <w:pPr>
      <w:ind w:left="720"/>
      <w:contextualSpacing/>
    </w:pPr>
    <w:rPr>
      <w:lang w:val="es-ES" w:eastAsia="es-ES"/>
    </w:rPr>
  </w:style>
  <w:style w:type="character" w:styleId="Refdecomentario">
    <w:name w:val="annotation reference"/>
    <w:basedOn w:val="Fuentedeprrafopredeter"/>
    <w:uiPriority w:val="99"/>
    <w:semiHidden/>
    <w:unhideWhenUsed/>
    <w:rsid w:val="00CD76CA"/>
    <w:rPr>
      <w:sz w:val="16"/>
      <w:szCs w:val="16"/>
    </w:rPr>
  </w:style>
  <w:style w:type="paragraph" w:styleId="Textocomentario">
    <w:name w:val="annotation text"/>
    <w:basedOn w:val="Normal"/>
    <w:link w:val="TextocomentarioCar"/>
    <w:uiPriority w:val="99"/>
    <w:semiHidden/>
    <w:unhideWhenUsed/>
    <w:rsid w:val="00CD76CA"/>
    <w:rPr>
      <w:sz w:val="20"/>
      <w:szCs w:val="20"/>
      <w:lang w:val="es-ES" w:eastAsia="es-ES"/>
    </w:rPr>
  </w:style>
  <w:style w:type="character" w:customStyle="1" w:styleId="TextocomentarioCar">
    <w:name w:val="Texto comentario Car"/>
    <w:basedOn w:val="Fuentedeprrafopredeter"/>
    <w:link w:val="Textocomentario"/>
    <w:uiPriority w:val="99"/>
    <w:semiHidden/>
    <w:rsid w:val="00CD76C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76CA"/>
    <w:rPr>
      <w:b/>
      <w:bCs/>
    </w:rPr>
  </w:style>
  <w:style w:type="character" w:customStyle="1" w:styleId="AsuntodelcomentarioCar">
    <w:name w:val="Asunto del comentario Car"/>
    <w:basedOn w:val="TextocomentarioCar"/>
    <w:link w:val="Asuntodelcomentario"/>
    <w:uiPriority w:val="99"/>
    <w:semiHidden/>
    <w:rsid w:val="00CD76CA"/>
    <w:rPr>
      <w:rFonts w:ascii="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D7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6CA"/>
    <w:rPr>
      <w:rFonts w:ascii="Segoe UI" w:hAnsi="Segoe UI" w:cs="Segoe UI"/>
      <w:sz w:val="18"/>
      <w:szCs w:val="18"/>
      <w:lang w:val="es-ES" w:eastAsia="es-ES"/>
    </w:rPr>
  </w:style>
  <w:style w:type="table" w:customStyle="1" w:styleId="Tabladecuadrcula4-nfasis641">
    <w:name w:val="Tabla de cuadrícula 4 - Énfasis 641"/>
    <w:basedOn w:val="Tablanormal"/>
    <w:next w:val="Tabladecuadrcula4-nfasis6"/>
    <w:uiPriority w:val="49"/>
    <w:rsid w:val="002A5F3D"/>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
    <w:name w:val="Table Grid"/>
    <w:basedOn w:val="Tablanormal"/>
    <w:uiPriority w:val="39"/>
    <w:rsid w:val="00512E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370F79"/>
    <w:rPr>
      <w:rFonts w:ascii="Arial" w:hAnsi="Arial" w:cs="Arial"/>
      <w:b/>
      <w:bCs/>
      <w:sz w:val="26"/>
      <w:szCs w:val="26"/>
      <w:lang w:val="es-ES" w:eastAsia="es-ES"/>
    </w:rPr>
  </w:style>
  <w:style w:type="paragraph" w:styleId="NormalWeb">
    <w:name w:val="Normal (Web)"/>
    <w:basedOn w:val="Normal"/>
    <w:uiPriority w:val="99"/>
    <w:semiHidden/>
    <w:unhideWhenUsed/>
    <w:rsid w:val="000631F2"/>
    <w:pPr>
      <w:spacing w:before="100" w:beforeAutospacing="1" w:after="100" w:afterAutospacing="1"/>
    </w:pPr>
    <w:rPr>
      <w:lang w:eastAsia="es-CO"/>
    </w:rPr>
  </w:style>
  <w:style w:type="paragraph" w:customStyle="1" w:styleId="Prrafodelista1">
    <w:name w:val="Párrafo de lista1"/>
    <w:basedOn w:val="Normal"/>
    <w:rsid w:val="00B93FF5"/>
    <w:pPr>
      <w:suppressAutoHyphens/>
      <w:ind w:left="708"/>
    </w:pPr>
    <w:rPr>
      <w:rFonts w:cs="Calibri"/>
      <w:lang w:val="es-ES" w:eastAsia="ar-SA"/>
    </w:rPr>
  </w:style>
  <w:style w:type="character" w:customStyle="1" w:styleId="Ttulo2Car">
    <w:name w:val="Título 2 Car"/>
    <w:basedOn w:val="Fuentedeprrafopredeter"/>
    <w:link w:val="Ttulo2"/>
    <w:uiPriority w:val="9"/>
    <w:rsid w:val="0024073B"/>
    <w:rPr>
      <w:rFonts w:asciiTheme="majorHAnsi" w:eastAsiaTheme="majorEastAsia" w:hAnsiTheme="majorHAnsi" w:cstheme="majorBidi"/>
      <w:color w:val="2E74B5" w:themeColor="accent1" w:themeShade="BF"/>
      <w:sz w:val="26"/>
      <w:szCs w:val="26"/>
      <w:lang w:eastAsia="es-ES_tradnl"/>
    </w:rPr>
  </w:style>
  <w:style w:type="paragraph" w:styleId="Textoindependiente">
    <w:name w:val="Body Text"/>
    <w:basedOn w:val="Normal"/>
    <w:link w:val="TextoindependienteCar"/>
    <w:uiPriority w:val="1"/>
    <w:qFormat/>
    <w:rsid w:val="002706B4"/>
    <w:pPr>
      <w:widowControl w:val="0"/>
      <w:autoSpaceDE w:val="0"/>
      <w:autoSpaceDN w:val="0"/>
    </w:pPr>
    <w:rPr>
      <w:rFonts w:ascii="Arial" w:eastAsia="Arial" w:hAnsi="Arial" w:cs="Arial"/>
      <w:sz w:val="22"/>
      <w:szCs w:val="22"/>
      <w:lang w:eastAsia="es-CO" w:bidi="es-CO"/>
    </w:rPr>
  </w:style>
  <w:style w:type="character" w:customStyle="1" w:styleId="TextoindependienteCar">
    <w:name w:val="Texto independiente Car"/>
    <w:basedOn w:val="Fuentedeprrafopredeter"/>
    <w:link w:val="Textoindependiente"/>
    <w:uiPriority w:val="1"/>
    <w:rsid w:val="002706B4"/>
    <w:rPr>
      <w:rFonts w:ascii="Arial" w:eastAsia="Arial" w:hAnsi="Arial" w:cs="Arial"/>
      <w:lang w:eastAsia="es-CO" w:bidi="es-CO"/>
    </w:rPr>
  </w:style>
  <w:style w:type="table" w:customStyle="1" w:styleId="Tabladecuadrcula4-nfasis642">
    <w:name w:val="Tabla de cuadrícula 4 - Énfasis 642"/>
    <w:basedOn w:val="Tablanormal"/>
    <w:next w:val="Tabladecuadrcula4-nfasis6"/>
    <w:uiPriority w:val="49"/>
    <w:rsid w:val="0057499F"/>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xmsonormal">
    <w:name w:val="x_msonormal"/>
    <w:basedOn w:val="Normal"/>
    <w:rsid w:val="0061168C"/>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8927">
      <w:bodyDiv w:val="1"/>
      <w:marLeft w:val="0"/>
      <w:marRight w:val="0"/>
      <w:marTop w:val="0"/>
      <w:marBottom w:val="0"/>
      <w:divBdr>
        <w:top w:val="none" w:sz="0" w:space="0" w:color="auto"/>
        <w:left w:val="none" w:sz="0" w:space="0" w:color="auto"/>
        <w:bottom w:val="none" w:sz="0" w:space="0" w:color="auto"/>
        <w:right w:val="none" w:sz="0" w:space="0" w:color="auto"/>
      </w:divBdr>
    </w:div>
    <w:div w:id="631327725">
      <w:bodyDiv w:val="1"/>
      <w:marLeft w:val="0"/>
      <w:marRight w:val="0"/>
      <w:marTop w:val="0"/>
      <w:marBottom w:val="0"/>
      <w:divBdr>
        <w:top w:val="none" w:sz="0" w:space="0" w:color="auto"/>
        <w:left w:val="none" w:sz="0" w:space="0" w:color="auto"/>
        <w:bottom w:val="none" w:sz="0" w:space="0" w:color="auto"/>
        <w:right w:val="none" w:sz="0" w:space="0" w:color="auto"/>
      </w:divBdr>
    </w:div>
    <w:div w:id="743989047">
      <w:bodyDiv w:val="1"/>
      <w:marLeft w:val="0"/>
      <w:marRight w:val="0"/>
      <w:marTop w:val="0"/>
      <w:marBottom w:val="0"/>
      <w:divBdr>
        <w:top w:val="none" w:sz="0" w:space="0" w:color="auto"/>
        <w:left w:val="none" w:sz="0" w:space="0" w:color="auto"/>
        <w:bottom w:val="none" w:sz="0" w:space="0" w:color="auto"/>
        <w:right w:val="none" w:sz="0" w:space="0" w:color="auto"/>
      </w:divBdr>
    </w:div>
    <w:div w:id="1022508785">
      <w:bodyDiv w:val="1"/>
      <w:marLeft w:val="0"/>
      <w:marRight w:val="0"/>
      <w:marTop w:val="0"/>
      <w:marBottom w:val="0"/>
      <w:divBdr>
        <w:top w:val="none" w:sz="0" w:space="0" w:color="auto"/>
        <w:left w:val="none" w:sz="0" w:space="0" w:color="auto"/>
        <w:bottom w:val="none" w:sz="0" w:space="0" w:color="auto"/>
        <w:right w:val="none" w:sz="0" w:space="0" w:color="auto"/>
      </w:divBdr>
    </w:div>
    <w:div w:id="1158762441">
      <w:bodyDiv w:val="1"/>
      <w:marLeft w:val="0"/>
      <w:marRight w:val="0"/>
      <w:marTop w:val="0"/>
      <w:marBottom w:val="0"/>
      <w:divBdr>
        <w:top w:val="none" w:sz="0" w:space="0" w:color="auto"/>
        <w:left w:val="none" w:sz="0" w:space="0" w:color="auto"/>
        <w:bottom w:val="none" w:sz="0" w:space="0" w:color="auto"/>
        <w:right w:val="none" w:sz="0" w:space="0" w:color="auto"/>
      </w:divBdr>
    </w:div>
    <w:div w:id="1195578307">
      <w:bodyDiv w:val="1"/>
      <w:marLeft w:val="0"/>
      <w:marRight w:val="0"/>
      <w:marTop w:val="0"/>
      <w:marBottom w:val="0"/>
      <w:divBdr>
        <w:top w:val="none" w:sz="0" w:space="0" w:color="auto"/>
        <w:left w:val="none" w:sz="0" w:space="0" w:color="auto"/>
        <w:bottom w:val="none" w:sz="0" w:space="0" w:color="auto"/>
        <w:right w:val="none" w:sz="0" w:space="0" w:color="auto"/>
      </w:divBdr>
    </w:div>
    <w:div w:id="1442843106">
      <w:bodyDiv w:val="1"/>
      <w:marLeft w:val="0"/>
      <w:marRight w:val="0"/>
      <w:marTop w:val="0"/>
      <w:marBottom w:val="0"/>
      <w:divBdr>
        <w:top w:val="none" w:sz="0" w:space="0" w:color="auto"/>
        <w:left w:val="none" w:sz="0" w:space="0" w:color="auto"/>
        <w:bottom w:val="none" w:sz="0" w:space="0" w:color="auto"/>
        <w:right w:val="none" w:sz="0" w:space="0" w:color="auto"/>
      </w:divBdr>
    </w:div>
    <w:div w:id="1454246700">
      <w:bodyDiv w:val="1"/>
      <w:marLeft w:val="0"/>
      <w:marRight w:val="0"/>
      <w:marTop w:val="0"/>
      <w:marBottom w:val="0"/>
      <w:divBdr>
        <w:top w:val="none" w:sz="0" w:space="0" w:color="auto"/>
        <w:left w:val="none" w:sz="0" w:space="0" w:color="auto"/>
        <w:bottom w:val="none" w:sz="0" w:space="0" w:color="auto"/>
        <w:right w:val="none" w:sz="0" w:space="0" w:color="auto"/>
      </w:divBdr>
    </w:div>
    <w:div w:id="19329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02E2-216B-4E8E-9444-350E6D41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Andres Lozano Karanauskas</cp:lastModifiedBy>
  <cp:revision>3</cp:revision>
  <cp:lastPrinted>2019-05-10T21:24:00Z</cp:lastPrinted>
  <dcterms:created xsi:type="dcterms:W3CDTF">2019-06-17T17:19:00Z</dcterms:created>
  <dcterms:modified xsi:type="dcterms:W3CDTF">2019-06-17T20:37:00Z</dcterms:modified>
</cp:coreProperties>
</file>