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534AD" w14:textId="77777777" w:rsidR="00914A9A" w:rsidRPr="003C79B3" w:rsidRDefault="00914A9A" w:rsidP="00914A9A">
      <w:pPr>
        <w:jc w:val="center"/>
        <w:rPr>
          <w:rFonts w:ascii="Arial" w:hAnsi="Arial" w:cs="Arial"/>
          <w:b/>
          <w:sz w:val="22"/>
          <w:szCs w:val="22"/>
        </w:rPr>
      </w:pPr>
      <w:r w:rsidRPr="003C79B3">
        <w:rPr>
          <w:rFonts w:ascii="Arial" w:hAnsi="Arial" w:cs="Arial"/>
          <w:b/>
          <w:sz w:val="22"/>
          <w:szCs w:val="22"/>
        </w:rPr>
        <w:t>REPÚBLICA DE COLOMBIA</w:t>
      </w:r>
    </w:p>
    <w:p w14:paraId="7112B493" w14:textId="77777777" w:rsidR="00914A9A" w:rsidRPr="003C79B3" w:rsidRDefault="00914A9A" w:rsidP="00914A9A">
      <w:pPr>
        <w:jc w:val="center"/>
        <w:rPr>
          <w:rFonts w:ascii="Arial" w:hAnsi="Arial" w:cs="Arial"/>
          <w:b/>
          <w:sz w:val="22"/>
          <w:szCs w:val="22"/>
        </w:rPr>
      </w:pPr>
    </w:p>
    <w:p w14:paraId="75A66289" w14:textId="77777777" w:rsidR="00914A9A" w:rsidRPr="003C79B3" w:rsidRDefault="00914A9A" w:rsidP="00914A9A">
      <w:pPr>
        <w:jc w:val="center"/>
        <w:rPr>
          <w:rFonts w:ascii="Arial" w:hAnsi="Arial" w:cs="Arial"/>
          <w:b/>
          <w:sz w:val="22"/>
          <w:szCs w:val="22"/>
        </w:rPr>
      </w:pPr>
      <w:r w:rsidRPr="003C79B3">
        <w:rPr>
          <w:rFonts w:ascii="Arial" w:hAnsi="Arial" w:cs="Arial"/>
          <w:b/>
          <w:sz w:val="22"/>
          <w:szCs w:val="22"/>
        </w:rPr>
        <w:t>COMISIÓN NACIONAL DE CRÉDITO AGROPECUARIO</w:t>
      </w:r>
    </w:p>
    <w:p w14:paraId="0B1F1AC8" w14:textId="77777777" w:rsidR="00914A9A" w:rsidRPr="003C79B3" w:rsidRDefault="00914A9A" w:rsidP="00914A9A">
      <w:pPr>
        <w:jc w:val="center"/>
        <w:rPr>
          <w:rFonts w:ascii="Arial" w:hAnsi="Arial" w:cs="Arial"/>
          <w:b/>
          <w:sz w:val="22"/>
          <w:szCs w:val="22"/>
        </w:rPr>
      </w:pPr>
    </w:p>
    <w:p w14:paraId="43532B9F" w14:textId="11EABFCC" w:rsidR="00914A9A" w:rsidRPr="003C79B3" w:rsidRDefault="00914A9A" w:rsidP="00914A9A">
      <w:pPr>
        <w:jc w:val="center"/>
        <w:rPr>
          <w:rFonts w:ascii="Arial" w:hAnsi="Arial" w:cs="Arial"/>
          <w:b/>
          <w:color w:val="000000" w:themeColor="text1"/>
          <w:sz w:val="22"/>
          <w:szCs w:val="22"/>
        </w:rPr>
      </w:pPr>
      <w:r w:rsidRPr="003C79B3">
        <w:rPr>
          <w:rFonts w:ascii="Arial" w:hAnsi="Arial" w:cs="Arial"/>
          <w:b/>
          <w:color w:val="000000" w:themeColor="text1"/>
          <w:sz w:val="22"/>
          <w:szCs w:val="22"/>
        </w:rPr>
        <w:t xml:space="preserve">RESOLUCIÓN </w:t>
      </w:r>
      <w:proofErr w:type="spellStart"/>
      <w:r w:rsidRPr="003C79B3">
        <w:rPr>
          <w:rFonts w:ascii="Arial" w:hAnsi="Arial" w:cs="Arial"/>
          <w:b/>
          <w:color w:val="000000" w:themeColor="text1"/>
          <w:sz w:val="22"/>
          <w:szCs w:val="22"/>
        </w:rPr>
        <w:t>N°</w:t>
      </w:r>
      <w:proofErr w:type="spellEnd"/>
      <w:r w:rsidRPr="003C79B3">
        <w:rPr>
          <w:rFonts w:ascii="Arial" w:hAnsi="Arial" w:cs="Arial"/>
          <w:b/>
          <w:color w:val="000000" w:themeColor="text1"/>
          <w:sz w:val="22"/>
          <w:szCs w:val="22"/>
        </w:rPr>
        <w:t xml:space="preserve"> </w:t>
      </w:r>
      <w:r w:rsidR="005527E7">
        <w:rPr>
          <w:rFonts w:ascii="Arial" w:hAnsi="Arial" w:cs="Arial"/>
          <w:b/>
          <w:color w:val="FF0000"/>
          <w:sz w:val="22"/>
          <w:szCs w:val="22"/>
        </w:rPr>
        <w:t>X</w:t>
      </w:r>
      <w:r w:rsidRPr="00923FAE">
        <w:rPr>
          <w:rFonts w:ascii="Arial" w:hAnsi="Arial" w:cs="Arial"/>
          <w:b/>
          <w:color w:val="FF0000"/>
          <w:sz w:val="22"/>
          <w:szCs w:val="22"/>
        </w:rPr>
        <w:t xml:space="preserve"> </w:t>
      </w:r>
      <w:r w:rsidRPr="003C79B3">
        <w:rPr>
          <w:rFonts w:ascii="Arial" w:hAnsi="Arial" w:cs="Arial"/>
          <w:b/>
          <w:color w:val="000000" w:themeColor="text1"/>
          <w:sz w:val="22"/>
          <w:szCs w:val="22"/>
        </w:rPr>
        <w:t>de 2020</w:t>
      </w:r>
    </w:p>
    <w:p w14:paraId="68BD38BE" w14:textId="046562FD" w:rsidR="00914A9A" w:rsidRPr="00110E72" w:rsidRDefault="00914A9A" w:rsidP="00914A9A">
      <w:pPr>
        <w:jc w:val="center"/>
        <w:rPr>
          <w:rFonts w:ascii="Arial" w:hAnsi="Arial" w:cs="Arial"/>
          <w:b/>
          <w:color w:val="FF0000"/>
          <w:sz w:val="22"/>
          <w:szCs w:val="22"/>
        </w:rPr>
      </w:pPr>
      <w:r w:rsidRPr="003C79B3">
        <w:rPr>
          <w:rFonts w:ascii="Arial" w:hAnsi="Arial" w:cs="Arial"/>
          <w:b/>
          <w:color w:val="000000" w:themeColor="text1"/>
          <w:sz w:val="22"/>
          <w:szCs w:val="22"/>
        </w:rPr>
        <w:t>(</w:t>
      </w:r>
      <w:r w:rsidR="00923FAE" w:rsidRPr="00110E72">
        <w:rPr>
          <w:rFonts w:ascii="Arial" w:hAnsi="Arial" w:cs="Arial"/>
          <w:b/>
          <w:color w:val="FF0000"/>
          <w:sz w:val="22"/>
          <w:szCs w:val="22"/>
        </w:rPr>
        <w:t>Abril</w:t>
      </w:r>
      <w:r w:rsidRPr="00110E72">
        <w:rPr>
          <w:rFonts w:ascii="Arial" w:hAnsi="Arial" w:cs="Arial"/>
          <w:b/>
          <w:color w:val="FF0000"/>
          <w:sz w:val="22"/>
          <w:szCs w:val="22"/>
        </w:rPr>
        <w:t xml:space="preserve"> </w:t>
      </w:r>
      <w:r w:rsidR="005527E7">
        <w:rPr>
          <w:rFonts w:ascii="Arial" w:hAnsi="Arial" w:cs="Arial"/>
          <w:b/>
          <w:color w:val="FF0000"/>
          <w:sz w:val="22"/>
          <w:szCs w:val="22"/>
        </w:rPr>
        <w:t>XX</w:t>
      </w:r>
      <w:r w:rsidRPr="00110E72">
        <w:rPr>
          <w:rFonts w:ascii="Arial" w:hAnsi="Arial" w:cs="Arial"/>
          <w:b/>
          <w:color w:val="FF0000"/>
          <w:sz w:val="22"/>
          <w:szCs w:val="22"/>
        </w:rPr>
        <w:t>)</w:t>
      </w:r>
    </w:p>
    <w:p w14:paraId="3E36C3E4" w14:textId="77777777" w:rsidR="00914A9A" w:rsidRPr="003C79B3" w:rsidRDefault="00914A9A" w:rsidP="00914A9A">
      <w:pPr>
        <w:jc w:val="center"/>
        <w:rPr>
          <w:rFonts w:ascii="Arial" w:hAnsi="Arial" w:cs="Arial"/>
          <w:b/>
          <w:color w:val="000000" w:themeColor="text1"/>
          <w:sz w:val="22"/>
          <w:szCs w:val="22"/>
        </w:rPr>
      </w:pPr>
    </w:p>
    <w:p w14:paraId="5605C6C3" w14:textId="12F5B4D8" w:rsidR="00914A9A" w:rsidRPr="003C79B3" w:rsidRDefault="00914A9A" w:rsidP="00914A9A">
      <w:pPr>
        <w:ind w:firstLine="280"/>
        <w:jc w:val="center"/>
        <w:rPr>
          <w:rFonts w:ascii="Arial" w:hAnsi="Arial" w:cs="Arial"/>
          <w:color w:val="000000" w:themeColor="text1"/>
          <w:sz w:val="22"/>
          <w:szCs w:val="22"/>
          <w:lang w:eastAsia="es-ES"/>
        </w:rPr>
      </w:pPr>
      <w:r w:rsidRPr="003C79B3">
        <w:rPr>
          <w:rFonts w:ascii="Arial" w:hAnsi="Arial" w:cs="Arial"/>
          <w:color w:val="000000" w:themeColor="text1"/>
          <w:sz w:val="22"/>
          <w:szCs w:val="22"/>
          <w:lang w:eastAsia="es-ES"/>
        </w:rPr>
        <w:t>“</w:t>
      </w:r>
      <w:r w:rsidR="00047151" w:rsidRPr="003C79B3">
        <w:rPr>
          <w:rFonts w:ascii="Arial" w:hAnsi="Arial" w:cs="Arial"/>
          <w:color w:val="000000" w:themeColor="text1"/>
          <w:sz w:val="22"/>
          <w:szCs w:val="22"/>
          <w:lang w:eastAsia="es-ES"/>
        </w:rPr>
        <w:t>Por la cual se modifica la Resolución 18 de 2019 y se define la “</w:t>
      </w:r>
      <w:r w:rsidR="00E01B78">
        <w:rPr>
          <w:rFonts w:ascii="Arial" w:hAnsi="Arial" w:cs="Arial"/>
          <w:color w:val="000000"/>
          <w:sz w:val="21"/>
          <w:szCs w:val="21"/>
          <w:lang w:eastAsia="es-ES"/>
        </w:rPr>
        <w:t xml:space="preserve">LEC Forward </w:t>
      </w:r>
      <w:r w:rsidR="00A50BE7">
        <w:rPr>
          <w:rFonts w:ascii="Arial" w:hAnsi="Arial" w:cs="Arial"/>
          <w:color w:val="000000"/>
          <w:sz w:val="21"/>
          <w:szCs w:val="21"/>
          <w:lang w:eastAsia="es-ES"/>
        </w:rPr>
        <w:t>ante la Emergencia</w:t>
      </w:r>
      <w:r w:rsidRPr="003C79B3">
        <w:rPr>
          <w:rFonts w:ascii="Arial" w:hAnsi="Arial" w:cs="Arial"/>
          <w:bCs/>
          <w:color w:val="000000"/>
          <w:sz w:val="22"/>
          <w:szCs w:val="22"/>
          <w:lang w:eastAsia="es-ES"/>
        </w:rPr>
        <w:t>”</w:t>
      </w:r>
      <w:r w:rsidRPr="003C79B3">
        <w:rPr>
          <w:rFonts w:ascii="Arial" w:hAnsi="Arial" w:cs="Arial"/>
          <w:color w:val="000000" w:themeColor="text1"/>
          <w:sz w:val="22"/>
          <w:szCs w:val="22"/>
          <w:lang w:eastAsia="es-ES"/>
        </w:rPr>
        <w:t>.</w:t>
      </w:r>
    </w:p>
    <w:p w14:paraId="36A704E0" w14:textId="77777777" w:rsidR="00914A9A" w:rsidRPr="003C79B3" w:rsidRDefault="00914A9A" w:rsidP="00914A9A">
      <w:pPr>
        <w:ind w:firstLine="280"/>
        <w:jc w:val="both"/>
        <w:rPr>
          <w:rFonts w:ascii="Arial" w:hAnsi="Arial" w:cs="Arial"/>
          <w:color w:val="000000" w:themeColor="text1"/>
          <w:sz w:val="22"/>
          <w:szCs w:val="22"/>
          <w:lang w:eastAsia="es-ES"/>
        </w:rPr>
      </w:pPr>
    </w:p>
    <w:p w14:paraId="4072DDA4" w14:textId="77777777" w:rsidR="00914A9A" w:rsidRPr="003C79B3" w:rsidRDefault="00914A9A" w:rsidP="00914A9A">
      <w:pPr>
        <w:ind w:firstLine="280"/>
        <w:jc w:val="center"/>
        <w:outlineLvl w:val="1"/>
        <w:rPr>
          <w:rFonts w:ascii="Arial" w:hAnsi="Arial" w:cs="Arial"/>
          <w:b/>
          <w:bCs/>
          <w:color w:val="000000"/>
          <w:sz w:val="22"/>
          <w:szCs w:val="22"/>
          <w:lang w:eastAsia="es-ES"/>
        </w:rPr>
      </w:pPr>
    </w:p>
    <w:p w14:paraId="11ADB55F" w14:textId="77777777" w:rsidR="00914A9A" w:rsidRPr="003C79B3" w:rsidRDefault="00914A9A" w:rsidP="00914A9A">
      <w:pPr>
        <w:ind w:firstLine="280"/>
        <w:jc w:val="center"/>
        <w:outlineLvl w:val="1"/>
        <w:rPr>
          <w:rFonts w:ascii="Arial" w:hAnsi="Arial" w:cs="Arial"/>
          <w:b/>
          <w:bCs/>
          <w:color w:val="000000"/>
          <w:sz w:val="22"/>
          <w:szCs w:val="22"/>
          <w:lang w:eastAsia="es-ES"/>
        </w:rPr>
      </w:pPr>
      <w:r w:rsidRPr="003C79B3">
        <w:rPr>
          <w:rFonts w:ascii="Arial" w:hAnsi="Arial" w:cs="Arial"/>
          <w:b/>
          <w:bCs/>
          <w:color w:val="000000"/>
          <w:sz w:val="22"/>
          <w:szCs w:val="22"/>
          <w:lang w:eastAsia="es-ES"/>
        </w:rPr>
        <w:t>LA COMISIÓN NACIONAL DE CRÉDITO AGROPECUARIO</w:t>
      </w:r>
    </w:p>
    <w:p w14:paraId="5013BA5A" w14:textId="77777777" w:rsidR="00914A9A" w:rsidRPr="003C79B3" w:rsidRDefault="00914A9A" w:rsidP="00914A9A">
      <w:pPr>
        <w:ind w:firstLine="280"/>
        <w:jc w:val="both"/>
        <w:outlineLvl w:val="1"/>
        <w:rPr>
          <w:rFonts w:ascii="Arial" w:hAnsi="Arial" w:cs="Arial"/>
          <w:color w:val="000000"/>
          <w:sz w:val="22"/>
          <w:szCs w:val="22"/>
          <w:lang w:eastAsia="es-ES"/>
        </w:rPr>
      </w:pPr>
    </w:p>
    <w:p w14:paraId="1FE0FB6B" w14:textId="77777777" w:rsidR="00914A9A" w:rsidRPr="003C79B3" w:rsidRDefault="00914A9A" w:rsidP="00914A9A">
      <w:pPr>
        <w:jc w:val="both"/>
        <w:rPr>
          <w:rFonts w:ascii="Arial" w:hAnsi="Arial" w:cs="Arial"/>
          <w:color w:val="000000"/>
          <w:sz w:val="22"/>
          <w:szCs w:val="22"/>
          <w:lang w:eastAsia="es-ES"/>
        </w:rPr>
      </w:pPr>
      <w:r w:rsidRPr="003C79B3">
        <w:rPr>
          <w:rFonts w:ascii="Arial" w:hAnsi="Arial" w:cs="Arial"/>
          <w:color w:val="000000"/>
          <w:sz w:val="22"/>
          <w:szCs w:val="22"/>
          <w:lang w:eastAsia="es-ES"/>
        </w:rPr>
        <w:t>En ejercicio de las facultades conferidas por los artículos 218 y 220 del Estatuto Orgánico del Sistema Financiero, las Leyes 16 de 1990, 101 de 1993, 1133 de 2007, 1731 de 2014, el Decreto-Ley 2371 de 2015, y los Decretos 1313 de 1990, 626 de 1994, 1071 de 2015, y</w:t>
      </w:r>
    </w:p>
    <w:p w14:paraId="151A00DB" w14:textId="77777777" w:rsidR="00914A9A" w:rsidRPr="003C79B3" w:rsidRDefault="00914A9A" w:rsidP="00914A9A">
      <w:pPr>
        <w:jc w:val="both"/>
        <w:rPr>
          <w:rFonts w:ascii="Arial" w:hAnsi="Arial" w:cs="Arial"/>
          <w:color w:val="000000"/>
          <w:sz w:val="22"/>
          <w:szCs w:val="22"/>
          <w:lang w:eastAsia="es-ES"/>
        </w:rPr>
      </w:pPr>
    </w:p>
    <w:p w14:paraId="219F81E4" w14:textId="77777777" w:rsidR="00914A9A" w:rsidRPr="00463CB2" w:rsidRDefault="00914A9A" w:rsidP="00914A9A">
      <w:pPr>
        <w:jc w:val="center"/>
        <w:rPr>
          <w:rFonts w:ascii="Arial" w:hAnsi="Arial" w:cs="Arial"/>
          <w:color w:val="000000"/>
          <w:sz w:val="22"/>
          <w:szCs w:val="22"/>
          <w:lang w:eastAsia="es-ES"/>
        </w:rPr>
      </w:pPr>
      <w:r w:rsidRPr="003C79B3">
        <w:rPr>
          <w:rFonts w:ascii="Arial" w:hAnsi="Arial" w:cs="Arial"/>
          <w:b/>
          <w:color w:val="000000"/>
          <w:sz w:val="22"/>
          <w:szCs w:val="22"/>
          <w:lang w:eastAsia="es-ES"/>
        </w:rPr>
        <w:t>CONSIDERANDO:</w:t>
      </w:r>
    </w:p>
    <w:p w14:paraId="7F46C15F" w14:textId="77777777" w:rsidR="00914A9A" w:rsidRPr="00463CB2" w:rsidRDefault="00914A9A" w:rsidP="00914A9A">
      <w:pPr>
        <w:jc w:val="both"/>
        <w:rPr>
          <w:rFonts w:ascii="Arial" w:hAnsi="Arial" w:cs="Arial"/>
          <w:color w:val="000000"/>
          <w:sz w:val="22"/>
          <w:szCs w:val="22"/>
          <w:lang w:eastAsia="es-ES"/>
        </w:rPr>
      </w:pPr>
    </w:p>
    <w:p w14:paraId="58754688"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r w:rsidRPr="00463CB2">
        <w:rPr>
          <w:rFonts w:ascii="Arial" w:eastAsia="Arial" w:hAnsi="Arial" w:cs="Arial"/>
          <w:b/>
          <w:color w:val="000000" w:themeColor="text1"/>
          <w:sz w:val="22"/>
          <w:szCs w:val="22"/>
          <w:lang w:eastAsia="es-CO" w:bidi="es-CO"/>
        </w:rPr>
        <w:t>Primero</w:t>
      </w:r>
      <w:r w:rsidRPr="00463CB2">
        <w:rPr>
          <w:rFonts w:ascii="Arial" w:eastAsia="Arial" w:hAnsi="Arial" w:cs="Arial"/>
          <w:color w:val="000000" w:themeColor="text1"/>
          <w:sz w:val="22"/>
          <w:szCs w:val="22"/>
          <w:lang w:eastAsia="es-CO" w:bidi="es-CO"/>
        </w:rPr>
        <w:t xml:space="preserve">. Que de acuerdo con lo dispuesto en </w:t>
      </w:r>
      <w:r w:rsidRPr="00463CB2">
        <w:rPr>
          <w:rFonts w:ascii="Arial" w:hAnsi="Arial" w:cs="Arial"/>
          <w:sz w:val="22"/>
          <w:szCs w:val="22"/>
        </w:rPr>
        <w:t>los literales b., c., f. y n. de</w:t>
      </w:r>
      <w:r w:rsidRPr="00463CB2">
        <w:rPr>
          <w:rFonts w:ascii="Arial" w:eastAsia="Arial" w:hAnsi="Arial" w:cs="Arial"/>
          <w:color w:val="000000" w:themeColor="text1"/>
          <w:sz w:val="22"/>
          <w:szCs w:val="22"/>
          <w:lang w:eastAsia="es-CO" w:bidi="es-CO"/>
        </w:rPr>
        <w:t>l numeral 2. del artículo 218 del Estatuto Orgánico del Sistema Financiero, la Comisión Nacional de Crédito Agropecuario - CNCA, como organismo rector del financiamiento y del manejo de riesgos del sector agropecuario podrá:</w:t>
      </w:r>
    </w:p>
    <w:p w14:paraId="261FB456"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p>
    <w:p w14:paraId="2956146C"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r w:rsidRPr="00463CB2">
        <w:rPr>
          <w:rFonts w:ascii="Arial" w:eastAsia="Arial" w:hAnsi="Arial" w:cs="Arial"/>
          <w:color w:val="000000" w:themeColor="text1"/>
          <w:sz w:val="22"/>
          <w:szCs w:val="22"/>
          <w:lang w:eastAsia="es-CO" w:bidi="es-CO"/>
        </w:rPr>
        <w:t xml:space="preserve">“(…) </w:t>
      </w:r>
    </w:p>
    <w:p w14:paraId="665A2A28"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p>
    <w:p w14:paraId="2C101FD7"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r w:rsidRPr="00463CB2">
        <w:rPr>
          <w:rFonts w:ascii="Arial" w:eastAsia="Arial" w:hAnsi="Arial" w:cs="Arial"/>
          <w:color w:val="000000" w:themeColor="text1"/>
          <w:sz w:val="22"/>
          <w:szCs w:val="22"/>
          <w:lang w:eastAsia="es-CO" w:bidi="es-CO"/>
        </w:rPr>
        <w:t>b) Establecer las actividades, costos y los porcentajes de estos últimos que podrán ser objeto de financiación por parte de las entidades que integran el Sistema Nacional de Crédito Agropecuario.</w:t>
      </w:r>
    </w:p>
    <w:p w14:paraId="01A256BF"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p>
    <w:p w14:paraId="4BE6967B"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r w:rsidRPr="00463CB2">
        <w:rPr>
          <w:rFonts w:ascii="Arial" w:eastAsia="Arial" w:hAnsi="Arial" w:cs="Arial"/>
          <w:color w:val="000000" w:themeColor="text1"/>
          <w:sz w:val="22"/>
          <w:szCs w:val="22"/>
          <w:lang w:eastAsia="es-CO" w:bidi="es-CO"/>
        </w:rPr>
        <w:t xml:space="preserve">c) Fijar, dentro de los límites de carácter general que señale la Junta Directiva del Banco de la República, las políticas sobre las tasas de interés que se cobrarán a los usuarios del crédito por parte de las entidades que integran el Sistema Nacional de Crédito Agropecuario. </w:t>
      </w:r>
    </w:p>
    <w:p w14:paraId="6827D642"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p>
    <w:p w14:paraId="5B5384A8"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r w:rsidRPr="00463CB2">
        <w:rPr>
          <w:rFonts w:ascii="Arial" w:eastAsia="Arial" w:hAnsi="Arial" w:cs="Arial"/>
          <w:color w:val="000000" w:themeColor="text1"/>
          <w:sz w:val="22"/>
          <w:szCs w:val="22"/>
          <w:lang w:eastAsia="es-CO" w:bidi="es-CO"/>
        </w:rPr>
        <w:t>(…)</w:t>
      </w:r>
    </w:p>
    <w:p w14:paraId="2E150357"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p>
    <w:p w14:paraId="772DE011" w14:textId="2668BDCA" w:rsidR="00914A9A"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r w:rsidRPr="00463CB2">
        <w:rPr>
          <w:rFonts w:ascii="Arial" w:eastAsia="Arial" w:hAnsi="Arial" w:cs="Arial"/>
          <w:color w:val="000000" w:themeColor="text1"/>
          <w:sz w:val="22"/>
          <w:szCs w:val="22"/>
          <w:lang w:eastAsia="es-CO" w:bidi="es-CO"/>
        </w:rPr>
        <w:t xml:space="preserve">f) Fijar las tasas y márgenes de redescuento de las operaciones que apruebe Finagro. </w:t>
      </w:r>
    </w:p>
    <w:p w14:paraId="1B45B5CB" w14:textId="77777777" w:rsidR="00A357A0" w:rsidRPr="00463CB2" w:rsidRDefault="00A357A0" w:rsidP="00914A9A">
      <w:pPr>
        <w:widowControl w:val="0"/>
        <w:autoSpaceDE w:val="0"/>
        <w:autoSpaceDN w:val="0"/>
        <w:ind w:right="81"/>
        <w:jc w:val="both"/>
        <w:rPr>
          <w:rFonts w:ascii="Arial" w:eastAsia="Arial" w:hAnsi="Arial" w:cs="Arial"/>
          <w:color w:val="000000" w:themeColor="text1"/>
          <w:sz w:val="22"/>
          <w:szCs w:val="22"/>
          <w:lang w:eastAsia="es-CO" w:bidi="es-CO"/>
        </w:rPr>
      </w:pPr>
    </w:p>
    <w:p w14:paraId="35F9E69C"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r w:rsidRPr="00463CB2">
        <w:rPr>
          <w:rFonts w:ascii="Arial" w:eastAsia="Arial" w:hAnsi="Arial" w:cs="Arial"/>
          <w:color w:val="000000" w:themeColor="text1"/>
          <w:sz w:val="22"/>
          <w:szCs w:val="22"/>
          <w:lang w:eastAsia="es-CO" w:bidi="es-CO"/>
        </w:rPr>
        <w:t>(…)</w:t>
      </w:r>
    </w:p>
    <w:p w14:paraId="4F10C104"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p>
    <w:p w14:paraId="50C9A832"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r w:rsidRPr="00463CB2">
        <w:rPr>
          <w:rFonts w:ascii="Arial" w:eastAsia="Arial" w:hAnsi="Arial" w:cs="Arial"/>
          <w:color w:val="000000" w:themeColor="text1"/>
          <w:sz w:val="22"/>
          <w:szCs w:val="22"/>
          <w:lang w:eastAsia="es-CO" w:bidi="es-CO"/>
        </w:rPr>
        <w:t xml:space="preserve">n) Establecer, con base en la política trazada por el Ministerio de Agricultura y Desarrollo Rural, los términos y las condiciones financieras de las Líneas Especiales Crédito – LEC, del Incentivo a la Capitalización Rural - ICR y de otros incentivos o subsidios del Estado que estén relacionados exclusivamente con el crédito y/o riesgo agropecuario y rural. </w:t>
      </w:r>
    </w:p>
    <w:p w14:paraId="634655A9"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p>
    <w:p w14:paraId="1C5129E2"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r w:rsidRPr="00463CB2">
        <w:rPr>
          <w:rFonts w:ascii="Arial" w:eastAsia="Arial" w:hAnsi="Arial" w:cs="Arial"/>
          <w:color w:val="000000" w:themeColor="text1"/>
          <w:sz w:val="22"/>
          <w:szCs w:val="22"/>
          <w:lang w:eastAsia="es-CO" w:bidi="es-CO"/>
        </w:rPr>
        <w:t>(…)”</w:t>
      </w:r>
    </w:p>
    <w:p w14:paraId="70C095BF"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p>
    <w:p w14:paraId="273DA7A4"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r w:rsidRPr="00463CB2">
        <w:rPr>
          <w:rFonts w:ascii="Arial" w:hAnsi="Arial" w:cs="Arial"/>
          <w:b/>
          <w:color w:val="000000" w:themeColor="text1"/>
          <w:sz w:val="22"/>
          <w:szCs w:val="22"/>
        </w:rPr>
        <w:t>Segundo</w:t>
      </w:r>
      <w:r w:rsidRPr="00463CB2">
        <w:rPr>
          <w:rFonts w:ascii="Arial" w:eastAsia="Arial" w:hAnsi="Arial" w:cs="Arial"/>
          <w:b/>
          <w:color w:val="000000" w:themeColor="text1"/>
          <w:sz w:val="22"/>
          <w:szCs w:val="22"/>
          <w:lang w:eastAsia="es-CO" w:bidi="es-CO"/>
        </w:rPr>
        <w:t xml:space="preserve">. </w:t>
      </w:r>
      <w:r w:rsidRPr="00463CB2">
        <w:rPr>
          <w:rFonts w:ascii="Arial" w:eastAsia="Arial" w:hAnsi="Arial" w:cs="Arial"/>
          <w:color w:val="000000" w:themeColor="text1"/>
          <w:sz w:val="22"/>
          <w:szCs w:val="22"/>
          <w:lang w:eastAsia="es-CO" w:bidi="es-CO"/>
        </w:rPr>
        <w:t xml:space="preserve">Que de acuerdo con lo dispuesto en el artículo 220 del Estatuto Orgánico del Sistema Financiero, “La Comisión Nacional de Crédito Agropecuario definirá las líneas de crédito que otorgarán las entidades que integran el Sistema Nacional de Crédito </w:t>
      </w:r>
      <w:r w:rsidRPr="00463CB2">
        <w:rPr>
          <w:rFonts w:ascii="Arial" w:eastAsia="Arial" w:hAnsi="Arial" w:cs="Arial"/>
          <w:color w:val="000000" w:themeColor="text1"/>
          <w:sz w:val="22"/>
          <w:szCs w:val="22"/>
          <w:lang w:eastAsia="es-CO" w:bidi="es-CO"/>
        </w:rPr>
        <w:lastRenderedPageBreak/>
        <w:t>Agropecuario, y las instituciones bancarias y financieras debidamente autorizadas por la Superintendencia Bancaria, para conceder créditos con destino al sector agropecuario, afines y similares (…)”.</w:t>
      </w:r>
    </w:p>
    <w:p w14:paraId="0354FDBF" w14:textId="77777777" w:rsidR="00914A9A" w:rsidRPr="00463CB2" w:rsidRDefault="00914A9A" w:rsidP="00914A9A">
      <w:pPr>
        <w:jc w:val="both"/>
        <w:rPr>
          <w:rFonts w:ascii="Arial" w:hAnsi="Arial" w:cs="Arial"/>
          <w:strike/>
          <w:color w:val="000000"/>
          <w:sz w:val="22"/>
          <w:szCs w:val="22"/>
          <w:lang w:eastAsia="es-ES"/>
        </w:rPr>
      </w:pPr>
    </w:p>
    <w:p w14:paraId="6E974095" w14:textId="2071A7F2" w:rsidR="00914A9A" w:rsidRPr="003C79B3" w:rsidRDefault="00914A9A" w:rsidP="00914A9A">
      <w:pPr>
        <w:jc w:val="both"/>
        <w:rPr>
          <w:rFonts w:ascii="Arial" w:hAnsi="Arial" w:cs="Arial"/>
          <w:color w:val="000000" w:themeColor="text1"/>
          <w:sz w:val="22"/>
          <w:szCs w:val="22"/>
          <w:lang w:eastAsia="es-ES"/>
        </w:rPr>
      </w:pPr>
      <w:r w:rsidRPr="00463CB2">
        <w:rPr>
          <w:rFonts w:ascii="Arial" w:hAnsi="Arial" w:cs="Arial"/>
          <w:b/>
          <w:bCs/>
          <w:color w:val="000000" w:themeColor="text1"/>
          <w:sz w:val="22"/>
          <w:szCs w:val="22"/>
          <w:lang w:eastAsia="es-ES"/>
        </w:rPr>
        <w:t xml:space="preserve">Tercero. </w:t>
      </w:r>
      <w:r w:rsidRPr="00463CB2">
        <w:rPr>
          <w:rFonts w:ascii="Arial" w:hAnsi="Arial" w:cs="Arial"/>
          <w:color w:val="000000" w:themeColor="text1"/>
          <w:sz w:val="22"/>
          <w:szCs w:val="22"/>
          <w:lang w:eastAsia="es-ES"/>
        </w:rPr>
        <w:t xml:space="preserve">Que mediante Resolución 385 del 12 de marzo de 2020, el </w:t>
      </w:r>
      <w:r w:rsidR="000E199E">
        <w:rPr>
          <w:rFonts w:ascii="Arial" w:hAnsi="Arial" w:cs="Arial"/>
          <w:color w:val="000000" w:themeColor="text1"/>
          <w:sz w:val="22"/>
          <w:szCs w:val="22"/>
          <w:lang w:eastAsia="es-ES"/>
        </w:rPr>
        <w:t>M</w:t>
      </w:r>
      <w:r w:rsidRPr="00463CB2">
        <w:rPr>
          <w:rFonts w:ascii="Arial" w:hAnsi="Arial" w:cs="Arial"/>
          <w:color w:val="000000" w:themeColor="text1"/>
          <w:sz w:val="22"/>
          <w:szCs w:val="22"/>
          <w:lang w:eastAsia="es-ES"/>
        </w:rPr>
        <w:t xml:space="preserve">inistro de Salud y Protección Social, de acuerdo con lo establecido en el artículo 69 de la Ley 1753 de 2015, declaró el </w:t>
      </w:r>
      <w:r w:rsidR="00931BDC">
        <w:rPr>
          <w:rFonts w:ascii="Arial" w:hAnsi="Arial" w:cs="Arial"/>
          <w:color w:val="000000" w:themeColor="text1"/>
          <w:sz w:val="22"/>
          <w:szCs w:val="22"/>
          <w:lang w:eastAsia="es-ES"/>
        </w:rPr>
        <w:t>E</w:t>
      </w:r>
      <w:r w:rsidRPr="00463CB2">
        <w:rPr>
          <w:rFonts w:ascii="Arial" w:hAnsi="Arial" w:cs="Arial"/>
          <w:color w:val="000000" w:themeColor="text1"/>
          <w:sz w:val="22"/>
          <w:szCs w:val="22"/>
          <w:lang w:eastAsia="es-ES"/>
        </w:rPr>
        <w:t xml:space="preserve">stado de </w:t>
      </w:r>
      <w:r w:rsidR="00931BDC">
        <w:rPr>
          <w:rFonts w:ascii="Arial" w:hAnsi="Arial" w:cs="Arial"/>
          <w:color w:val="000000" w:themeColor="text1"/>
          <w:sz w:val="22"/>
          <w:szCs w:val="22"/>
          <w:lang w:eastAsia="es-ES"/>
        </w:rPr>
        <w:t>E</w:t>
      </w:r>
      <w:r w:rsidRPr="00463CB2">
        <w:rPr>
          <w:rFonts w:ascii="Arial" w:hAnsi="Arial" w:cs="Arial"/>
          <w:color w:val="000000" w:themeColor="text1"/>
          <w:sz w:val="22"/>
          <w:szCs w:val="22"/>
          <w:lang w:eastAsia="es-ES"/>
        </w:rPr>
        <w:t xml:space="preserve">mergencia </w:t>
      </w:r>
      <w:r w:rsidR="00931BDC">
        <w:rPr>
          <w:rFonts w:ascii="Arial" w:hAnsi="Arial" w:cs="Arial"/>
          <w:color w:val="000000" w:themeColor="text1"/>
          <w:sz w:val="22"/>
          <w:szCs w:val="22"/>
          <w:lang w:eastAsia="es-ES"/>
        </w:rPr>
        <w:t>S</w:t>
      </w:r>
      <w:r w:rsidRPr="00463CB2">
        <w:rPr>
          <w:rFonts w:ascii="Arial" w:hAnsi="Arial" w:cs="Arial"/>
          <w:color w:val="000000" w:themeColor="text1"/>
          <w:sz w:val="22"/>
          <w:szCs w:val="22"/>
          <w:lang w:eastAsia="es-ES"/>
        </w:rPr>
        <w:t>anitaria por causa del nuevo coronavirus COVID-19 en todo</w:t>
      </w:r>
      <w:r w:rsidR="0084654E" w:rsidRPr="00463CB2">
        <w:rPr>
          <w:rFonts w:ascii="Arial" w:hAnsi="Arial" w:cs="Arial"/>
          <w:color w:val="000000" w:themeColor="text1"/>
          <w:sz w:val="22"/>
          <w:szCs w:val="22"/>
          <w:lang w:eastAsia="es-ES"/>
        </w:rPr>
        <w:t xml:space="preserve"> el territorio nacional hasta el</w:t>
      </w:r>
      <w:r w:rsidRPr="00463CB2">
        <w:rPr>
          <w:rFonts w:ascii="Arial" w:hAnsi="Arial" w:cs="Arial"/>
          <w:color w:val="000000" w:themeColor="text1"/>
          <w:sz w:val="22"/>
          <w:szCs w:val="22"/>
          <w:lang w:eastAsia="es-ES"/>
        </w:rPr>
        <w:t xml:space="preserve"> 30 de mayo de 2020 y, en virtud de </w:t>
      </w:r>
      <w:proofErr w:type="gramStart"/>
      <w:r w:rsidRPr="00463CB2">
        <w:rPr>
          <w:rFonts w:ascii="Arial" w:hAnsi="Arial" w:cs="Arial"/>
          <w:color w:val="000000" w:themeColor="text1"/>
          <w:sz w:val="22"/>
          <w:szCs w:val="22"/>
          <w:lang w:eastAsia="es-ES"/>
        </w:rPr>
        <w:t>la misma</w:t>
      </w:r>
      <w:proofErr w:type="gramEnd"/>
      <w:r w:rsidRPr="00463CB2">
        <w:rPr>
          <w:rFonts w:ascii="Arial" w:hAnsi="Arial" w:cs="Arial"/>
          <w:color w:val="000000" w:themeColor="text1"/>
          <w:sz w:val="22"/>
          <w:szCs w:val="22"/>
          <w:lang w:eastAsia="es-ES"/>
        </w:rPr>
        <w:t xml:space="preserve">, adoptó una serie de medidas con el </w:t>
      </w:r>
      <w:r w:rsidRPr="003C79B3">
        <w:rPr>
          <w:rFonts w:ascii="Arial" w:hAnsi="Arial" w:cs="Arial"/>
          <w:color w:val="000000" w:themeColor="text1"/>
          <w:sz w:val="22"/>
          <w:szCs w:val="22"/>
          <w:lang w:eastAsia="es-ES"/>
        </w:rPr>
        <w:t>objeto de prevenir y controlar la propagación del COVID-19 y mitigar sus efectos.</w:t>
      </w:r>
    </w:p>
    <w:p w14:paraId="3B9576D0" w14:textId="77777777" w:rsidR="00914A9A" w:rsidRPr="003C79B3" w:rsidRDefault="00914A9A" w:rsidP="00914A9A">
      <w:pPr>
        <w:jc w:val="both"/>
        <w:rPr>
          <w:rFonts w:ascii="Arial" w:hAnsi="Arial" w:cs="Arial"/>
          <w:color w:val="000000" w:themeColor="text1"/>
          <w:sz w:val="22"/>
          <w:szCs w:val="22"/>
          <w:lang w:eastAsia="es-ES"/>
        </w:rPr>
      </w:pPr>
    </w:p>
    <w:p w14:paraId="6FFBDC81" w14:textId="518094B3" w:rsidR="00914A9A" w:rsidRPr="003C79B3" w:rsidRDefault="00914A9A" w:rsidP="00914A9A">
      <w:pPr>
        <w:jc w:val="both"/>
        <w:rPr>
          <w:rFonts w:ascii="Arial" w:hAnsi="Arial" w:cs="Arial"/>
          <w:color w:val="000000" w:themeColor="text1"/>
          <w:sz w:val="22"/>
          <w:szCs w:val="22"/>
          <w:lang w:eastAsia="es-ES"/>
        </w:rPr>
      </w:pPr>
      <w:r w:rsidRPr="003C79B3">
        <w:rPr>
          <w:rFonts w:ascii="Arial" w:hAnsi="Arial" w:cs="Arial"/>
          <w:b/>
          <w:bCs/>
          <w:color w:val="000000" w:themeColor="text1"/>
          <w:sz w:val="22"/>
          <w:szCs w:val="22"/>
          <w:lang w:eastAsia="es-ES"/>
        </w:rPr>
        <w:t>Cuarto</w:t>
      </w:r>
      <w:r w:rsidRPr="003C79B3">
        <w:rPr>
          <w:rFonts w:ascii="Arial" w:hAnsi="Arial" w:cs="Arial"/>
          <w:color w:val="000000" w:themeColor="text1"/>
          <w:sz w:val="22"/>
          <w:szCs w:val="22"/>
          <w:lang w:eastAsia="es-ES"/>
        </w:rPr>
        <w:t>. Que mediante Decreto 417 del 17 de marzo de 2020, se declaró el Estado de Emergencia Económica, Social y Ecológica en todo el territorio Nacional, por el término de 30 días. Una de las finalidades de esta medida es garantizar la suficiencia y accesibilidad de la población a los alimentos neces</w:t>
      </w:r>
      <w:r w:rsidR="00F45CD2" w:rsidRPr="003C79B3">
        <w:rPr>
          <w:rFonts w:ascii="Arial" w:hAnsi="Arial" w:cs="Arial"/>
          <w:color w:val="000000" w:themeColor="text1"/>
          <w:sz w:val="22"/>
          <w:szCs w:val="22"/>
          <w:lang w:eastAsia="es-ES"/>
        </w:rPr>
        <w:t>arios para su subsistencia. El Gobierno N</w:t>
      </w:r>
      <w:r w:rsidRPr="003C79B3">
        <w:rPr>
          <w:rFonts w:ascii="Arial" w:hAnsi="Arial" w:cs="Arial"/>
          <w:color w:val="000000" w:themeColor="text1"/>
          <w:sz w:val="22"/>
          <w:szCs w:val="22"/>
          <w:lang w:eastAsia="es-ES"/>
        </w:rPr>
        <w:t xml:space="preserve">acional adoptará las acciones necesarias para garantizar el permanente funcionamiento del sistema de abastecimiento y seguridad alimentaria en todo el territorio nacional. </w:t>
      </w:r>
    </w:p>
    <w:p w14:paraId="2C4743FD" w14:textId="77777777" w:rsidR="00914A9A" w:rsidRPr="003C79B3" w:rsidRDefault="00914A9A" w:rsidP="00914A9A">
      <w:pPr>
        <w:jc w:val="both"/>
        <w:rPr>
          <w:rFonts w:ascii="Arial" w:hAnsi="Arial" w:cs="Arial"/>
          <w:bCs/>
          <w:color w:val="000000"/>
          <w:sz w:val="22"/>
          <w:szCs w:val="22"/>
          <w:lang w:eastAsia="es-ES"/>
        </w:rPr>
      </w:pPr>
    </w:p>
    <w:p w14:paraId="15FB11C7" w14:textId="77777777" w:rsidR="00FA3167" w:rsidRDefault="00914A9A" w:rsidP="00914A9A">
      <w:pPr>
        <w:jc w:val="both"/>
        <w:rPr>
          <w:rFonts w:ascii="Arial" w:hAnsi="Arial" w:cs="Arial"/>
          <w:color w:val="000000" w:themeColor="text1"/>
          <w:sz w:val="22"/>
          <w:szCs w:val="22"/>
          <w:lang w:eastAsia="es-ES"/>
        </w:rPr>
      </w:pPr>
      <w:r w:rsidRPr="003C79B3">
        <w:rPr>
          <w:rFonts w:ascii="Arial" w:hAnsi="Arial" w:cs="Arial"/>
          <w:b/>
          <w:bCs/>
          <w:color w:val="000000" w:themeColor="text1"/>
          <w:sz w:val="22"/>
          <w:szCs w:val="22"/>
          <w:lang w:eastAsia="es-ES"/>
        </w:rPr>
        <w:t xml:space="preserve">Quinto. </w:t>
      </w:r>
      <w:proofErr w:type="gramStart"/>
      <w:r w:rsidRPr="003C79B3">
        <w:rPr>
          <w:rFonts w:ascii="Arial" w:hAnsi="Arial" w:cs="Arial"/>
          <w:color w:val="000000" w:themeColor="text1"/>
          <w:sz w:val="22"/>
          <w:szCs w:val="22"/>
          <w:lang w:eastAsia="es-ES"/>
        </w:rPr>
        <w:t>Que</w:t>
      </w:r>
      <w:proofErr w:type="gramEnd"/>
      <w:r w:rsidRPr="003C79B3">
        <w:rPr>
          <w:rFonts w:ascii="Arial" w:hAnsi="Arial" w:cs="Arial"/>
          <w:color w:val="000000" w:themeColor="text1"/>
          <w:sz w:val="22"/>
          <w:szCs w:val="22"/>
          <w:lang w:eastAsia="es-ES"/>
        </w:rPr>
        <w:t xml:space="preserve"> ante la declaratoria de Emergencia Económica, Social y Ecológica, se hace necesario tomar medidas </w:t>
      </w:r>
      <w:r w:rsidR="00713801">
        <w:rPr>
          <w:rFonts w:ascii="Arial" w:hAnsi="Arial" w:cs="Arial"/>
          <w:color w:val="000000" w:themeColor="text1"/>
          <w:sz w:val="22"/>
          <w:szCs w:val="22"/>
          <w:lang w:eastAsia="es-ES"/>
        </w:rPr>
        <w:t>para mantener y promover la capacidad de producción del sector agropecuario,</w:t>
      </w:r>
      <w:r w:rsidR="00713801" w:rsidRPr="003C79B3">
        <w:rPr>
          <w:rFonts w:ascii="Arial" w:hAnsi="Arial" w:cs="Arial"/>
          <w:color w:val="000000" w:themeColor="text1"/>
          <w:sz w:val="22"/>
          <w:szCs w:val="22"/>
          <w:lang w:eastAsia="es-ES"/>
        </w:rPr>
        <w:t xml:space="preserve"> </w:t>
      </w:r>
      <w:r w:rsidRPr="003C79B3">
        <w:rPr>
          <w:rFonts w:ascii="Arial" w:hAnsi="Arial" w:cs="Arial"/>
          <w:color w:val="000000" w:themeColor="text1"/>
          <w:sz w:val="22"/>
          <w:szCs w:val="22"/>
          <w:lang w:eastAsia="es-ES"/>
        </w:rPr>
        <w:t xml:space="preserve">mitigar </w:t>
      </w:r>
      <w:r w:rsidR="00031D1A">
        <w:rPr>
          <w:rFonts w:ascii="Arial" w:hAnsi="Arial" w:cs="Arial"/>
          <w:color w:val="000000" w:themeColor="text1"/>
          <w:sz w:val="22"/>
          <w:szCs w:val="22"/>
          <w:lang w:eastAsia="es-ES"/>
        </w:rPr>
        <w:t>los</w:t>
      </w:r>
      <w:r w:rsidRPr="003C79B3">
        <w:rPr>
          <w:rFonts w:ascii="Arial" w:hAnsi="Arial" w:cs="Arial"/>
          <w:color w:val="000000" w:themeColor="text1"/>
          <w:sz w:val="22"/>
          <w:szCs w:val="22"/>
          <w:lang w:eastAsia="es-ES"/>
        </w:rPr>
        <w:t xml:space="preserve"> efectos adversos </w:t>
      </w:r>
      <w:r w:rsidR="00713801">
        <w:rPr>
          <w:rFonts w:ascii="Arial" w:hAnsi="Arial" w:cs="Arial"/>
          <w:color w:val="000000" w:themeColor="text1"/>
          <w:sz w:val="22"/>
          <w:szCs w:val="22"/>
          <w:lang w:eastAsia="es-ES"/>
        </w:rPr>
        <w:t>que se puedan ocasionar sobre</w:t>
      </w:r>
      <w:r w:rsidR="008F65EC" w:rsidRPr="003C79B3">
        <w:rPr>
          <w:rFonts w:ascii="Arial" w:hAnsi="Arial" w:cs="Arial"/>
          <w:color w:val="000000" w:themeColor="text1"/>
          <w:sz w:val="22"/>
          <w:szCs w:val="22"/>
          <w:lang w:eastAsia="es-ES"/>
        </w:rPr>
        <w:t xml:space="preserve"> la actividad productiva agropecuaria</w:t>
      </w:r>
      <w:r w:rsidR="00713801">
        <w:rPr>
          <w:rFonts w:ascii="Arial" w:hAnsi="Arial" w:cs="Arial"/>
          <w:color w:val="000000" w:themeColor="text1"/>
          <w:sz w:val="22"/>
          <w:szCs w:val="22"/>
          <w:lang w:eastAsia="es-ES"/>
        </w:rPr>
        <w:t xml:space="preserve"> y </w:t>
      </w:r>
      <w:r w:rsidR="008F65EC" w:rsidRPr="003C79B3">
        <w:rPr>
          <w:rFonts w:ascii="Arial" w:hAnsi="Arial" w:cs="Arial"/>
          <w:color w:val="000000" w:themeColor="text1"/>
          <w:sz w:val="22"/>
          <w:szCs w:val="22"/>
          <w:lang w:eastAsia="es-ES"/>
        </w:rPr>
        <w:t>para promover el abastecimiento alimentario</w:t>
      </w:r>
      <w:r w:rsidR="0064188C" w:rsidRPr="003C79B3">
        <w:rPr>
          <w:rFonts w:ascii="Arial" w:hAnsi="Arial" w:cs="Arial"/>
          <w:color w:val="000000" w:themeColor="text1"/>
          <w:sz w:val="22"/>
          <w:szCs w:val="22"/>
          <w:lang w:eastAsia="es-ES"/>
        </w:rPr>
        <w:t xml:space="preserve">. </w:t>
      </w:r>
    </w:p>
    <w:p w14:paraId="1786500A" w14:textId="77777777" w:rsidR="00FA3167" w:rsidRDefault="00FA3167" w:rsidP="00914A9A">
      <w:pPr>
        <w:jc w:val="both"/>
        <w:rPr>
          <w:rFonts w:ascii="Arial" w:hAnsi="Arial" w:cs="Arial"/>
          <w:color w:val="000000" w:themeColor="text1"/>
          <w:sz w:val="22"/>
          <w:szCs w:val="22"/>
          <w:lang w:eastAsia="es-ES"/>
        </w:rPr>
      </w:pPr>
    </w:p>
    <w:p w14:paraId="6D27EE60" w14:textId="05A85CCE" w:rsidR="00FD74E9" w:rsidRDefault="00580A64" w:rsidP="00914A9A">
      <w:pPr>
        <w:jc w:val="both"/>
        <w:rPr>
          <w:rFonts w:ascii="Arial" w:hAnsi="Arial" w:cs="Arial"/>
          <w:color w:val="000000" w:themeColor="text1"/>
          <w:sz w:val="22"/>
          <w:szCs w:val="22"/>
        </w:rPr>
      </w:pPr>
      <w:r w:rsidRPr="003C79B3">
        <w:rPr>
          <w:rFonts w:ascii="Arial" w:hAnsi="Arial" w:cs="Arial"/>
          <w:b/>
          <w:color w:val="000000" w:themeColor="text1"/>
          <w:sz w:val="22"/>
          <w:szCs w:val="22"/>
          <w:lang w:eastAsia="es-ES"/>
        </w:rPr>
        <w:t>Sexto</w:t>
      </w:r>
      <w:r>
        <w:rPr>
          <w:rFonts w:ascii="Arial" w:hAnsi="Arial" w:cs="Arial"/>
          <w:color w:val="000000" w:themeColor="text1"/>
          <w:sz w:val="22"/>
          <w:szCs w:val="22"/>
          <w:lang w:eastAsia="es-ES"/>
        </w:rPr>
        <w:t xml:space="preserve">. Que mediante el Decreto 486 del </w:t>
      </w:r>
      <w:r w:rsidR="00DD5CE4">
        <w:rPr>
          <w:rFonts w:ascii="Arial" w:hAnsi="Arial" w:cs="Arial"/>
          <w:color w:val="000000" w:themeColor="text1"/>
          <w:sz w:val="22"/>
          <w:szCs w:val="22"/>
          <w:lang w:eastAsia="es-ES"/>
        </w:rPr>
        <w:t xml:space="preserve">27 de marzo de 2020 </w:t>
      </w:r>
      <w:r w:rsidR="0009702F">
        <w:rPr>
          <w:rFonts w:ascii="Arial" w:hAnsi="Arial" w:cs="Arial"/>
          <w:color w:val="000000" w:themeColor="text1"/>
          <w:sz w:val="22"/>
          <w:szCs w:val="22"/>
          <w:lang w:eastAsia="es-ES"/>
        </w:rPr>
        <w:t xml:space="preserve">del Ministerio de Agricultura y Desarrollo Rural </w:t>
      </w:r>
      <w:r w:rsidR="00E56515" w:rsidRPr="00161D10">
        <w:rPr>
          <w:rFonts w:ascii="Arial" w:hAnsi="Arial" w:cs="Arial"/>
          <w:color w:val="000000" w:themeColor="text1"/>
          <w:sz w:val="22"/>
          <w:szCs w:val="22"/>
        </w:rPr>
        <w:t>se crea un incentivo económico para los trabajadores y productores del campo y se adoptan otras medidas para garantizar el permanente funcionamiento del sistema de abastecimiento de productos agropecuarios y seguridad alimentaria en todo el territorio nacional, dentro del Estado de Emergencia Económica, Social y Ecológica</w:t>
      </w:r>
      <w:r w:rsidR="00183260">
        <w:rPr>
          <w:rFonts w:ascii="Arial" w:hAnsi="Arial" w:cs="Arial"/>
          <w:color w:val="000000" w:themeColor="text1"/>
          <w:sz w:val="22"/>
          <w:szCs w:val="22"/>
        </w:rPr>
        <w:t xml:space="preserve">. </w:t>
      </w:r>
    </w:p>
    <w:p w14:paraId="0238B403" w14:textId="545E9A73" w:rsidR="007A42FA" w:rsidRDefault="007A42FA" w:rsidP="00914A9A">
      <w:pPr>
        <w:jc w:val="both"/>
        <w:rPr>
          <w:rFonts w:ascii="Arial" w:hAnsi="Arial" w:cs="Arial"/>
          <w:color w:val="000000" w:themeColor="text1"/>
          <w:sz w:val="22"/>
          <w:szCs w:val="22"/>
        </w:rPr>
      </w:pPr>
    </w:p>
    <w:p w14:paraId="78D6B45A" w14:textId="2E882C70" w:rsidR="00BB4274" w:rsidRDefault="007A42FA" w:rsidP="00914A9A">
      <w:pPr>
        <w:jc w:val="both"/>
        <w:rPr>
          <w:rFonts w:ascii="Arial" w:hAnsi="Arial" w:cs="Arial"/>
          <w:color w:val="000000" w:themeColor="text1"/>
          <w:sz w:val="22"/>
          <w:szCs w:val="22"/>
        </w:rPr>
      </w:pPr>
      <w:r w:rsidRPr="003C79B3">
        <w:rPr>
          <w:rFonts w:ascii="Arial" w:hAnsi="Arial" w:cs="Arial"/>
          <w:b/>
          <w:color w:val="000000" w:themeColor="text1"/>
          <w:sz w:val="22"/>
          <w:szCs w:val="22"/>
          <w:lang w:eastAsia="es-ES"/>
        </w:rPr>
        <w:t>S</w:t>
      </w:r>
      <w:r>
        <w:rPr>
          <w:rFonts w:ascii="Arial" w:hAnsi="Arial" w:cs="Arial"/>
          <w:b/>
          <w:color w:val="000000" w:themeColor="text1"/>
          <w:sz w:val="22"/>
          <w:szCs w:val="22"/>
          <w:lang w:eastAsia="es-ES"/>
        </w:rPr>
        <w:t xml:space="preserve">éptimo. </w:t>
      </w:r>
      <w:r>
        <w:rPr>
          <w:rFonts w:ascii="Arial" w:hAnsi="Arial" w:cs="Arial"/>
          <w:color w:val="000000" w:themeColor="text1"/>
          <w:sz w:val="22"/>
          <w:szCs w:val="22"/>
        </w:rPr>
        <w:t>Que en los considerandos de</w:t>
      </w:r>
      <w:r w:rsidR="0009702F">
        <w:rPr>
          <w:rFonts w:ascii="Arial" w:hAnsi="Arial" w:cs="Arial"/>
          <w:color w:val="000000" w:themeColor="text1"/>
          <w:sz w:val="22"/>
          <w:szCs w:val="22"/>
        </w:rPr>
        <w:t xml:space="preserve">l </w:t>
      </w:r>
      <w:r>
        <w:rPr>
          <w:rFonts w:ascii="Arial" w:hAnsi="Arial" w:cs="Arial"/>
          <w:color w:val="000000" w:themeColor="text1"/>
          <w:sz w:val="22"/>
          <w:szCs w:val="22"/>
        </w:rPr>
        <w:t>Decreto</w:t>
      </w:r>
      <w:r w:rsidR="0009702F">
        <w:rPr>
          <w:rFonts w:ascii="Arial" w:hAnsi="Arial" w:cs="Arial"/>
          <w:color w:val="000000" w:themeColor="text1"/>
          <w:sz w:val="22"/>
          <w:szCs w:val="22"/>
        </w:rPr>
        <w:t xml:space="preserve"> 486 de 2020</w:t>
      </w:r>
      <w:r w:rsidR="00D707DB">
        <w:rPr>
          <w:rFonts w:ascii="Arial" w:hAnsi="Arial" w:cs="Arial"/>
          <w:color w:val="000000" w:themeColor="text1"/>
          <w:sz w:val="22"/>
          <w:szCs w:val="22"/>
        </w:rPr>
        <w:t xml:space="preserve"> se indica que se requiere implementar instrumentos para disminuir </w:t>
      </w:r>
      <w:r w:rsidR="005A5377">
        <w:rPr>
          <w:rFonts w:ascii="Arial" w:hAnsi="Arial" w:cs="Arial"/>
          <w:color w:val="000000" w:themeColor="text1"/>
          <w:sz w:val="22"/>
          <w:szCs w:val="22"/>
        </w:rPr>
        <w:t>l</w:t>
      </w:r>
      <w:r w:rsidR="00D707DB">
        <w:rPr>
          <w:rFonts w:ascii="Arial" w:hAnsi="Arial" w:cs="Arial"/>
          <w:color w:val="000000" w:themeColor="text1"/>
          <w:sz w:val="22"/>
          <w:szCs w:val="22"/>
        </w:rPr>
        <w:t>os costos asociados al crédito</w:t>
      </w:r>
      <w:r w:rsidR="005A5377">
        <w:rPr>
          <w:rFonts w:ascii="Arial" w:hAnsi="Arial" w:cs="Arial"/>
          <w:color w:val="000000" w:themeColor="text1"/>
          <w:sz w:val="22"/>
          <w:szCs w:val="22"/>
        </w:rPr>
        <w:t>,</w:t>
      </w:r>
      <w:r w:rsidR="00D707DB">
        <w:rPr>
          <w:rFonts w:ascii="Arial" w:hAnsi="Arial" w:cs="Arial"/>
          <w:color w:val="000000" w:themeColor="text1"/>
          <w:sz w:val="22"/>
          <w:szCs w:val="22"/>
        </w:rPr>
        <w:t xml:space="preserve"> que permitan la continuidad de las actividades productivas</w:t>
      </w:r>
      <w:r w:rsidR="004F3E16">
        <w:rPr>
          <w:rFonts w:ascii="Arial" w:hAnsi="Arial" w:cs="Arial"/>
          <w:color w:val="000000" w:themeColor="text1"/>
          <w:sz w:val="22"/>
          <w:szCs w:val="22"/>
        </w:rPr>
        <w:t xml:space="preserve"> de</w:t>
      </w:r>
      <w:r w:rsidR="00D707DB">
        <w:rPr>
          <w:rFonts w:ascii="Arial" w:hAnsi="Arial" w:cs="Arial"/>
          <w:color w:val="000000" w:themeColor="text1"/>
          <w:sz w:val="22"/>
          <w:szCs w:val="22"/>
        </w:rPr>
        <w:t xml:space="preserve"> los trabajadores del campo, como responsables del abastecimiento de </w:t>
      </w:r>
      <w:r w:rsidR="005A5377">
        <w:rPr>
          <w:rFonts w:ascii="Arial" w:hAnsi="Arial" w:cs="Arial"/>
          <w:color w:val="000000" w:themeColor="text1"/>
          <w:sz w:val="22"/>
          <w:szCs w:val="22"/>
        </w:rPr>
        <w:t>alimentos</w:t>
      </w:r>
      <w:r w:rsidR="00D707DB">
        <w:rPr>
          <w:rFonts w:ascii="Arial" w:hAnsi="Arial" w:cs="Arial"/>
          <w:color w:val="000000" w:themeColor="text1"/>
          <w:sz w:val="22"/>
          <w:szCs w:val="22"/>
        </w:rPr>
        <w:t xml:space="preserve"> al territorio </w:t>
      </w:r>
      <w:r w:rsidR="005A5377">
        <w:rPr>
          <w:rFonts w:ascii="Arial" w:hAnsi="Arial" w:cs="Arial"/>
          <w:color w:val="000000" w:themeColor="text1"/>
          <w:sz w:val="22"/>
          <w:szCs w:val="22"/>
        </w:rPr>
        <w:t>nacional</w:t>
      </w:r>
      <w:r w:rsidR="00D707DB">
        <w:rPr>
          <w:rFonts w:ascii="Arial" w:hAnsi="Arial" w:cs="Arial"/>
          <w:color w:val="000000" w:themeColor="text1"/>
          <w:sz w:val="22"/>
          <w:szCs w:val="22"/>
        </w:rPr>
        <w:t>, a fin de propender por la seguridad alimentaria nacional</w:t>
      </w:r>
      <w:r w:rsidR="005A5377">
        <w:rPr>
          <w:rFonts w:ascii="Arial" w:hAnsi="Arial" w:cs="Arial"/>
          <w:color w:val="000000" w:themeColor="text1"/>
          <w:sz w:val="22"/>
          <w:szCs w:val="22"/>
        </w:rPr>
        <w:t xml:space="preserve">. </w:t>
      </w:r>
      <w:r w:rsidR="00EB1745">
        <w:rPr>
          <w:rFonts w:ascii="Arial" w:hAnsi="Arial" w:cs="Arial"/>
          <w:color w:val="000000" w:themeColor="text1"/>
          <w:sz w:val="22"/>
          <w:szCs w:val="22"/>
        </w:rPr>
        <w:t xml:space="preserve">En los considerandos también se </w:t>
      </w:r>
      <w:r w:rsidR="00C22B22">
        <w:rPr>
          <w:rFonts w:ascii="Arial" w:hAnsi="Arial" w:cs="Arial"/>
          <w:color w:val="000000" w:themeColor="text1"/>
          <w:sz w:val="22"/>
          <w:szCs w:val="22"/>
        </w:rPr>
        <w:t>menciona</w:t>
      </w:r>
      <w:r w:rsidR="00EB1745">
        <w:rPr>
          <w:rFonts w:ascii="Arial" w:hAnsi="Arial" w:cs="Arial"/>
          <w:color w:val="000000" w:themeColor="text1"/>
          <w:sz w:val="22"/>
          <w:szCs w:val="22"/>
        </w:rPr>
        <w:t xml:space="preserve"> que</w:t>
      </w:r>
      <w:r w:rsidR="00C22B22">
        <w:rPr>
          <w:rFonts w:ascii="Arial" w:hAnsi="Arial" w:cs="Arial"/>
          <w:color w:val="000000" w:themeColor="text1"/>
          <w:sz w:val="22"/>
          <w:szCs w:val="22"/>
        </w:rPr>
        <w:t>,</w:t>
      </w:r>
      <w:r w:rsidR="00EB1745">
        <w:rPr>
          <w:rFonts w:ascii="Arial" w:hAnsi="Arial" w:cs="Arial"/>
          <w:color w:val="000000" w:themeColor="text1"/>
          <w:sz w:val="22"/>
          <w:szCs w:val="22"/>
        </w:rPr>
        <w:t xml:space="preserve"> </w:t>
      </w:r>
      <w:r w:rsidR="00212034">
        <w:rPr>
          <w:rFonts w:ascii="Arial" w:hAnsi="Arial" w:cs="Arial"/>
          <w:color w:val="000000" w:themeColor="text1"/>
          <w:sz w:val="22"/>
          <w:szCs w:val="22"/>
        </w:rPr>
        <w:t xml:space="preserve">con el fin de beneficiar a los trabajadores del campo </w:t>
      </w:r>
      <w:r w:rsidR="00921793">
        <w:rPr>
          <w:rFonts w:ascii="Arial" w:hAnsi="Arial" w:cs="Arial"/>
          <w:color w:val="000000" w:themeColor="text1"/>
          <w:sz w:val="22"/>
          <w:szCs w:val="22"/>
        </w:rPr>
        <w:t>que puedan verse afectados por la Emergencia Económica, Social y Ecológica</w:t>
      </w:r>
      <w:r w:rsidR="00C22B22">
        <w:rPr>
          <w:rFonts w:ascii="Arial" w:hAnsi="Arial" w:cs="Arial"/>
          <w:color w:val="000000" w:themeColor="text1"/>
          <w:sz w:val="22"/>
          <w:szCs w:val="22"/>
        </w:rPr>
        <w:t>,</w:t>
      </w:r>
      <w:r w:rsidR="00921793">
        <w:rPr>
          <w:rFonts w:ascii="Arial" w:hAnsi="Arial" w:cs="Arial"/>
          <w:color w:val="000000" w:themeColor="text1"/>
          <w:sz w:val="22"/>
          <w:szCs w:val="22"/>
        </w:rPr>
        <w:t xml:space="preserve"> se hace necesario cubrir</w:t>
      </w:r>
      <w:r w:rsidR="00A30F8E">
        <w:rPr>
          <w:rFonts w:ascii="Arial" w:hAnsi="Arial" w:cs="Arial"/>
          <w:color w:val="000000" w:themeColor="text1"/>
          <w:sz w:val="22"/>
          <w:szCs w:val="22"/>
        </w:rPr>
        <w:t xml:space="preserve"> no solo la tasa de interés sino adicionalmente los </w:t>
      </w:r>
      <w:r w:rsidR="00EB1745">
        <w:rPr>
          <w:rFonts w:ascii="Arial" w:hAnsi="Arial" w:cs="Arial"/>
          <w:color w:val="000000" w:themeColor="text1"/>
          <w:sz w:val="22"/>
          <w:szCs w:val="22"/>
        </w:rPr>
        <w:t>costos</w:t>
      </w:r>
      <w:r w:rsidR="00A30F8E">
        <w:rPr>
          <w:rFonts w:ascii="Arial" w:hAnsi="Arial" w:cs="Arial"/>
          <w:color w:val="000000" w:themeColor="text1"/>
          <w:sz w:val="22"/>
          <w:szCs w:val="22"/>
        </w:rPr>
        <w:t xml:space="preserve"> y </w:t>
      </w:r>
      <w:r w:rsidR="009029BA">
        <w:rPr>
          <w:rFonts w:ascii="Arial" w:hAnsi="Arial" w:cs="Arial"/>
          <w:color w:val="000000" w:themeColor="text1"/>
          <w:sz w:val="22"/>
          <w:szCs w:val="22"/>
        </w:rPr>
        <w:t>g</w:t>
      </w:r>
      <w:r w:rsidR="00A30F8E">
        <w:rPr>
          <w:rFonts w:ascii="Arial" w:hAnsi="Arial" w:cs="Arial"/>
          <w:color w:val="000000" w:themeColor="text1"/>
          <w:sz w:val="22"/>
          <w:szCs w:val="22"/>
        </w:rPr>
        <w:t xml:space="preserve">astos financieros asociados a las operaciones de </w:t>
      </w:r>
      <w:r w:rsidR="009029BA">
        <w:rPr>
          <w:rFonts w:ascii="Arial" w:hAnsi="Arial" w:cs="Arial"/>
          <w:color w:val="000000" w:themeColor="text1"/>
          <w:sz w:val="22"/>
          <w:szCs w:val="22"/>
        </w:rPr>
        <w:t>cr</w:t>
      </w:r>
      <w:r w:rsidR="00A30F8E">
        <w:rPr>
          <w:rFonts w:ascii="Arial" w:hAnsi="Arial" w:cs="Arial"/>
          <w:color w:val="000000" w:themeColor="text1"/>
          <w:sz w:val="22"/>
          <w:szCs w:val="22"/>
        </w:rPr>
        <w:t>éd</w:t>
      </w:r>
      <w:r w:rsidR="009029BA">
        <w:rPr>
          <w:rFonts w:ascii="Arial" w:hAnsi="Arial" w:cs="Arial"/>
          <w:color w:val="000000" w:themeColor="text1"/>
          <w:sz w:val="22"/>
          <w:szCs w:val="22"/>
        </w:rPr>
        <w:t>it</w:t>
      </w:r>
      <w:r w:rsidR="00A30F8E">
        <w:rPr>
          <w:rFonts w:ascii="Arial" w:hAnsi="Arial" w:cs="Arial"/>
          <w:color w:val="000000" w:themeColor="text1"/>
          <w:sz w:val="22"/>
          <w:szCs w:val="22"/>
        </w:rPr>
        <w:t xml:space="preserve">o </w:t>
      </w:r>
      <w:r w:rsidR="009029BA">
        <w:rPr>
          <w:rFonts w:ascii="Arial" w:hAnsi="Arial" w:cs="Arial"/>
          <w:color w:val="000000" w:themeColor="text1"/>
          <w:sz w:val="22"/>
          <w:szCs w:val="22"/>
        </w:rPr>
        <w:t>a</w:t>
      </w:r>
      <w:r w:rsidR="00A30F8E">
        <w:rPr>
          <w:rFonts w:ascii="Arial" w:hAnsi="Arial" w:cs="Arial"/>
          <w:color w:val="000000" w:themeColor="text1"/>
          <w:sz w:val="22"/>
          <w:szCs w:val="22"/>
        </w:rPr>
        <w:t>gropecuario</w:t>
      </w:r>
      <w:r w:rsidR="00FD74E9">
        <w:rPr>
          <w:rFonts w:ascii="Arial" w:hAnsi="Arial" w:cs="Arial"/>
          <w:color w:val="000000" w:themeColor="text1"/>
          <w:sz w:val="22"/>
          <w:szCs w:val="22"/>
        </w:rPr>
        <w:t>, e</w:t>
      </w:r>
      <w:r w:rsidR="009029BA">
        <w:rPr>
          <w:rFonts w:ascii="Arial" w:hAnsi="Arial" w:cs="Arial"/>
          <w:color w:val="000000" w:themeColor="text1"/>
          <w:sz w:val="22"/>
          <w:szCs w:val="22"/>
        </w:rPr>
        <w:t xml:space="preserve">ntre los cuales se encuentran </w:t>
      </w:r>
      <w:r w:rsidR="00B5039E">
        <w:rPr>
          <w:rFonts w:ascii="Arial" w:hAnsi="Arial" w:cs="Arial"/>
          <w:color w:val="000000" w:themeColor="text1"/>
          <w:sz w:val="22"/>
          <w:szCs w:val="22"/>
        </w:rPr>
        <w:t>las comisiones de las garantías del FAG y las comisiones financieras para el acceso a la Línea Especial de Crédito</w:t>
      </w:r>
      <w:r w:rsidR="005E2727">
        <w:rPr>
          <w:rFonts w:ascii="Arial" w:hAnsi="Arial" w:cs="Arial"/>
          <w:color w:val="000000" w:themeColor="text1"/>
          <w:sz w:val="22"/>
          <w:szCs w:val="22"/>
        </w:rPr>
        <w:t xml:space="preserve"> del forward con anticipo.</w:t>
      </w:r>
    </w:p>
    <w:p w14:paraId="1303B9FD" w14:textId="77777777" w:rsidR="00BB4274" w:rsidRDefault="00BB4274" w:rsidP="00914A9A">
      <w:pPr>
        <w:jc w:val="both"/>
        <w:rPr>
          <w:rFonts w:ascii="Arial" w:hAnsi="Arial" w:cs="Arial"/>
          <w:color w:val="000000" w:themeColor="text1"/>
          <w:sz w:val="22"/>
          <w:szCs w:val="22"/>
        </w:rPr>
      </w:pPr>
    </w:p>
    <w:p w14:paraId="11CE5C22" w14:textId="1D06F6BF" w:rsidR="00580A64" w:rsidRDefault="00C22B22" w:rsidP="00914A9A">
      <w:pPr>
        <w:jc w:val="both"/>
        <w:rPr>
          <w:rFonts w:ascii="Arial" w:hAnsi="Arial" w:cs="Arial"/>
          <w:color w:val="000000" w:themeColor="text1"/>
          <w:sz w:val="22"/>
          <w:szCs w:val="22"/>
          <w:lang w:eastAsia="es-ES"/>
        </w:rPr>
      </w:pPr>
      <w:r>
        <w:rPr>
          <w:rFonts w:ascii="Arial" w:hAnsi="Arial" w:cs="Arial"/>
          <w:b/>
          <w:color w:val="000000" w:themeColor="text1"/>
          <w:sz w:val="22"/>
          <w:szCs w:val="22"/>
          <w:lang w:eastAsia="es-ES"/>
        </w:rPr>
        <w:t>Octavo</w:t>
      </w:r>
      <w:r w:rsidR="0009702F">
        <w:rPr>
          <w:rFonts w:ascii="Arial" w:hAnsi="Arial" w:cs="Arial"/>
          <w:b/>
          <w:color w:val="000000" w:themeColor="text1"/>
          <w:sz w:val="22"/>
          <w:szCs w:val="22"/>
          <w:lang w:eastAsia="es-ES"/>
        </w:rPr>
        <w:t>.</w:t>
      </w:r>
      <w:r>
        <w:rPr>
          <w:rFonts w:ascii="Arial" w:hAnsi="Arial" w:cs="Arial"/>
          <w:color w:val="000000" w:themeColor="text1"/>
          <w:sz w:val="22"/>
          <w:szCs w:val="22"/>
        </w:rPr>
        <w:t xml:space="preserve"> </w:t>
      </w:r>
      <w:r w:rsidR="0009702F">
        <w:rPr>
          <w:rFonts w:ascii="Arial" w:hAnsi="Arial" w:cs="Arial"/>
          <w:color w:val="000000" w:themeColor="text1"/>
          <w:sz w:val="22"/>
          <w:szCs w:val="22"/>
        </w:rPr>
        <w:t xml:space="preserve">Que </w:t>
      </w:r>
      <w:r w:rsidR="007355D5">
        <w:rPr>
          <w:rFonts w:ascii="Arial" w:hAnsi="Arial" w:cs="Arial"/>
          <w:color w:val="000000" w:themeColor="text1"/>
          <w:sz w:val="22"/>
          <w:szCs w:val="22"/>
        </w:rPr>
        <w:t xml:space="preserve">el artículo </w:t>
      </w:r>
      <w:r w:rsidR="0078437C">
        <w:rPr>
          <w:rFonts w:ascii="Arial" w:hAnsi="Arial" w:cs="Arial"/>
          <w:color w:val="000000" w:themeColor="text1"/>
          <w:sz w:val="22"/>
          <w:szCs w:val="22"/>
        </w:rPr>
        <w:t>3 de</w:t>
      </w:r>
      <w:r w:rsidR="009F2D43">
        <w:rPr>
          <w:rFonts w:ascii="Arial" w:hAnsi="Arial" w:cs="Arial"/>
          <w:color w:val="000000" w:themeColor="text1"/>
          <w:sz w:val="22"/>
          <w:szCs w:val="22"/>
        </w:rPr>
        <w:t xml:space="preserve">l </w:t>
      </w:r>
      <w:r w:rsidR="0078437C">
        <w:rPr>
          <w:rFonts w:ascii="Arial" w:hAnsi="Arial" w:cs="Arial"/>
          <w:color w:val="000000" w:themeColor="text1"/>
          <w:sz w:val="22"/>
          <w:szCs w:val="22"/>
        </w:rPr>
        <w:t xml:space="preserve">Decreto </w:t>
      </w:r>
      <w:r w:rsidR="0009702F">
        <w:rPr>
          <w:rFonts w:ascii="Arial" w:hAnsi="Arial" w:cs="Arial"/>
          <w:color w:val="000000" w:themeColor="text1"/>
          <w:sz w:val="22"/>
          <w:szCs w:val="22"/>
        </w:rPr>
        <w:t>486 de 2020</w:t>
      </w:r>
      <w:r w:rsidR="009F2D43">
        <w:rPr>
          <w:rFonts w:ascii="Arial" w:hAnsi="Arial" w:cs="Arial"/>
          <w:color w:val="000000" w:themeColor="text1"/>
          <w:sz w:val="22"/>
          <w:szCs w:val="22"/>
        </w:rPr>
        <w:t xml:space="preserve"> establece que las Líneas </w:t>
      </w:r>
      <w:r w:rsidR="009126A6">
        <w:rPr>
          <w:rFonts w:ascii="Arial" w:hAnsi="Arial" w:cs="Arial"/>
          <w:color w:val="000000" w:themeColor="text1"/>
          <w:sz w:val="22"/>
          <w:szCs w:val="22"/>
        </w:rPr>
        <w:t>Especiales</w:t>
      </w:r>
      <w:r w:rsidR="009F2D43">
        <w:rPr>
          <w:rFonts w:ascii="Arial" w:hAnsi="Arial" w:cs="Arial"/>
          <w:color w:val="000000" w:themeColor="text1"/>
          <w:sz w:val="22"/>
          <w:szCs w:val="22"/>
        </w:rPr>
        <w:t xml:space="preserve"> de Crédito (LEC) que cree la Comisión Nacional de Crédito Agropecuario (CNCA) </w:t>
      </w:r>
      <w:r w:rsidR="00DF461D">
        <w:rPr>
          <w:rFonts w:ascii="Arial" w:hAnsi="Arial" w:cs="Arial"/>
          <w:color w:val="000000" w:themeColor="text1"/>
          <w:sz w:val="22"/>
          <w:szCs w:val="22"/>
        </w:rPr>
        <w:t>para los productores agropecuarios afectados por las causas que originaron la declaratoria de Emergencia Económica, Social y Ecológica</w:t>
      </w:r>
      <w:r w:rsidR="009126A6">
        <w:rPr>
          <w:rFonts w:ascii="Arial" w:hAnsi="Arial" w:cs="Arial"/>
          <w:color w:val="000000" w:themeColor="text1"/>
          <w:sz w:val="22"/>
          <w:szCs w:val="22"/>
        </w:rPr>
        <w:t xml:space="preserve"> podrán cubrir los costos y gastos financieros asociados a las operaciones de crédito agropecuario.</w:t>
      </w:r>
    </w:p>
    <w:p w14:paraId="6E69EE4A" w14:textId="70E772DC" w:rsidR="00E56515" w:rsidRDefault="00E56515" w:rsidP="00914A9A">
      <w:pPr>
        <w:jc w:val="both"/>
        <w:rPr>
          <w:rFonts w:ascii="Arial" w:hAnsi="Arial" w:cs="Arial"/>
          <w:color w:val="000000" w:themeColor="text1"/>
          <w:sz w:val="22"/>
          <w:szCs w:val="22"/>
          <w:lang w:eastAsia="es-ES"/>
        </w:rPr>
      </w:pPr>
    </w:p>
    <w:p w14:paraId="450815F4" w14:textId="3FF0118D" w:rsidR="00914A9A" w:rsidRDefault="00517165" w:rsidP="00914A9A">
      <w:pPr>
        <w:jc w:val="both"/>
        <w:rPr>
          <w:rFonts w:ascii="Arial" w:hAnsi="Arial" w:cs="Arial"/>
          <w:color w:val="000000" w:themeColor="text1"/>
          <w:sz w:val="22"/>
          <w:szCs w:val="22"/>
          <w:lang w:eastAsia="es-ES"/>
        </w:rPr>
      </w:pPr>
      <w:r>
        <w:rPr>
          <w:rFonts w:ascii="Arial" w:hAnsi="Arial" w:cs="Arial"/>
          <w:b/>
          <w:color w:val="000000" w:themeColor="text1"/>
          <w:sz w:val="22"/>
          <w:szCs w:val="22"/>
          <w:lang w:eastAsia="es-ES"/>
        </w:rPr>
        <w:t xml:space="preserve">Noveno. </w:t>
      </w:r>
      <w:r w:rsidR="007B2BF1" w:rsidRPr="007B2BF1">
        <w:rPr>
          <w:rFonts w:ascii="Arial" w:hAnsi="Arial" w:cs="Arial"/>
          <w:bCs/>
          <w:color w:val="000000" w:themeColor="text1"/>
          <w:sz w:val="22"/>
          <w:szCs w:val="22"/>
          <w:lang w:eastAsia="es-ES"/>
        </w:rPr>
        <w:t>Que, t</w:t>
      </w:r>
      <w:r w:rsidR="0064188C" w:rsidRPr="003C79B3">
        <w:rPr>
          <w:rFonts w:ascii="Arial" w:hAnsi="Arial" w:cs="Arial"/>
          <w:color w:val="000000" w:themeColor="text1"/>
          <w:sz w:val="22"/>
          <w:szCs w:val="22"/>
          <w:lang w:eastAsia="es-ES"/>
        </w:rPr>
        <w:t xml:space="preserve">eniendo en cuenta lo anterior, el Ministerio de Agricultura y Desarrollo Rural propone el establecimiento </w:t>
      </w:r>
      <w:r w:rsidR="00837882">
        <w:rPr>
          <w:rFonts w:ascii="Arial" w:hAnsi="Arial" w:cs="Arial"/>
          <w:color w:val="000000" w:themeColor="text1"/>
          <w:sz w:val="22"/>
          <w:szCs w:val="22"/>
          <w:lang w:eastAsia="es-ES"/>
        </w:rPr>
        <w:t xml:space="preserve">de </w:t>
      </w:r>
      <w:r w:rsidR="007F3185">
        <w:rPr>
          <w:rFonts w:ascii="Arial" w:hAnsi="Arial" w:cs="Arial"/>
          <w:color w:val="000000" w:themeColor="text1"/>
          <w:sz w:val="22"/>
          <w:szCs w:val="22"/>
          <w:lang w:eastAsia="es-ES"/>
        </w:rPr>
        <w:t xml:space="preserve">la </w:t>
      </w:r>
      <w:r w:rsidR="009A6E2A">
        <w:rPr>
          <w:rFonts w:ascii="Arial" w:hAnsi="Arial" w:cs="Arial"/>
          <w:color w:val="000000"/>
          <w:sz w:val="21"/>
          <w:szCs w:val="21"/>
          <w:lang w:eastAsia="es-ES"/>
        </w:rPr>
        <w:t>LEC “Forward ante la Emergencia Económica</w:t>
      </w:r>
      <w:r w:rsidR="0014461F">
        <w:rPr>
          <w:rFonts w:ascii="Arial" w:hAnsi="Arial" w:cs="Arial"/>
          <w:color w:val="000000" w:themeColor="text1"/>
          <w:sz w:val="22"/>
          <w:szCs w:val="22"/>
          <w:lang w:eastAsia="es-ES"/>
        </w:rPr>
        <w:t>”</w:t>
      </w:r>
      <w:r w:rsidR="00F0102A">
        <w:rPr>
          <w:rFonts w:ascii="Arial" w:hAnsi="Arial" w:cs="Arial"/>
          <w:color w:val="000000" w:themeColor="text1"/>
          <w:sz w:val="22"/>
          <w:szCs w:val="22"/>
          <w:lang w:eastAsia="es-ES"/>
        </w:rPr>
        <w:t xml:space="preserve"> que compense al productor una fracción de los gastos asociados a la comisión del FAG </w:t>
      </w:r>
      <w:r w:rsidR="007362AB">
        <w:rPr>
          <w:rFonts w:ascii="Arial" w:hAnsi="Arial" w:cs="Arial"/>
          <w:color w:val="000000" w:themeColor="text1"/>
          <w:sz w:val="22"/>
          <w:szCs w:val="22"/>
          <w:lang w:eastAsia="es-ES"/>
        </w:rPr>
        <w:t xml:space="preserve">y costos de las comisiones asociadas </w:t>
      </w:r>
      <w:r w:rsidR="001746E2">
        <w:rPr>
          <w:rFonts w:ascii="Arial" w:hAnsi="Arial" w:cs="Arial"/>
          <w:color w:val="000000" w:themeColor="text1"/>
          <w:sz w:val="22"/>
          <w:szCs w:val="22"/>
          <w:lang w:eastAsia="es-ES"/>
        </w:rPr>
        <w:t>a la generación de las operaciones forward</w:t>
      </w:r>
      <w:r w:rsidR="00914A9A" w:rsidRPr="003C79B3">
        <w:rPr>
          <w:rFonts w:ascii="Arial" w:hAnsi="Arial" w:cs="Arial"/>
          <w:color w:val="000000" w:themeColor="text1"/>
          <w:sz w:val="22"/>
          <w:szCs w:val="22"/>
          <w:lang w:eastAsia="es-ES"/>
        </w:rPr>
        <w:t xml:space="preserve">.  </w:t>
      </w:r>
    </w:p>
    <w:p w14:paraId="190C9268" w14:textId="12595D86" w:rsidR="001746E2" w:rsidRDefault="001746E2" w:rsidP="00914A9A">
      <w:pPr>
        <w:jc w:val="both"/>
        <w:rPr>
          <w:rFonts w:ascii="Arial" w:hAnsi="Arial" w:cs="Arial"/>
          <w:color w:val="000000" w:themeColor="text1"/>
          <w:sz w:val="22"/>
          <w:szCs w:val="22"/>
          <w:lang w:eastAsia="es-ES"/>
        </w:rPr>
      </w:pPr>
    </w:p>
    <w:p w14:paraId="1200435A" w14:textId="6C321446" w:rsidR="009E11FD" w:rsidRPr="00DD5383" w:rsidRDefault="009E11FD" w:rsidP="009E11FD">
      <w:pPr>
        <w:jc w:val="both"/>
        <w:rPr>
          <w:rFonts w:ascii="Arial" w:hAnsi="Arial" w:cs="Arial"/>
          <w:color w:val="000000" w:themeColor="text1"/>
          <w:sz w:val="22"/>
          <w:szCs w:val="22"/>
          <w:lang w:eastAsia="en-US"/>
        </w:rPr>
      </w:pPr>
      <w:r>
        <w:rPr>
          <w:rFonts w:ascii="Arial" w:hAnsi="Arial" w:cs="Arial"/>
          <w:b/>
          <w:color w:val="000000"/>
          <w:sz w:val="22"/>
          <w:szCs w:val="22"/>
        </w:rPr>
        <w:t>Décimo</w:t>
      </w:r>
      <w:r>
        <w:rPr>
          <w:rFonts w:ascii="Arial" w:hAnsi="Arial" w:cs="Arial"/>
          <w:color w:val="000000"/>
          <w:sz w:val="22"/>
          <w:szCs w:val="22"/>
        </w:rPr>
        <w:t xml:space="preserve">. </w:t>
      </w:r>
      <w:r>
        <w:rPr>
          <w:rFonts w:ascii="Arial" w:hAnsi="Arial" w:cs="Arial"/>
          <w:color w:val="000000" w:themeColor="text1"/>
          <w:sz w:val="22"/>
          <w:szCs w:val="22"/>
        </w:rPr>
        <w:t xml:space="preserve">Que mediante la Resolución No. 1 de 2016, y sus modificaciones, se compiló la reglamentación del destino </w:t>
      </w:r>
      <w:r w:rsidRPr="00DD5383">
        <w:rPr>
          <w:rFonts w:ascii="Arial" w:hAnsi="Arial" w:cs="Arial"/>
          <w:color w:val="000000" w:themeColor="text1"/>
          <w:sz w:val="22"/>
          <w:szCs w:val="22"/>
        </w:rPr>
        <w:t>del crédito agropecuario y rural, se definió sus beneficiarios, condiciones financieras y se adoptaron otras disposiciones.</w:t>
      </w:r>
    </w:p>
    <w:p w14:paraId="2F247FC1" w14:textId="77777777" w:rsidR="009E11FD" w:rsidRPr="00DD5383" w:rsidRDefault="009E11FD" w:rsidP="009E11FD">
      <w:pPr>
        <w:jc w:val="both"/>
        <w:rPr>
          <w:rFonts w:ascii="Arial" w:hAnsi="Arial" w:cs="Arial"/>
          <w:color w:val="000000" w:themeColor="text1"/>
          <w:sz w:val="22"/>
          <w:szCs w:val="22"/>
        </w:rPr>
      </w:pPr>
    </w:p>
    <w:p w14:paraId="2645E176" w14:textId="3F17CCF6" w:rsidR="009E11FD" w:rsidRPr="00DD5383" w:rsidRDefault="00E53E3E" w:rsidP="009E11FD">
      <w:pPr>
        <w:jc w:val="both"/>
        <w:rPr>
          <w:rFonts w:ascii="Arial" w:hAnsi="Arial" w:cs="Arial"/>
          <w:color w:val="000000" w:themeColor="text1"/>
          <w:sz w:val="22"/>
          <w:szCs w:val="22"/>
        </w:rPr>
      </w:pPr>
      <w:r w:rsidRPr="00DD5383">
        <w:rPr>
          <w:rFonts w:ascii="Arial" w:hAnsi="Arial" w:cs="Arial"/>
          <w:b/>
          <w:color w:val="000000"/>
          <w:sz w:val="22"/>
          <w:szCs w:val="22"/>
        </w:rPr>
        <w:t>Décimo primero</w:t>
      </w:r>
      <w:r w:rsidR="009E11FD" w:rsidRPr="00DD5383">
        <w:rPr>
          <w:rFonts w:ascii="Arial" w:hAnsi="Arial" w:cs="Arial"/>
          <w:b/>
          <w:bCs/>
          <w:color w:val="000000" w:themeColor="text1"/>
          <w:sz w:val="22"/>
          <w:szCs w:val="22"/>
        </w:rPr>
        <w:t>.</w:t>
      </w:r>
      <w:r w:rsidR="009E11FD" w:rsidRPr="00DD5383">
        <w:rPr>
          <w:rFonts w:ascii="Arial" w:hAnsi="Arial" w:cs="Arial"/>
          <w:color w:val="000000" w:themeColor="text1"/>
          <w:sz w:val="22"/>
          <w:szCs w:val="22"/>
        </w:rPr>
        <w:t xml:space="preserve"> Que mediante la Resolución No. 18 de 2019 se estableció el Plan Anual de ICR y LEC para el Año 2020 y otras disposiciones</w:t>
      </w:r>
      <w:r w:rsidR="000C52BB" w:rsidRPr="00DD5383">
        <w:rPr>
          <w:rFonts w:ascii="Arial" w:hAnsi="Arial" w:cs="Arial"/>
          <w:color w:val="000000" w:themeColor="text1"/>
          <w:sz w:val="22"/>
          <w:szCs w:val="22"/>
        </w:rPr>
        <w:t>.</w:t>
      </w:r>
    </w:p>
    <w:p w14:paraId="623F11B2" w14:textId="77777777" w:rsidR="00914A9A" w:rsidRPr="00DD5383" w:rsidRDefault="00914A9A" w:rsidP="00914A9A">
      <w:pPr>
        <w:jc w:val="both"/>
        <w:rPr>
          <w:rFonts w:ascii="Arial" w:hAnsi="Arial" w:cs="Arial"/>
          <w:color w:val="000000" w:themeColor="text1"/>
          <w:sz w:val="22"/>
          <w:szCs w:val="22"/>
          <w:lang w:eastAsia="es-ES"/>
        </w:rPr>
      </w:pPr>
    </w:p>
    <w:p w14:paraId="2896D4A0" w14:textId="66277664" w:rsidR="00914A9A" w:rsidRPr="00DD5383" w:rsidRDefault="00E53E3E" w:rsidP="00914A9A">
      <w:pPr>
        <w:jc w:val="both"/>
        <w:rPr>
          <w:rFonts w:ascii="Arial" w:hAnsi="Arial" w:cs="Arial"/>
          <w:color w:val="000000"/>
          <w:sz w:val="22"/>
          <w:szCs w:val="22"/>
          <w:lang w:eastAsia="es-ES"/>
        </w:rPr>
      </w:pPr>
      <w:r w:rsidRPr="00DD5383">
        <w:rPr>
          <w:rFonts w:ascii="Arial" w:hAnsi="Arial" w:cs="Arial"/>
          <w:b/>
          <w:color w:val="000000"/>
          <w:sz w:val="22"/>
          <w:szCs w:val="22"/>
        </w:rPr>
        <w:t>Décimo segundo</w:t>
      </w:r>
      <w:r w:rsidR="00914A9A" w:rsidRPr="00DD5383">
        <w:rPr>
          <w:rFonts w:ascii="Arial" w:hAnsi="Arial" w:cs="Arial"/>
          <w:b/>
          <w:bCs/>
          <w:color w:val="000000" w:themeColor="text1"/>
          <w:sz w:val="22"/>
          <w:szCs w:val="22"/>
          <w:lang w:eastAsia="es-ES"/>
        </w:rPr>
        <w:t xml:space="preserve">. </w:t>
      </w:r>
      <w:r w:rsidR="00914A9A" w:rsidRPr="00DD5383">
        <w:rPr>
          <w:rFonts w:ascii="Arial" w:hAnsi="Arial" w:cs="Arial"/>
          <w:color w:val="000000" w:themeColor="text1"/>
          <w:sz w:val="22"/>
          <w:szCs w:val="22"/>
          <w:lang w:eastAsia="es-ES"/>
        </w:rPr>
        <w:t xml:space="preserve">Que el proyecto de resolución </w:t>
      </w:r>
      <w:r w:rsidR="0045465B" w:rsidRPr="00DD5383">
        <w:rPr>
          <w:rFonts w:ascii="Arial" w:hAnsi="Arial" w:cs="Arial"/>
          <w:color w:val="000000" w:themeColor="text1"/>
          <w:sz w:val="22"/>
          <w:szCs w:val="22"/>
          <w:lang w:eastAsia="es-ES"/>
        </w:rPr>
        <w:t>“Por la cual se modifica la Resolución 18 de 2019 y se define la “</w:t>
      </w:r>
      <w:r w:rsidR="0045465B" w:rsidRPr="00DD5383">
        <w:rPr>
          <w:rFonts w:ascii="Arial" w:hAnsi="Arial" w:cs="Arial"/>
          <w:color w:val="000000"/>
          <w:sz w:val="22"/>
          <w:szCs w:val="22"/>
          <w:lang w:eastAsia="es-ES"/>
        </w:rPr>
        <w:t>LEC Forward ante la Emergencia</w:t>
      </w:r>
      <w:r w:rsidR="00914A9A" w:rsidRPr="00DD5383">
        <w:rPr>
          <w:rFonts w:ascii="Arial" w:hAnsi="Arial" w:cs="Arial"/>
          <w:color w:val="000000" w:themeColor="text1"/>
          <w:sz w:val="22"/>
          <w:szCs w:val="22"/>
          <w:lang w:eastAsia="es-ES"/>
        </w:rPr>
        <w:t>”, estuvo publicado en la página web de FINAGRO para comentarios.</w:t>
      </w:r>
    </w:p>
    <w:p w14:paraId="3D67B460" w14:textId="77777777" w:rsidR="00914A9A" w:rsidRPr="008F65EC" w:rsidRDefault="00914A9A" w:rsidP="00914A9A">
      <w:pPr>
        <w:jc w:val="both"/>
        <w:rPr>
          <w:rFonts w:ascii="Arial" w:hAnsi="Arial" w:cs="Arial"/>
          <w:color w:val="000000"/>
          <w:sz w:val="22"/>
          <w:szCs w:val="22"/>
          <w:lang w:eastAsia="es-ES"/>
        </w:rPr>
      </w:pPr>
    </w:p>
    <w:p w14:paraId="4E7F8DD5" w14:textId="150B1642" w:rsidR="00914A9A" w:rsidRPr="00463CB2" w:rsidRDefault="00E53E3E" w:rsidP="00914A9A">
      <w:pPr>
        <w:jc w:val="both"/>
        <w:rPr>
          <w:rFonts w:ascii="Arial" w:hAnsi="Arial" w:cs="Arial"/>
          <w:color w:val="212121"/>
          <w:sz w:val="22"/>
          <w:szCs w:val="22"/>
        </w:rPr>
      </w:pPr>
      <w:r>
        <w:rPr>
          <w:rFonts w:ascii="Arial" w:hAnsi="Arial" w:cs="Arial"/>
          <w:b/>
          <w:color w:val="000000"/>
          <w:sz w:val="22"/>
          <w:szCs w:val="22"/>
        </w:rPr>
        <w:t>Décimo Tercero</w:t>
      </w:r>
      <w:r w:rsidR="00914A9A" w:rsidRPr="008F65EC">
        <w:rPr>
          <w:rFonts w:ascii="Arial" w:hAnsi="Arial" w:cs="Arial"/>
          <w:b/>
          <w:bCs/>
          <w:color w:val="000000" w:themeColor="text1"/>
          <w:sz w:val="22"/>
          <w:szCs w:val="22"/>
          <w:lang w:eastAsia="es-ES"/>
        </w:rPr>
        <w:t>.</w:t>
      </w:r>
      <w:r w:rsidR="00914A9A" w:rsidRPr="008F65EC">
        <w:rPr>
          <w:rFonts w:ascii="Arial" w:hAnsi="Arial" w:cs="Arial"/>
          <w:color w:val="000000" w:themeColor="text1"/>
          <w:sz w:val="22"/>
          <w:szCs w:val="22"/>
          <w:lang w:eastAsia="es-ES"/>
        </w:rPr>
        <w:t xml:space="preserve"> </w:t>
      </w:r>
      <w:r w:rsidR="00914A9A" w:rsidRPr="008F65EC">
        <w:rPr>
          <w:rFonts w:ascii="Arial" w:hAnsi="Arial" w:cs="Arial"/>
          <w:color w:val="000000" w:themeColor="text1"/>
          <w:sz w:val="22"/>
          <w:szCs w:val="22"/>
          <w:lang w:bidi="es-CO"/>
        </w:rPr>
        <w:t xml:space="preserve">Que el documento con la justificación jurídica y técnica de la presente resolución fue presentado para consideración de la CNCA </w:t>
      </w:r>
      <w:r w:rsidR="008F65EC" w:rsidRPr="008F65EC">
        <w:rPr>
          <w:rFonts w:ascii="Arial" w:hAnsi="Arial" w:cs="Arial"/>
          <w:color w:val="000000" w:themeColor="text1"/>
          <w:sz w:val="22"/>
          <w:szCs w:val="22"/>
          <w:lang w:bidi="es-CO"/>
        </w:rPr>
        <w:t xml:space="preserve">y discutido </w:t>
      </w:r>
      <w:r w:rsidR="00914A9A" w:rsidRPr="008F65EC">
        <w:rPr>
          <w:rFonts w:ascii="Arial" w:hAnsi="Arial" w:cs="Arial"/>
          <w:color w:val="212121"/>
          <w:sz w:val="22"/>
          <w:szCs w:val="22"/>
        </w:rPr>
        <w:t>bajo el mecanismo de reunión no presencial</w:t>
      </w:r>
      <w:r w:rsidR="008F65EC" w:rsidRPr="008F65EC">
        <w:rPr>
          <w:rFonts w:ascii="Arial" w:hAnsi="Arial" w:cs="Arial"/>
          <w:color w:val="212121"/>
          <w:sz w:val="22"/>
          <w:szCs w:val="22"/>
        </w:rPr>
        <w:t xml:space="preserve"> </w:t>
      </w:r>
      <w:r w:rsidR="008F65EC" w:rsidRPr="008F65EC">
        <w:rPr>
          <w:rFonts w:ascii="Arial" w:hAnsi="Arial" w:cs="Arial"/>
          <w:color w:val="000000"/>
          <w:sz w:val="21"/>
          <w:szCs w:val="21"/>
          <w:lang w:eastAsia="es-ES"/>
        </w:rPr>
        <w:t xml:space="preserve">llevada a cabo el </w:t>
      </w:r>
      <w:r w:rsidR="008F65EC" w:rsidRPr="00E53E3E">
        <w:rPr>
          <w:rFonts w:ascii="Arial" w:hAnsi="Arial" w:cs="Arial"/>
          <w:color w:val="FF0000"/>
          <w:sz w:val="21"/>
          <w:szCs w:val="21"/>
          <w:lang w:eastAsia="es-ES"/>
        </w:rPr>
        <w:t xml:space="preserve">día </w:t>
      </w:r>
      <w:r w:rsidR="005527E7">
        <w:rPr>
          <w:rFonts w:ascii="Arial" w:hAnsi="Arial" w:cs="Arial"/>
          <w:color w:val="FF0000"/>
          <w:sz w:val="21"/>
          <w:szCs w:val="21"/>
          <w:lang w:eastAsia="es-ES"/>
        </w:rPr>
        <w:t>XX</w:t>
      </w:r>
      <w:r w:rsidR="008F65EC" w:rsidRPr="00E53E3E">
        <w:rPr>
          <w:rFonts w:ascii="Arial" w:hAnsi="Arial" w:cs="Arial"/>
          <w:color w:val="FF0000"/>
          <w:sz w:val="21"/>
          <w:szCs w:val="21"/>
          <w:lang w:eastAsia="es-ES"/>
        </w:rPr>
        <w:t xml:space="preserve"> (</w:t>
      </w:r>
      <w:r w:rsidR="005527E7">
        <w:rPr>
          <w:rFonts w:ascii="Arial" w:hAnsi="Arial" w:cs="Arial"/>
          <w:color w:val="FF0000"/>
          <w:sz w:val="21"/>
          <w:szCs w:val="21"/>
          <w:lang w:eastAsia="es-ES"/>
        </w:rPr>
        <w:t>XX</w:t>
      </w:r>
      <w:r w:rsidR="008F65EC" w:rsidRPr="00E53E3E">
        <w:rPr>
          <w:rFonts w:ascii="Arial" w:hAnsi="Arial" w:cs="Arial"/>
          <w:color w:val="FF0000"/>
          <w:sz w:val="21"/>
          <w:szCs w:val="21"/>
          <w:lang w:eastAsia="es-ES"/>
        </w:rPr>
        <w:t xml:space="preserve">) de </w:t>
      </w:r>
      <w:r w:rsidRPr="00E53E3E">
        <w:rPr>
          <w:rFonts w:ascii="Arial" w:hAnsi="Arial" w:cs="Arial"/>
          <w:color w:val="FF0000"/>
          <w:sz w:val="21"/>
          <w:szCs w:val="21"/>
          <w:lang w:eastAsia="es-ES"/>
        </w:rPr>
        <w:t>abril</w:t>
      </w:r>
      <w:r w:rsidR="008F65EC" w:rsidRPr="00E53E3E">
        <w:rPr>
          <w:rFonts w:ascii="Arial" w:hAnsi="Arial" w:cs="Arial"/>
          <w:color w:val="FF0000"/>
          <w:sz w:val="21"/>
          <w:szCs w:val="21"/>
          <w:lang w:eastAsia="es-ES"/>
        </w:rPr>
        <w:t xml:space="preserve"> </w:t>
      </w:r>
      <w:r w:rsidR="008F65EC" w:rsidRPr="008F65EC">
        <w:rPr>
          <w:rFonts w:ascii="Arial" w:hAnsi="Arial" w:cs="Arial"/>
          <w:color w:val="000000" w:themeColor="text1"/>
          <w:sz w:val="21"/>
          <w:szCs w:val="21"/>
          <w:lang w:eastAsia="es-ES"/>
        </w:rPr>
        <w:t xml:space="preserve">de </w:t>
      </w:r>
      <w:r w:rsidR="008F65EC" w:rsidRPr="008F65EC">
        <w:rPr>
          <w:rFonts w:ascii="Arial" w:hAnsi="Arial" w:cs="Arial"/>
          <w:color w:val="000000"/>
          <w:sz w:val="21"/>
          <w:szCs w:val="21"/>
          <w:lang w:eastAsia="es-ES"/>
        </w:rPr>
        <w:t>2020</w:t>
      </w:r>
      <w:r w:rsidR="00914A9A" w:rsidRPr="008F65EC">
        <w:rPr>
          <w:rFonts w:ascii="Arial" w:hAnsi="Arial" w:cs="Arial"/>
          <w:color w:val="212121"/>
          <w:sz w:val="22"/>
          <w:szCs w:val="22"/>
        </w:rPr>
        <w:t>.</w:t>
      </w:r>
    </w:p>
    <w:p w14:paraId="0E70FEBF" w14:textId="52693EBF" w:rsidR="00914A9A" w:rsidRDefault="00914A9A" w:rsidP="00914A9A">
      <w:pPr>
        <w:jc w:val="both"/>
        <w:rPr>
          <w:rFonts w:ascii="Arial" w:hAnsi="Arial" w:cs="Arial"/>
          <w:color w:val="000000"/>
          <w:sz w:val="22"/>
          <w:szCs w:val="22"/>
          <w:lang w:eastAsia="es-ES"/>
        </w:rPr>
      </w:pPr>
    </w:p>
    <w:p w14:paraId="14FF8CA9" w14:textId="77777777" w:rsidR="008F65EC" w:rsidRPr="00463CB2" w:rsidRDefault="008F65EC" w:rsidP="00914A9A">
      <w:pPr>
        <w:jc w:val="both"/>
        <w:rPr>
          <w:rFonts w:ascii="Arial" w:hAnsi="Arial" w:cs="Arial"/>
          <w:color w:val="000000"/>
          <w:sz w:val="22"/>
          <w:szCs w:val="22"/>
          <w:lang w:eastAsia="es-ES"/>
        </w:rPr>
      </w:pPr>
    </w:p>
    <w:p w14:paraId="1FE99B1D" w14:textId="77777777" w:rsidR="00914A9A" w:rsidRPr="00463CB2" w:rsidRDefault="00914A9A" w:rsidP="00914A9A">
      <w:pPr>
        <w:jc w:val="both"/>
        <w:rPr>
          <w:rFonts w:ascii="Arial" w:hAnsi="Arial" w:cs="Arial"/>
          <w:color w:val="000000"/>
          <w:sz w:val="22"/>
          <w:szCs w:val="22"/>
          <w:lang w:eastAsia="es-ES"/>
        </w:rPr>
      </w:pPr>
      <w:r w:rsidRPr="00463CB2">
        <w:rPr>
          <w:rFonts w:ascii="Arial" w:hAnsi="Arial" w:cs="Arial"/>
          <w:color w:val="000000"/>
          <w:sz w:val="22"/>
          <w:szCs w:val="22"/>
          <w:lang w:eastAsia="es-ES"/>
        </w:rPr>
        <w:t>En mérito de lo anterior,</w:t>
      </w:r>
    </w:p>
    <w:p w14:paraId="5FF06413" w14:textId="77777777" w:rsidR="00914A9A" w:rsidRPr="00463CB2" w:rsidRDefault="00914A9A" w:rsidP="00914A9A">
      <w:pPr>
        <w:jc w:val="both"/>
        <w:rPr>
          <w:rFonts w:ascii="Arial" w:hAnsi="Arial" w:cs="Arial"/>
          <w:color w:val="000000"/>
          <w:sz w:val="22"/>
          <w:szCs w:val="22"/>
          <w:lang w:eastAsia="es-ES"/>
        </w:rPr>
      </w:pPr>
    </w:p>
    <w:p w14:paraId="243C241E" w14:textId="77777777" w:rsidR="00914A9A" w:rsidRPr="00463CB2" w:rsidRDefault="00914A9A" w:rsidP="00914A9A">
      <w:pPr>
        <w:jc w:val="center"/>
        <w:rPr>
          <w:rFonts w:ascii="Arial" w:hAnsi="Arial" w:cs="Arial"/>
          <w:b/>
          <w:color w:val="000000"/>
          <w:sz w:val="22"/>
          <w:szCs w:val="22"/>
          <w:lang w:eastAsia="es-ES"/>
        </w:rPr>
      </w:pPr>
      <w:r w:rsidRPr="00463CB2">
        <w:rPr>
          <w:rFonts w:ascii="Arial" w:hAnsi="Arial" w:cs="Arial"/>
          <w:b/>
          <w:color w:val="000000"/>
          <w:sz w:val="22"/>
          <w:szCs w:val="22"/>
          <w:lang w:eastAsia="es-ES"/>
        </w:rPr>
        <w:t>RESUELVE:</w:t>
      </w:r>
    </w:p>
    <w:p w14:paraId="32424600" w14:textId="77777777" w:rsidR="00914A9A" w:rsidRPr="00C839CC" w:rsidRDefault="00914A9A" w:rsidP="00914A9A">
      <w:pPr>
        <w:jc w:val="center"/>
        <w:rPr>
          <w:rFonts w:ascii="Arial" w:hAnsi="Arial" w:cs="Arial"/>
          <w:b/>
          <w:color w:val="000000"/>
          <w:sz w:val="21"/>
          <w:szCs w:val="21"/>
          <w:lang w:eastAsia="es-ES"/>
        </w:rPr>
      </w:pPr>
    </w:p>
    <w:p w14:paraId="0F552812" w14:textId="1F38121A" w:rsidR="00705CC4" w:rsidRPr="00F30B4B" w:rsidRDefault="006C4CBD" w:rsidP="006C4CBD">
      <w:pPr>
        <w:pStyle w:val="c5"/>
        <w:tabs>
          <w:tab w:val="left" w:pos="1479"/>
        </w:tabs>
        <w:spacing w:line="240" w:lineRule="auto"/>
        <w:jc w:val="both"/>
        <w:rPr>
          <w:rFonts w:ascii="Arial" w:eastAsia="Arial" w:hAnsi="Arial" w:cs="Arial"/>
          <w:bCs/>
          <w:sz w:val="22"/>
          <w:szCs w:val="22"/>
          <w:lang w:eastAsia="es-CO" w:bidi="es-CO"/>
        </w:rPr>
      </w:pPr>
      <w:r w:rsidRPr="00463CB2">
        <w:rPr>
          <w:rFonts w:ascii="Arial" w:eastAsia="Arial" w:hAnsi="Arial" w:cs="Arial"/>
          <w:b/>
          <w:sz w:val="22"/>
          <w:szCs w:val="22"/>
          <w:lang w:eastAsia="es-CO" w:bidi="es-CO"/>
        </w:rPr>
        <w:t xml:space="preserve">Artículo 1o. </w:t>
      </w:r>
      <w:r w:rsidR="003D2A1B">
        <w:rPr>
          <w:rFonts w:ascii="Arial" w:eastAsia="Arial" w:hAnsi="Arial" w:cs="Arial"/>
          <w:bCs/>
          <w:sz w:val="22"/>
          <w:szCs w:val="22"/>
          <w:lang w:eastAsia="es-CO" w:bidi="es-CO"/>
        </w:rPr>
        <w:t xml:space="preserve">En el contexto de la Emergencia Económica, Social y Ecológica </w:t>
      </w:r>
      <w:r w:rsidR="00EC50C5">
        <w:rPr>
          <w:rFonts w:ascii="Arial" w:eastAsia="Arial" w:hAnsi="Arial" w:cs="Arial"/>
          <w:bCs/>
          <w:sz w:val="22"/>
          <w:szCs w:val="22"/>
          <w:lang w:eastAsia="es-CO" w:bidi="es-CO"/>
        </w:rPr>
        <w:t>s</w:t>
      </w:r>
      <w:r w:rsidR="00F30B4B">
        <w:rPr>
          <w:rFonts w:ascii="Arial" w:eastAsia="Arial" w:hAnsi="Arial" w:cs="Arial"/>
          <w:bCs/>
          <w:sz w:val="22"/>
          <w:szCs w:val="22"/>
          <w:lang w:eastAsia="es-CO" w:bidi="es-CO"/>
        </w:rPr>
        <w:t xml:space="preserve">e establece </w:t>
      </w:r>
      <w:r w:rsidR="004124D1" w:rsidRPr="00DD5383">
        <w:rPr>
          <w:rFonts w:ascii="Arial" w:eastAsia="Arial" w:hAnsi="Arial" w:cs="Arial"/>
          <w:sz w:val="22"/>
          <w:szCs w:val="22"/>
          <w:lang w:eastAsia="es-CO" w:bidi="es-CO"/>
        </w:rPr>
        <w:t xml:space="preserve">LEC </w:t>
      </w:r>
      <w:r w:rsidR="004124D1" w:rsidRPr="00DD5383">
        <w:rPr>
          <w:rFonts w:ascii="Arial" w:hAnsi="Arial" w:cs="Arial"/>
          <w:color w:val="000000"/>
          <w:sz w:val="22"/>
          <w:szCs w:val="22"/>
        </w:rPr>
        <w:t>Forward ante la Emergencia Económica</w:t>
      </w:r>
      <w:r w:rsidR="004124D1">
        <w:rPr>
          <w:rFonts w:ascii="Arial" w:hAnsi="Arial" w:cs="Arial"/>
          <w:color w:val="000000"/>
          <w:sz w:val="22"/>
          <w:szCs w:val="22"/>
        </w:rPr>
        <w:t xml:space="preserve"> con el objetivo de proveer recursos en condiciones especiales a los productores agropecuarios</w:t>
      </w:r>
      <w:r w:rsidR="00037C52">
        <w:rPr>
          <w:rFonts w:ascii="Arial" w:hAnsi="Arial" w:cs="Arial"/>
          <w:color w:val="000000"/>
          <w:sz w:val="22"/>
          <w:szCs w:val="22"/>
        </w:rPr>
        <w:t>.</w:t>
      </w:r>
      <w:r w:rsidR="00944AC8">
        <w:rPr>
          <w:rFonts w:ascii="Arial" w:hAnsi="Arial" w:cs="Arial"/>
          <w:color w:val="000000"/>
          <w:sz w:val="22"/>
          <w:szCs w:val="22"/>
        </w:rPr>
        <w:t xml:space="preserve"> La nueva </w:t>
      </w:r>
      <w:r w:rsidR="00F670CB">
        <w:rPr>
          <w:rFonts w:ascii="Arial" w:hAnsi="Arial" w:cs="Arial"/>
          <w:color w:val="000000"/>
          <w:sz w:val="22"/>
          <w:szCs w:val="22"/>
        </w:rPr>
        <w:t xml:space="preserve">línea reemplaza la </w:t>
      </w:r>
      <w:r w:rsidR="00E3116D">
        <w:rPr>
          <w:rFonts w:ascii="Arial" w:hAnsi="Arial" w:cs="Arial"/>
          <w:color w:val="000000"/>
          <w:sz w:val="22"/>
          <w:szCs w:val="22"/>
        </w:rPr>
        <w:t>“</w:t>
      </w:r>
      <w:r w:rsidR="00E3116D" w:rsidRPr="00E3116D">
        <w:rPr>
          <w:rFonts w:ascii="Arial" w:hAnsi="Arial" w:cs="Arial"/>
          <w:color w:val="000000"/>
          <w:sz w:val="22"/>
          <w:szCs w:val="22"/>
        </w:rPr>
        <w:t>LEC Operaciones Forward con Anticipo</w:t>
      </w:r>
      <w:r w:rsidR="00E3116D">
        <w:rPr>
          <w:rFonts w:ascii="Arial" w:hAnsi="Arial" w:cs="Arial"/>
          <w:color w:val="000000"/>
          <w:sz w:val="22"/>
          <w:szCs w:val="22"/>
        </w:rPr>
        <w:t>”.</w:t>
      </w:r>
    </w:p>
    <w:p w14:paraId="7B8985F7" w14:textId="77777777" w:rsidR="00705CC4" w:rsidRDefault="00705CC4" w:rsidP="006C4CBD">
      <w:pPr>
        <w:pStyle w:val="c5"/>
        <w:tabs>
          <w:tab w:val="left" w:pos="1479"/>
        </w:tabs>
        <w:spacing w:line="240" w:lineRule="auto"/>
        <w:jc w:val="both"/>
        <w:rPr>
          <w:rFonts w:ascii="Arial" w:eastAsia="Arial" w:hAnsi="Arial" w:cs="Arial"/>
          <w:b/>
          <w:sz w:val="22"/>
          <w:szCs w:val="22"/>
          <w:lang w:eastAsia="es-CO" w:bidi="es-CO"/>
        </w:rPr>
      </w:pPr>
    </w:p>
    <w:p w14:paraId="500E39F4" w14:textId="225FEC91" w:rsidR="006C4CBD" w:rsidRPr="00DD5383" w:rsidRDefault="00037C52" w:rsidP="006C4CBD">
      <w:pPr>
        <w:pStyle w:val="c5"/>
        <w:tabs>
          <w:tab w:val="left" w:pos="1479"/>
        </w:tabs>
        <w:spacing w:line="240" w:lineRule="auto"/>
        <w:jc w:val="both"/>
        <w:rPr>
          <w:rFonts w:ascii="Arial" w:eastAsia="Arial" w:hAnsi="Arial" w:cs="Arial"/>
          <w:sz w:val="22"/>
          <w:szCs w:val="22"/>
          <w:lang w:eastAsia="es-CO" w:bidi="es-CO"/>
        </w:rPr>
      </w:pPr>
      <w:r w:rsidRPr="00463CB2">
        <w:rPr>
          <w:rFonts w:ascii="Arial" w:eastAsia="Arial" w:hAnsi="Arial" w:cs="Arial"/>
          <w:b/>
          <w:sz w:val="22"/>
          <w:szCs w:val="22"/>
          <w:lang w:eastAsia="es-CO" w:bidi="es-CO"/>
        </w:rPr>
        <w:t xml:space="preserve">Artículo </w:t>
      </w:r>
      <w:r w:rsidR="00BC584A">
        <w:rPr>
          <w:rFonts w:ascii="Arial" w:eastAsia="Arial" w:hAnsi="Arial" w:cs="Arial"/>
          <w:b/>
          <w:sz w:val="22"/>
          <w:szCs w:val="22"/>
          <w:lang w:eastAsia="es-CO" w:bidi="es-CO"/>
        </w:rPr>
        <w:t>2</w:t>
      </w:r>
      <w:r w:rsidRPr="00463CB2">
        <w:rPr>
          <w:rFonts w:ascii="Arial" w:eastAsia="Arial" w:hAnsi="Arial" w:cs="Arial"/>
          <w:b/>
          <w:sz w:val="22"/>
          <w:szCs w:val="22"/>
          <w:lang w:eastAsia="es-CO" w:bidi="es-CO"/>
        </w:rPr>
        <w:t xml:space="preserve">o. </w:t>
      </w:r>
      <w:r w:rsidR="006C4CBD">
        <w:rPr>
          <w:rFonts w:ascii="Arial" w:eastAsia="Arial" w:hAnsi="Arial" w:cs="Arial"/>
          <w:sz w:val="22"/>
          <w:szCs w:val="22"/>
          <w:lang w:eastAsia="es-CO" w:bidi="es-CO"/>
        </w:rPr>
        <w:t>Modificar</w:t>
      </w:r>
      <w:r w:rsidR="006C4CBD" w:rsidRPr="00463CB2">
        <w:rPr>
          <w:rFonts w:ascii="Arial" w:eastAsia="Arial" w:hAnsi="Arial" w:cs="Arial"/>
          <w:sz w:val="22"/>
          <w:szCs w:val="22"/>
          <w:lang w:eastAsia="es-CO" w:bidi="es-CO"/>
        </w:rPr>
        <w:t xml:space="preserve"> el numeral</w:t>
      </w:r>
      <w:r w:rsidR="00336FF7">
        <w:rPr>
          <w:rFonts w:ascii="Arial" w:eastAsia="Arial" w:hAnsi="Arial" w:cs="Arial"/>
          <w:sz w:val="22"/>
          <w:szCs w:val="22"/>
          <w:lang w:eastAsia="es-CO" w:bidi="es-CO"/>
        </w:rPr>
        <w:t xml:space="preserve"> 9</w:t>
      </w:r>
      <w:r w:rsidR="006C4CBD" w:rsidRPr="00463CB2">
        <w:rPr>
          <w:rFonts w:ascii="Arial" w:eastAsia="Arial" w:hAnsi="Arial" w:cs="Arial"/>
          <w:sz w:val="22"/>
          <w:szCs w:val="22"/>
          <w:lang w:eastAsia="es-CO" w:bidi="es-CO"/>
        </w:rPr>
        <w:t xml:space="preserve"> </w:t>
      </w:r>
      <w:r w:rsidR="00336FF7">
        <w:rPr>
          <w:rFonts w:ascii="Arial" w:eastAsia="Arial" w:hAnsi="Arial" w:cs="Arial"/>
          <w:sz w:val="22"/>
          <w:szCs w:val="22"/>
          <w:lang w:eastAsia="es-CO" w:bidi="es-CO"/>
        </w:rPr>
        <w:t>de</w:t>
      </w:r>
      <w:r w:rsidR="006C4CBD" w:rsidRPr="00463CB2">
        <w:rPr>
          <w:rFonts w:ascii="Arial" w:eastAsia="Arial" w:hAnsi="Arial" w:cs="Arial"/>
          <w:sz w:val="22"/>
          <w:szCs w:val="22"/>
          <w:lang w:eastAsia="es-CO" w:bidi="es-CO"/>
        </w:rPr>
        <w:t xml:space="preserve">l artículo 11 de la Resolución No. 18 de 2019 de la </w:t>
      </w:r>
      <w:r w:rsidR="006C4CBD" w:rsidRPr="00DD5383">
        <w:rPr>
          <w:rFonts w:ascii="Arial" w:eastAsia="Arial" w:hAnsi="Arial" w:cs="Arial"/>
          <w:sz w:val="22"/>
          <w:szCs w:val="22"/>
          <w:lang w:eastAsia="es-CO" w:bidi="es-CO"/>
        </w:rPr>
        <w:t>Comisión Nacional de Crédito Agropecuario</w:t>
      </w:r>
      <w:r w:rsidR="00336FF7">
        <w:rPr>
          <w:rFonts w:ascii="Arial" w:eastAsia="Arial" w:hAnsi="Arial" w:cs="Arial"/>
          <w:sz w:val="22"/>
          <w:szCs w:val="22"/>
          <w:lang w:eastAsia="es-CO" w:bidi="es-CO"/>
        </w:rPr>
        <w:t xml:space="preserve"> de la siguiente manera</w:t>
      </w:r>
      <w:r w:rsidR="006C4CBD" w:rsidRPr="00DD5383">
        <w:rPr>
          <w:rFonts w:ascii="Arial" w:eastAsia="Arial" w:hAnsi="Arial" w:cs="Arial"/>
          <w:sz w:val="22"/>
          <w:szCs w:val="22"/>
          <w:lang w:eastAsia="es-CO" w:bidi="es-CO"/>
        </w:rPr>
        <w:t>:</w:t>
      </w:r>
    </w:p>
    <w:p w14:paraId="4CD22519" w14:textId="77777777" w:rsidR="006C4CBD" w:rsidRPr="00DD5383" w:rsidRDefault="006C4CBD" w:rsidP="006C4CBD">
      <w:pPr>
        <w:pStyle w:val="c5"/>
        <w:tabs>
          <w:tab w:val="left" w:pos="1479"/>
        </w:tabs>
        <w:spacing w:line="240" w:lineRule="auto"/>
        <w:jc w:val="both"/>
        <w:rPr>
          <w:rFonts w:ascii="Arial" w:eastAsia="Arial" w:hAnsi="Arial" w:cs="Arial"/>
          <w:sz w:val="22"/>
          <w:szCs w:val="22"/>
          <w:lang w:eastAsia="es-CO" w:bidi="es-CO"/>
        </w:rPr>
      </w:pPr>
    </w:p>
    <w:p w14:paraId="34E619A8" w14:textId="19A4AF23" w:rsidR="006C4CBD" w:rsidRPr="00DD5383" w:rsidRDefault="006C4CBD" w:rsidP="006C4CBD">
      <w:pPr>
        <w:pStyle w:val="c5"/>
        <w:tabs>
          <w:tab w:val="left" w:pos="1479"/>
        </w:tabs>
        <w:spacing w:line="240" w:lineRule="auto"/>
        <w:jc w:val="both"/>
        <w:rPr>
          <w:rFonts w:ascii="Arial" w:hAnsi="Arial" w:cs="Arial"/>
          <w:color w:val="000000" w:themeColor="text1"/>
          <w:sz w:val="22"/>
          <w:szCs w:val="22"/>
        </w:rPr>
      </w:pPr>
      <w:r w:rsidRPr="00DD5383">
        <w:rPr>
          <w:rFonts w:ascii="Arial" w:eastAsia="Arial" w:hAnsi="Arial" w:cs="Arial"/>
          <w:sz w:val="22"/>
          <w:szCs w:val="22"/>
          <w:lang w:eastAsia="es-CO" w:bidi="es-CO"/>
        </w:rPr>
        <w:t>“</w:t>
      </w:r>
      <w:r w:rsidR="00DD5383" w:rsidRPr="00DD5383">
        <w:rPr>
          <w:rFonts w:ascii="Arial" w:eastAsia="Arial" w:hAnsi="Arial" w:cs="Arial"/>
          <w:sz w:val="22"/>
          <w:szCs w:val="22"/>
          <w:lang w:eastAsia="es-CO" w:bidi="es-CO"/>
        </w:rPr>
        <w:t>9</w:t>
      </w:r>
      <w:r w:rsidRPr="00DD5383">
        <w:rPr>
          <w:rFonts w:ascii="Arial" w:eastAsia="Arial" w:hAnsi="Arial" w:cs="Arial"/>
          <w:sz w:val="22"/>
          <w:szCs w:val="22"/>
          <w:lang w:eastAsia="es-CO" w:bidi="es-CO"/>
        </w:rPr>
        <w:t xml:space="preserve">. LEC </w:t>
      </w:r>
      <w:r w:rsidR="00DD5383" w:rsidRPr="00DD5383">
        <w:rPr>
          <w:rFonts w:ascii="Arial" w:hAnsi="Arial" w:cs="Arial"/>
          <w:color w:val="000000"/>
          <w:sz w:val="22"/>
          <w:szCs w:val="22"/>
        </w:rPr>
        <w:t>Forward ante la Emergencia</w:t>
      </w:r>
      <w:r w:rsidRPr="00DD5383">
        <w:rPr>
          <w:rFonts w:ascii="Arial" w:hAnsi="Arial" w:cs="Arial"/>
          <w:color w:val="000000" w:themeColor="text1"/>
          <w:sz w:val="22"/>
          <w:szCs w:val="22"/>
        </w:rPr>
        <w:t>”</w:t>
      </w:r>
    </w:p>
    <w:p w14:paraId="7A73193F" w14:textId="77777777" w:rsidR="006C4CBD" w:rsidRPr="00DD5383" w:rsidRDefault="006C4CBD" w:rsidP="006C4CBD">
      <w:pPr>
        <w:pStyle w:val="c5"/>
        <w:tabs>
          <w:tab w:val="left" w:pos="1479"/>
        </w:tabs>
        <w:spacing w:line="240" w:lineRule="auto"/>
        <w:jc w:val="both"/>
        <w:rPr>
          <w:rFonts w:ascii="Arial" w:hAnsi="Arial" w:cs="Arial"/>
          <w:color w:val="000000" w:themeColor="text1"/>
          <w:sz w:val="22"/>
          <w:szCs w:val="22"/>
        </w:rPr>
      </w:pPr>
    </w:p>
    <w:p w14:paraId="74EB517A" w14:textId="1D5BA031" w:rsidR="00E6703E" w:rsidRPr="00E3116D" w:rsidRDefault="006C4CBD" w:rsidP="006C4CBD">
      <w:pPr>
        <w:pStyle w:val="c5"/>
        <w:tabs>
          <w:tab w:val="left" w:pos="1479"/>
        </w:tabs>
        <w:jc w:val="both"/>
        <w:rPr>
          <w:rFonts w:ascii="Arial" w:eastAsia="Arial" w:hAnsi="Arial" w:cs="Arial"/>
          <w:bCs/>
          <w:sz w:val="22"/>
          <w:szCs w:val="22"/>
          <w:lang w:eastAsia="es-CO" w:bidi="es-CO"/>
        </w:rPr>
      </w:pPr>
      <w:r w:rsidRPr="003C79B3">
        <w:rPr>
          <w:rFonts w:ascii="Arial" w:eastAsia="Arial" w:hAnsi="Arial" w:cs="Arial"/>
          <w:b/>
          <w:sz w:val="22"/>
          <w:szCs w:val="22"/>
          <w:lang w:eastAsia="es-CO" w:bidi="es-CO"/>
        </w:rPr>
        <w:t xml:space="preserve">Artículo </w:t>
      </w:r>
      <w:r w:rsidR="00BC584A">
        <w:rPr>
          <w:rFonts w:ascii="Arial" w:eastAsia="Arial" w:hAnsi="Arial" w:cs="Arial"/>
          <w:b/>
          <w:sz w:val="22"/>
          <w:szCs w:val="22"/>
          <w:lang w:eastAsia="es-CO" w:bidi="es-CO"/>
        </w:rPr>
        <w:t>3</w:t>
      </w:r>
      <w:r w:rsidR="00E3116D">
        <w:rPr>
          <w:rFonts w:ascii="Arial" w:eastAsia="Arial" w:hAnsi="Arial" w:cs="Arial"/>
          <w:b/>
          <w:sz w:val="22"/>
          <w:szCs w:val="22"/>
          <w:lang w:eastAsia="es-CO" w:bidi="es-CO"/>
        </w:rPr>
        <w:t xml:space="preserve">º. </w:t>
      </w:r>
      <w:r w:rsidR="00E3116D">
        <w:rPr>
          <w:rFonts w:ascii="Arial" w:eastAsia="Arial" w:hAnsi="Arial" w:cs="Arial"/>
          <w:bCs/>
          <w:sz w:val="22"/>
          <w:szCs w:val="22"/>
          <w:lang w:eastAsia="es-CO" w:bidi="es-CO"/>
        </w:rPr>
        <w:t>Modificar el artículo 20 de la</w:t>
      </w:r>
      <w:r w:rsidR="00E3116D" w:rsidRPr="00463CB2">
        <w:rPr>
          <w:rFonts w:ascii="Arial" w:eastAsia="Arial" w:hAnsi="Arial" w:cs="Arial"/>
          <w:sz w:val="22"/>
          <w:szCs w:val="22"/>
          <w:lang w:eastAsia="es-CO" w:bidi="es-CO"/>
        </w:rPr>
        <w:t xml:space="preserve"> Resolución No. 18 de 2019 de la </w:t>
      </w:r>
      <w:r w:rsidR="00E3116D" w:rsidRPr="00DD5383">
        <w:rPr>
          <w:rFonts w:ascii="Arial" w:eastAsia="Arial" w:hAnsi="Arial" w:cs="Arial"/>
          <w:sz w:val="22"/>
          <w:szCs w:val="22"/>
          <w:lang w:eastAsia="es-CO" w:bidi="es-CO"/>
        </w:rPr>
        <w:t>Comisión Nacional de Crédito Agropecuario</w:t>
      </w:r>
      <w:r w:rsidR="00E3116D">
        <w:rPr>
          <w:rFonts w:ascii="Arial" w:eastAsia="Arial" w:hAnsi="Arial" w:cs="Arial"/>
          <w:sz w:val="22"/>
          <w:szCs w:val="22"/>
          <w:lang w:eastAsia="es-CO" w:bidi="es-CO"/>
        </w:rPr>
        <w:t xml:space="preserve"> de la siguiente manera:</w:t>
      </w:r>
    </w:p>
    <w:p w14:paraId="10EC3086" w14:textId="6C571DD9" w:rsidR="006C4CBD" w:rsidRDefault="006C4CBD" w:rsidP="00A72DA2">
      <w:pPr>
        <w:pStyle w:val="c5"/>
        <w:tabs>
          <w:tab w:val="left" w:pos="1479"/>
        </w:tabs>
        <w:jc w:val="both"/>
        <w:rPr>
          <w:rFonts w:ascii="Arial" w:eastAsia="Arial" w:hAnsi="Arial" w:cs="Arial"/>
          <w:bCs/>
          <w:sz w:val="22"/>
          <w:szCs w:val="22"/>
          <w:lang w:eastAsia="es-CO" w:bidi="es-CO"/>
        </w:rPr>
      </w:pPr>
    </w:p>
    <w:p w14:paraId="67162040" w14:textId="77278620" w:rsidR="00776F6B" w:rsidRPr="00B00411" w:rsidRDefault="00810610" w:rsidP="00776F6B">
      <w:pPr>
        <w:jc w:val="both"/>
        <w:outlineLvl w:val="1"/>
        <w:rPr>
          <w:rFonts w:ascii="Arial" w:hAnsi="Arial" w:cs="Arial"/>
          <w:color w:val="000000"/>
          <w:sz w:val="21"/>
          <w:szCs w:val="21"/>
          <w:lang w:eastAsia="es-ES"/>
        </w:rPr>
      </w:pPr>
      <w:r>
        <w:rPr>
          <w:rFonts w:ascii="Arial" w:hAnsi="Arial" w:cs="Arial"/>
          <w:bCs/>
          <w:color w:val="000000"/>
          <w:sz w:val="21"/>
          <w:szCs w:val="21"/>
          <w:lang w:eastAsia="es-ES"/>
        </w:rPr>
        <w:t>“</w:t>
      </w:r>
      <w:r w:rsidR="00776F6B" w:rsidRPr="00810610">
        <w:rPr>
          <w:rFonts w:ascii="Arial" w:hAnsi="Arial" w:cs="Arial"/>
          <w:bCs/>
          <w:color w:val="000000"/>
          <w:sz w:val="21"/>
          <w:szCs w:val="21"/>
          <w:lang w:eastAsia="es-ES"/>
        </w:rPr>
        <w:t xml:space="preserve">Artículo 20o. LEC </w:t>
      </w:r>
      <w:r w:rsidR="00CA72BE" w:rsidRPr="00810610">
        <w:rPr>
          <w:rFonts w:ascii="Arial" w:hAnsi="Arial" w:cs="Arial"/>
          <w:bCs/>
          <w:color w:val="000000"/>
          <w:sz w:val="22"/>
          <w:szCs w:val="22"/>
          <w:lang w:eastAsia="es-ES"/>
        </w:rPr>
        <w:t>Forward ante la Emergencia</w:t>
      </w:r>
      <w:r w:rsidR="00776F6B" w:rsidRPr="00B00411">
        <w:rPr>
          <w:rFonts w:ascii="Arial" w:hAnsi="Arial" w:cs="Arial"/>
          <w:b/>
          <w:bCs/>
          <w:color w:val="000000"/>
          <w:sz w:val="21"/>
          <w:szCs w:val="21"/>
          <w:lang w:eastAsia="es-ES"/>
        </w:rPr>
        <w:t>.</w:t>
      </w:r>
      <w:r w:rsidR="00776F6B" w:rsidRPr="00B00411">
        <w:rPr>
          <w:rFonts w:ascii="Arial" w:hAnsi="Arial" w:cs="Arial"/>
          <w:color w:val="000000"/>
          <w:sz w:val="21"/>
          <w:szCs w:val="21"/>
          <w:lang w:eastAsia="es-ES"/>
        </w:rPr>
        <w:t> La Línea Especial de Crédito “</w:t>
      </w:r>
      <w:r w:rsidR="00CA72BE" w:rsidRPr="00CA72BE">
        <w:rPr>
          <w:rFonts w:ascii="Arial" w:hAnsi="Arial" w:cs="Arial"/>
          <w:bCs/>
          <w:color w:val="000000"/>
          <w:sz w:val="22"/>
          <w:szCs w:val="22"/>
          <w:lang w:eastAsia="es-ES"/>
        </w:rPr>
        <w:t>Forward ante la Emergencia</w:t>
      </w:r>
      <w:r w:rsidR="00776F6B" w:rsidRPr="00B00411">
        <w:rPr>
          <w:rFonts w:ascii="Arial" w:hAnsi="Arial" w:cs="Arial"/>
          <w:color w:val="000000"/>
          <w:sz w:val="21"/>
          <w:szCs w:val="21"/>
          <w:lang w:eastAsia="es-ES"/>
        </w:rPr>
        <w:t>” tendrá las siguientes condiciones:</w:t>
      </w:r>
    </w:p>
    <w:p w14:paraId="56E03102" w14:textId="77777777" w:rsidR="00776F6B" w:rsidRPr="00B00411" w:rsidRDefault="00776F6B" w:rsidP="00776F6B">
      <w:pPr>
        <w:jc w:val="both"/>
        <w:outlineLvl w:val="1"/>
        <w:rPr>
          <w:rFonts w:ascii="Arial" w:hAnsi="Arial" w:cs="Arial"/>
          <w:color w:val="000000"/>
          <w:sz w:val="21"/>
          <w:szCs w:val="21"/>
          <w:lang w:eastAsia="es-ES"/>
        </w:rPr>
      </w:pPr>
    </w:p>
    <w:p w14:paraId="71C4F9EF" w14:textId="77777777" w:rsidR="00776F6B" w:rsidRDefault="00776F6B" w:rsidP="00776F6B">
      <w:pPr>
        <w:pStyle w:val="Prrafodelista"/>
        <w:numPr>
          <w:ilvl w:val="0"/>
          <w:numId w:val="2"/>
        </w:numPr>
        <w:jc w:val="both"/>
        <w:rPr>
          <w:rFonts w:ascii="Arial" w:hAnsi="Arial" w:cs="Arial"/>
          <w:color w:val="000000"/>
          <w:sz w:val="21"/>
          <w:szCs w:val="21"/>
          <w:lang w:eastAsia="es-ES"/>
        </w:rPr>
      </w:pPr>
      <w:r w:rsidRPr="00B00411">
        <w:rPr>
          <w:rFonts w:ascii="Arial" w:hAnsi="Arial" w:cs="Arial"/>
          <w:b/>
          <w:bCs/>
          <w:color w:val="000000"/>
          <w:sz w:val="21"/>
          <w:szCs w:val="21"/>
          <w:lang w:eastAsia="es-ES"/>
        </w:rPr>
        <w:t>Beneficiarios:</w:t>
      </w:r>
      <w:r w:rsidRPr="00B00411">
        <w:rPr>
          <w:rFonts w:ascii="Arial" w:hAnsi="Arial" w:cs="Arial"/>
          <w:color w:val="000000"/>
          <w:sz w:val="21"/>
          <w:szCs w:val="21"/>
          <w:lang w:eastAsia="es-ES"/>
        </w:rPr>
        <w:t xml:space="preserve"> Podrá</w:t>
      </w:r>
      <w:r>
        <w:rPr>
          <w:rFonts w:ascii="Arial" w:hAnsi="Arial" w:cs="Arial"/>
          <w:color w:val="000000"/>
          <w:sz w:val="21"/>
          <w:szCs w:val="21"/>
          <w:lang w:eastAsia="es-ES"/>
        </w:rPr>
        <w:t xml:space="preserve"> </w:t>
      </w:r>
      <w:r w:rsidRPr="00B00411">
        <w:rPr>
          <w:rFonts w:ascii="Arial" w:hAnsi="Arial" w:cs="Arial"/>
          <w:color w:val="000000"/>
          <w:sz w:val="21"/>
          <w:szCs w:val="21"/>
          <w:lang w:eastAsia="es-ES"/>
        </w:rPr>
        <w:t xml:space="preserve">acceder a esta LEC </w:t>
      </w:r>
      <w:r>
        <w:rPr>
          <w:rFonts w:ascii="Arial" w:hAnsi="Arial" w:cs="Arial"/>
          <w:color w:val="000000"/>
          <w:sz w:val="21"/>
          <w:szCs w:val="21"/>
          <w:lang w:eastAsia="es-ES"/>
        </w:rPr>
        <w:t xml:space="preserve">el integrador bursátil comprador, </w:t>
      </w:r>
      <w:r w:rsidRPr="00473CFA">
        <w:rPr>
          <w:rFonts w:ascii="Arial" w:hAnsi="Arial" w:cs="Arial"/>
          <w:color w:val="000000"/>
          <w:sz w:val="21"/>
          <w:szCs w:val="21"/>
          <w:lang w:eastAsia="es-ES"/>
        </w:rPr>
        <w:t>que es la persona natural o jurídica que participa en operaciones Forward con anticipo, en calidad de comprador de productos agropecuarios, agroindustriales, pesqueros, piscícolas y</w:t>
      </w:r>
      <w:r>
        <w:rPr>
          <w:rFonts w:ascii="Arial" w:hAnsi="Arial" w:cs="Arial"/>
          <w:color w:val="000000"/>
          <w:sz w:val="21"/>
          <w:szCs w:val="21"/>
          <w:lang w:eastAsia="es-ES"/>
        </w:rPr>
        <w:t>/o</w:t>
      </w:r>
      <w:r w:rsidRPr="00473CFA">
        <w:rPr>
          <w:rFonts w:ascii="Arial" w:hAnsi="Arial" w:cs="Arial"/>
          <w:color w:val="000000"/>
          <w:sz w:val="21"/>
          <w:szCs w:val="21"/>
          <w:lang w:eastAsia="es-ES"/>
        </w:rPr>
        <w:t xml:space="preserve"> forestales que se realicen en la</w:t>
      </w:r>
      <w:r>
        <w:rPr>
          <w:rFonts w:ascii="Arial" w:hAnsi="Arial" w:cs="Arial"/>
          <w:color w:val="000000"/>
          <w:sz w:val="21"/>
          <w:szCs w:val="21"/>
          <w:lang w:eastAsia="es-ES"/>
        </w:rPr>
        <w:t>s</w:t>
      </w:r>
      <w:r w:rsidRPr="00473CFA">
        <w:rPr>
          <w:rFonts w:ascii="Arial" w:hAnsi="Arial" w:cs="Arial"/>
          <w:color w:val="000000"/>
          <w:sz w:val="21"/>
          <w:szCs w:val="21"/>
          <w:lang w:eastAsia="es-ES"/>
        </w:rPr>
        <w:t xml:space="preserve"> Bolsas de Bienes y Productos Agropecuarios o de otros </w:t>
      </w:r>
      <w:proofErr w:type="spellStart"/>
      <w:r w:rsidRPr="00473CFA">
        <w:rPr>
          <w:rFonts w:ascii="Arial" w:hAnsi="Arial" w:cs="Arial"/>
          <w:color w:val="000000"/>
          <w:sz w:val="21"/>
          <w:szCs w:val="21"/>
          <w:lang w:eastAsia="es-ES"/>
        </w:rPr>
        <w:t>Commodities</w:t>
      </w:r>
      <w:proofErr w:type="spellEnd"/>
      <w:r w:rsidRPr="00473CFA">
        <w:rPr>
          <w:rFonts w:ascii="Arial" w:hAnsi="Arial" w:cs="Arial"/>
          <w:color w:val="000000"/>
          <w:sz w:val="21"/>
          <w:szCs w:val="21"/>
          <w:lang w:eastAsia="es-ES"/>
        </w:rPr>
        <w:t>.</w:t>
      </w:r>
    </w:p>
    <w:p w14:paraId="2CB5285B" w14:textId="77777777" w:rsidR="00776F6B" w:rsidRDefault="00776F6B" w:rsidP="00776F6B">
      <w:pPr>
        <w:pStyle w:val="Prrafodelista"/>
        <w:ind w:left="360"/>
        <w:jc w:val="both"/>
        <w:rPr>
          <w:rFonts w:ascii="Arial" w:hAnsi="Arial" w:cs="Arial"/>
          <w:b/>
          <w:bCs/>
          <w:color w:val="000000"/>
          <w:sz w:val="21"/>
          <w:szCs w:val="21"/>
          <w:lang w:eastAsia="es-ES"/>
        </w:rPr>
      </w:pPr>
    </w:p>
    <w:p w14:paraId="3CD9FF81" w14:textId="77777777" w:rsidR="00776F6B" w:rsidRPr="00473CFA" w:rsidRDefault="00776F6B" w:rsidP="00776F6B">
      <w:pPr>
        <w:pStyle w:val="Prrafodelista"/>
        <w:ind w:left="360"/>
        <w:jc w:val="both"/>
        <w:rPr>
          <w:rFonts w:ascii="Arial" w:hAnsi="Arial" w:cs="Arial"/>
          <w:color w:val="000000"/>
          <w:sz w:val="21"/>
          <w:szCs w:val="21"/>
          <w:lang w:eastAsia="es-ES"/>
        </w:rPr>
      </w:pPr>
      <w:r w:rsidRPr="00473CFA">
        <w:rPr>
          <w:rFonts w:ascii="Arial" w:hAnsi="Arial" w:cs="Arial"/>
          <w:color w:val="000000"/>
          <w:sz w:val="21"/>
          <w:szCs w:val="21"/>
          <w:lang w:eastAsia="es-ES"/>
        </w:rPr>
        <w:t xml:space="preserve">Los beneficiarios finales de esta LEC son los pequeños y medianos productores que actúen como vendedores en las operaciones Forward con anticipo celebradas en las Bolsas de Bienes y Productos Agropecuarios, Agroindustriales o de otros </w:t>
      </w:r>
      <w:proofErr w:type="spellStart"/>
      <w:r w:rsidRPr="00473CFA">
        <w:rPr>
          <w:rFonts w:ascii="Arial" w:hAnsi="Arial" w:cs="Arial"/>
          <w:color w:val="000000"/>
          <w:sz w:val="21"/>
          <w:szCs w:val="21"/>
          <w:lang w:eastAsia="es-ES"/>
        </w:rPr>
        <w:t>Commodities</w:t>
      </w:r>
      <w:proofErr w:type="spellEnd"/>
      <w:r w:rsidRPr="00473CFA">
        <w:rPr>
          <w:rFonts w:ascii="Arial" w:hAnsi="Arial" w:cs="Arial"/>
          <w:color w:val="000000"/>
          <w:sz w:val="21"/>
          <w:szCs w:val="21"/>
          <w:lang w:eastAsia="es-ES"/>
        </w:rPr>
        <w:t>, los cuales podrán ser asociaciones de pequeños y medianos productores, a quienes deber</w:t>
      </w:r>
      <w:r>
        <w:rPr>
          <w:rFonts w:ascii="Arial" w:hAnsi="Arial" w:cs="Arial"/>
          <w:color w:val="000000"/>
          <w:sz w:val="21"/>
          <w:szCs w:val="21"/>
          <w:lang w:eastAsia="es-ES"/>
        </w:rPr>
        <w:t>á</w:t>
      </w:r>
      <w:r w:rsidRPr="00473CFA">
        <w:rPr>
          <w:rFonts w:ascii="Arial" w:hAnsi="Arial" w:cs="Arial"/>
          <w:color w:val="000000"/>
          <w:sz w:val="21"/>
          <w:szCs w:val="21"/>
          <w:lang w:eastAsia="es-ES"/>
        </w:rPr>
        <w:t>n transferirse el beneficio de tasa de interés de esta línea.</w:t>
      </w:r>
    </w:p>
    <w:p w14:paraId="122BC68B" w14:textId="77777777" w:rsidR="00776F6B" w:rsidRPr="00473CFA" w:rsidRDefault="00776F6B" w:rsidP="00776F6B">
      <w:pPr>
        <w:pStyle w:val="Prrafodelista"/>
        <w:ind w:left="360"/>
        <w:jc w:val="both"/>
        <w:rPr>
          <w:rFonts w:ascii="Arial" w:hAnsi="Arial" w:cs="Arial"/>
          <w:color w:val="000000"/>
          <w:sz w:val="21"/>
          <w:szCs w:val="21"/>
          <w:lang w:eastAsia="es-ES"/>
        </w:rPr>
      </w:pPr>
    </w:p>
    <w:p w14:paraId="346C6B55" w14:textId="77777777" w:rsidR="00776F6B" w:rsidRPr="00D5260B" w:rsidRDefault="00776F6B" w:rsidP="00776F6B">
      <w:pPr>
        <w:pStyle w:val="Prrafodelista"/>
        <w:numPr>
          <w:ilvl w:val="0"/>
          <w:numId w:val="2"/>
        </w:numPr>
        <w:jc w:val="both"/>
        <w:rPr>
          <w:rFonts w:ascii="Arial" w:hAnsi="Arial" w:cs="Arial"/>
          <w:color w:val="000000"/>
          <w:sz w:val="21"/>
          <w:szCs w:val="21"/>
          <w:lang w:eastAsia="es-ES"/>
        </w:rPr>
      </w:pPr>
      <w:r w:rsidRPr="00473CFA">
        <w:rPr>
          <w:rFonts w:ascii="Arial" w:hAnsi="Arial" w:cs="Arial"/>
          <w:b/>
          <w:bCs/>
          <w:color w:val="000000"/>
          <w:sz w:val="21"/>
          <w:szCs w:val="21"/>
          <w:lang w:eastAsia="es-ES"/>
        </w:rPr>
        <w:t>Actividades financiables</w:t>
      </w:r>
      <w:r w:rsidRPr="00473CFA">
        <w:rPr>
          <w:rFonts w:ascii="Arial" w:hAnsi="Arial" w:cs="Arial"/>
          <w:color w:val="000000"/>
          <w:sz w:val="21"/>
          <w:szCs w:val="21"/>
          <w:lang w:eastAsia="es-ES"/>
        </w:rPr>
        <w:t xml:space="preserve">: </w:t>
      </w:r>
      <w:r>
        <w:rPr>
          <w:rFonts w:ascii="Arial" w:hAnsi="Arial" w:cs="Arial"/>
          <w:color w:val="000000"/>
          <w:sz w:val="21"/>
          <w:szCs w:val="21"/>
          <w:lang w:eastAsia="es-ES"/>
        </w:rPr>
        <w:t xml:space="preserve">El destino del crédito </w:t>
      </w:r>
      <w:r w:rsidRPr="00473CFA">
        <w:rPr>
          <w:rFonts w:ascii="Arial" w:hAnsi="Arial" w:cs="Arial"/>
          <w:color w:val="000000"/>
          <w:sz w:val="21"/>
          <w:szCs w:val="21"/>
          <w:lang w:eastAsia="es-ES"/>
        </w:rPr>
        <w:t>en esta LEC corresponde a</w:t>
      </w:r>
      <w:r>
        <w:rPr>
          <w:rFonts w:ascii="Arial" w:hAnsi="Arial" w:cs="Arial"/>
          <w:color w:val="000000"/>
          <w:sz w:val="21"/>
          <w:szCs w:val="21"/>
          <w:lang w:eastAsia="es-ES"/>
        </w:rPr>
        <w:t>l</w:t>
      </w:r>
      <w:r w:rsidRPr="00D5260B">
        <w:rPr>
          <w:rFonts w:ascii="Arial" w:hAnsi="Arial" w:cs="Arial"/>
          <w:color w:val="000000"/>
          <w:sz w:val="21"/>
          <w:szCs w:val="21"/>
          <w:lang w:eastAsia="es-ES"/>
        </w:rPr>
        <w:t xml:space="preserve"> pago de los anticipos que se pacten en las operaciones Forward </w:t>
      </w:r>
      <w:r>
        <w:rPr>
          <w:rFonts w:ascii="Arial" w:hAnsi="Arial" w:cs="Arial"/>
          <w:color w:val="000000"/>
          <w:sz w:val="21"/>
          <w:szCs w:val="21"/>
          <w:lang w:eastAsia="es-ES"/>
        </w:rPr>
        <w:t xml:space="preserve">de productos agropecuarios, </w:t>
      </w:r>
      <w:r>
        <w:rPr>
          <w:rFonts w:ascii="Arial" w:hAnsi="Arial" w:cs="Arial"/>
          <w:color w:val="000000"/>
          <w:sz w:val="21"/>
          <w:szCs w:val="21"/>
          <w:lang w:eastAsia="es-ES"/>
        </w:rPr>
        <w:lastRenderedPageBreak/>
        <w:t xml:space="preserve">agroindustriales, pesqueros, piscícolas y forestales que se realicen a través de </w:t>
      </w:r>
      <w:r w:rsidRPr="00D5260B">
        <w:rPr>
          <w:rFonts w:ascii="Arial" w:hAnsi="Arial" w:cs="Arial"/>
          <w:color w:val="000000"/>
          <w:sz w:val="21"/>
          <w:szCs w:val="21"/>
          <w:lang w:eastAsia="es-ES"/>
        </w:rPr>
        <w:t>la</w:t>
      </w:r>
      <w:r>
        <w:rPr>
          <w:rFonts w:ascii="Arial" w:hAnsi="Arial" w:cs="Arial"/>
          <w:color w:val="000000"/>
          <w:sz w:val="21"/>
          <w:szCs w:val="21"/>
          <w:lang w:eastAsia="es-ES"/>
        </w:rPr>
        <w:t xml:space="preserve">s </w:t>
      </w:r>
      <w:r w:rsidRPr="00D5260B">
        <w:rPr>
          <w:rFonts w:ascii="Arial" w:hAnsi="Arial" w:cs="Arial"/>
          <w:color w:val="000000"/>
          <w:sz w:val="21"/>
          <w:szCs w:val="21"/>
          <w:lang w:eastAsia="es-ES"/>
        </w:rPr>
        <w:t>Bolsa</w:t>
      </w:r>
      <w:r>
        <w:rPr>
          <w:rFonts w:ascii="Arial" w:hAnsi="Arial" w:cs="Arial"/>
          <w:color w:val="000000"/>
          <w:sz w:val="21"/>
          <w:szCs w:val="21"/>
          <w:lang w:eastAsia="es-ES"/>
        </w:rPr>
        <w:t>s</w:t>
      </w:r>
      <w:r w:rsidRPr="00D5260B">
        <w:rPr>
          <w:rFonts w:ascii="Arial" w:hAnsi="Arial" w:cs="Arial"/>
          <w:color w:val="000000"/>
          <w:sz w:val="21"/>
          <w:szCs w:val="21"/>
          <w:lang w:eastAsia="es-ES"/>
        </w:rPr>
        <w:t xml:space="preserve"> de Bienes y Productos Agropecuarios, Agroindustriales o de otros </w:t>
      </w:r>
      <w:proofErr w:type="spellStart"/>
      <w:r w:rsidRPr="00D5260B">
        <w:rPr>
          <w:rFonts w:ascii="Arial" w:hAnsi="Arial" w:cs="Arial"/>
          <w:color w:val="000000"/>
          <w:sz w:val="21"/>
          <w:szCs w:val="21"/>
          <w:lang w:eastAsia="es-ES"/>
        </w:rPr>
        <w:t>Commodities</w:t>
      </w:r>
      <w:proofErr w:type="spellEnd"/>
      <w:r>
        <w:rPr>
          <w:rFonts w:ascii="Arial" w:hAnsi="Arial" w:cs="Arial"/>
          <w:color w:val="000000"/>
          <w:sz w:val="21"/>
          <w:szCs w:val="21"/>
          <w:lang w:eastAsia="es-ES"/>
        </w:rPr>
        <w:t xml:space="preserve">. </w:t>
      </w:r>
    </w:p>
    <w:p w14:paraId="3E5E757E" w14:textId="77777777" w:rsidR="00776F6B" w:rsidRPr="00B00411" w:rsidRDefault="00776F6B" w:rsidP="00776F6B">
      <w:pPr>
        <w:jc w:val="both"/>
        <w:rPr>
          <w:rFonts w:ascii="Arial" w:hAnsi="Arial" w:cs="Arial"/>
          <w:b/>
          <w:bCs/>
          <w:color w:val="000000"/>
          <w:sz w:val="21"/>
          <w:szCs w:val="21"/>
          <w:lang w:eastAsia="es-ES"/>
        </w:rPr>
      </w:pPr>
    </w:p>
    <w:p w14:paraId="48CE45E7" w14:textId="77777777" w:rsidR="00776F6B" w:rsidRPr="00473CFA" w:rsidRDefault="00776F6B" w:rsidP="00776F6B">
      <w:pPr>
        <w:pStyle w:val="Prrafodelista"/>
        <w:numPr>
          <w:ilvl w:val="0"/>
          <w:numId w:val="2"/>
        </w:numPr>
        <w:jc w:val="both"/>
        <w:rPr>
          <w:rFonts w:ascii="Arial" w:hAnsi="Arial" w:cs="Arial"/>
          <w:color w:val="000000"/>
          <w:sz w:val="21"/>
          <w:szCs w:val="21"/>
          <w:lang w:eastAsia="es-ES"/>
        </w:rPr>
      </w:pPr>
      <w:r>
        <w:rPr>
          <w:rFonts w:ascii="Arial" w:hAnsi="Arial" w:cs="Arial"/>
          <w:b/>
          <w:bCs/>
          <w:color w:val="000000"/>
          <w:sz w:val="21"/>
          <w:szCs w:val="21"/>
          <w:lang w:eastAsia="es-ES"/>
        </w:rPr>
        <w:t>Plazos.</w:t>
      </w:r>
      <w:r w:rsidRPr="00473CFA">
        <w:rPr>
          <w:rFonts w:ascii="Arial" w:hAnsi="Arial" w:cs="Arial"/>
          <w:color w:val="000000"/>
          <w:sz w:val="21"/>
          <w:szCs w:val="21"/>
          <w:lang w:eastAsia="es-ES"/>
        </w:rPr>
        <w:t xml:space="preserve"> El plazo </w:t>
      </w:r>
      <w:r>
        <w:rPr>
          <w:rFonts w:ascii="Arial" w:hAnsi="Arial" w:cs="Arial"/>
          <w:color w:val="000000"/>
          <w:sz w:val="21"/>
          <w:szCs w:val="21"/>
          <w:lang w:eastAsia="es-ES"/>
        </w:rPr>
        <w:t xml:space="preserve">máximo </w:t>
      </w:r>
      <w:r w:rsidRPr="00473CFA">
        <w:rPr>
          <w:rFonts w:ascii="Arial" w:hAnsi="Arial" w:cs="Arial"/>
          <w:color w:val="000000"/>
          <w:sz w:val="21"/>
          <w:szCs w:val="21"/>
          <w:lang w:eastAsia="es-ES"/>
        </w:rPr>
        <w:t>del crédito y de</w:t>
      </w:r>
      <w:r>
        <w:rPr>
          <w:rFonts w:ascii="Arial" w:hAnsi="Arial" w:cs="Arial"/>
          <w:color w:val="000000"/>
          <w:sz w:val="21"/>
          <w:szCs w:val="21"/>
          <w:lang w:eastAsia="es-ES"/>
        </w:rPr>
        <w:t>l</w:t>
      </w:r>
      <w:r w:rsidRPr="00473CFA">
        <w:rPr>
          <w:rFonts w:ascii="Arial" w:hAnsi="Arial" w:cs="Arial"/>
          <w:color w:val="000000"/>
          <w:sz w:val="21"/>
          <w:szCs w:val="21"/>
          <w:lang w:eastAsia="es-ES"/>
        </w:rPr>
        <w:t xml:space="preserve"> otorgamiento del subsidio será hasta de </w:t>
      </w:r>
      <w:r>
        <w:rPr>
          <w:rFonts w:ascii="Arial" w:hAnsi="Arial" w:cs="Arial"/>
          <w:color w:val="000000"/>
          <w:sz w:val="21"/>
          <w:szCs w:val="21"/>
          <w:lang w:eastAsia="es-ES"/>
        </w:rPr>
        <w:t>6 meses</w:t>
      </w:r>
      <w:r w:rsidRPr="00473CFA">
        <w:rPr>
          <w:rFonts w:ascii="Arial" w:hAnsi="Arial" w:cs="Arial"/>
          <w:color w:val="000000"/>
          <w:sz w:val="21"/>
          <w:szCs w:val="21"/>
          <w:lang w:eastAsia="es-ES"/>
        </w:rPr>
        <w:t>.</w:t>
      </w:r>
    </w:p>
    <w:p w14:paraId="2C5C94AC" w14:textId="77777777" w:rsidR="00776F6B" w:rsidRPr="00B00411" w:rsidRDefault="00776F6B" w:rsidP="00776F6B">
      <w:pPr>
        <w:pStyle w:val="Prrafodelista"/>
        <w:jc w:val="both"/>
        <w:rPr>
          <w:rFonts w:ascii="Arial" w:hAnsi="Arial" w:cs="Arial"/>
          <w:b/>
          <w:bCs/>
          <w:color w:val="000000"/>
          <w:sz w:val="21"/>
          <w:szCs w:val="21"/>
          <w:lang w:eastAsia="es-ES"/>
        </w:rPr>
      </w:pPr>
    </w:p>
    <w:p w14:paraId="76C05795" w14:textId="77777777" w:rsidR="00776F6B" w:rsidRPr="00B00411" w:rsidRDefault="00776F6B" w:rsidP="00776F6B">
      <w:pPr>
        <w:pStyle w:val="Prrafodelista"/>
        <w:numPr>
          <w:ilvl w:val="0"/>
          <w:numId w:val="2"/>
        </w:numPr>
        <w:jc w:val="both"/>
        <w:rPr>
          <w:rFonts w:ascii="Arial" w:hAnsi="Arial" w:cs="Arial"/>
          <w:color w:val="000000"/>
          <w:sz w:val="21"/>
          <w:szCs w:val="21"/>
          <w:lang w:eastAsia="es-ES"/>
        </w:rPr>
      </w:pPr>
      <w:r w:rsidRPr="00B00411">
        <w:rPr>
          <w:rFonts w:ascii="Arial" w:hAnsi="Arial" w:cs="Arial"/>
          <w:b/>
          <w:bCs/>
          <w:color w:val="000000"/>
          <w:sz w:val="21"/>
          <w:szCs w:val="21"/>
          <w:lang w:eastAsia="es-ES"/>
        </w:rPr>
        <w:t>Tasa de Redescuento y de Interés al Beneficiario</w:t>
      </w:r>
      <w:r w:rsidRPr="00B00411">
        <w:rPr>
          <w:rFonts w:ascii="Arial" w:hAnsi="Arial" w:cs="Arial"/>
          <w:color w:val="000000"/>
          <w:sz w:val="21"/>
          <w:szCs w:val="21"/>
          <w:lang w:eastAsia="es-ES"/>
        </w:rPr>
        <w:t xml:space="preserve">: </w:t>
      </w:r>
      <w:r w:rsidRPr="00A84C9A">
        <w:rPr>
          <w:rFonts w:ascii="Arial" w:hAnsi="Arial" w:cs="Arial"/>
          <w:color w:val="000000"/>
          <w:sz w:val="21"/>
          <w:szCs w:val="21"/>
          <w:lang w:eastAsia="es-ES"/>
        </w:rPr>
        <w:t>La línea contará con el siguiente esquema de otorgamiento del subsidio a la tasa final al productor</w:t>
      </w:r>
      <w:r w:rsidRPr="00B00411">
        <w:rPr>
          <w:rFonts w:ascii="Arial" w:hAnsi="Arial" w:cs="Arial"/>
          <w:color w:val="000000"/>
          <w:sz w:val="21"/>
          <w:szCs w:val="21"/>
          <w:lang w:eastAsia="es-ES"/>
        </w:rPr>
        <w:t>.</w:t>
      </w:r>
    </w:p>
    <w:p w14:paraId="4BECEBCF" w14:textId="77777777" w:rsidR="00776F6B" w:rsidRDefault="00776F6B" w:rsidP="00776F6B">
      <w:pPr>
        <w:ind w:left="708" w:firstLine="708"/>
        <w:jc w:val="both"/>
        <w:outlineLvl w:val="1"/>
        <w:rPr>
          <w:rFonts w:ascii="Arial" w:hAnsi="Arial" w:cs="Arial"/>
          <w:b/>
          <w:color w:val="000000"/>
          <w:sz w:val="22"/>
          <w:szCs w:val="22"/>
          <w:lang w:eastAsia="es-CO"/>
        </w:rPr>
      </w:pPr>
    </w:p>
    <w:p w14:paraId="5B1F47A1" w14:textId="77777777" w:rsidR="00776F6B" w:rsidRPr="00B00411" w:rsidRDefault="00776F6B" w:rsidP="00776F6B">
      <w:pPr>
        <w:ind w:left="1416"/>
        <w:jc w:val="both"/>
        <w:outlineLvl w:val="1"/>
        <w:rPr>
          <w:rFonts w:ascii="Arial" w:hAnsi="Arial" w:cs="Arial"/>
          <w:color w:val="000000"/>
          <w:sz w:val="21"/>
          <w:szCs w:val="21"/>
          <w:lang w:eastAsia="es-ES"/>
        </w:rPr>
      </w:pPr>
      <w:r w:rsidRPr="0039289D">
        <w:rPr>
          <w:rFonts w:ascii="Arial" w:hAnsi="Arial" w:cs="Arial"/>
          <w:b/>
          <w:color w:val="000000"/>
          <w:sz w:val="22"/>
          <w:szCs w:val="22"/>
          <w:lang w:eastAsia="es-CO"/>
        </w:rPr>
        <w:t>Condiciones financieras en DTF</w:t>
      </w:r>
    </w:p>
    <w:tbl>
      <w:tblPr>
        <w:tblW w:w="5900" w:type="dxa"/>
        <w:tblInd w:w="1762" w:type="dxa"/>
        <w:tblCellMar>
          <w:left w:w="70" w:type="dxa"/>
          <w:right w:w="70" w:type="dxa"/>
        </w:tblCellMar>
        <w:tblLook w:val="04A0" w:firstRow="1" w:lastRow="0" w:firstColumn="1" w:lastColumn="0" w:noHBand="0" w:noVBand="1"/>
      </w:tblPr>
      <w:tblGrid>
        <w:gridCol w:w="1300"/>
        <w:gridCol w:w="1580"/>
        <w:gridCol w:w="1300"/>
        <w:gridCol w:w="1720"/>
      </w:tblGrid>
      <w:tr w:rsidR="00776F6B" w:rsidRPr="00D5260B" w14:paraId="12C5304A" w14:textId="77777777" w:rsidTr="00E04BDD">
        <w:trPr>
          <w:trHeight w:val="700"/>
        </w:trPr>
        <w:tc>
          <w:tcPr>
            <w:tcW w:w="1300" w:type="dxa"/>
            <w:tcBorders>
              <w:top w:val="single" w:sz="4" w:space="0" w:color="auto"/>
              <w:left w:val="nil"/>
              <w:bottom w:val="single" w:sz="8" w:space="0" w:color="auto"/>
              <w:right w:val="nil"/>
            </w:tcBorders>
            <w:shd w:val="clear" w:color="000000" w:fill="FFFFFF"/>
            <w:vAlign w:val="center"/>
            <w:hideMark/>
          </w:tcPr>
          <w:p w14:paraId="5A0BC6C0" w14:textId="77777777" w:rsidR="00776F6B" w:rsidRPr="00D5260B" w:rsidRDefault="00776F6B" w:rsidP="00E04BDD">
            <w:pPr>
              <w:jc w:val="both"/>
              <w:rPr>
                <w:rFonts w:ascii="Arial" w:hAnsi="Arial" w:cs="Arial"/>
                <w:b/>
                <w:bCs/>
                <w:color w:val="000000"/>
                <w:sz w:val="21"/>
                <w:szCs w:val="21"/>
              </w:rPr>
            </w:pPr>
            <w:r w:rsidRPr="00D5260B">
              <w:rPr>
                <w:rFonts w:ascii="Arial" w:hAnsi="Arial" w:cs="Arial"/>
                <w:b/>
                <w:bCs/>
                <w:color w:val="000000"/>
                <w:sz w:val="21"/>
                <w:szCs w:val="21"/>
              </w:rPr>
              <w:t>Tipo de Productor</w:t>
            </w:r>
          </w:p>
        </w:tc>
        <w:tc>
          <w:tcPr>
            <w:tcW w:w="1580" w:type="dxa"/>
            <w:tcBorders>
              <w:top w:val="single" w:sz="4" w:space="0" w:color="auto"/>
              <w:left w:val="nil"/>
              <w:bottom w:val="single" w:sz="8" w:space="0" w:color="auto"/>
              <w:right w:val="nil"/>
            </w:tcBorders>
            <w:shd w:val="clear" w:color="000000" w:fill="FFFFFF"/>
            <w:vAlign w:val="center"/>
            <w:hideMark/>
          </w:tcPr>
          <w:p w14:paraId="10D496BC" w14:textId="77777777" w:rsidR="00776F6B" w:rsidRPr="00D5260B" w:rsidRDefault="00776F6B" w:rsidP="00E04BDD">
            <w:pPr>
              <w:jc w:val="both"/>
              <w:rPr>
                <w:rFonts w:ascii="Arial" w:hAnsi="Arial" w:cs="Arial"/>
                <w:b/>
                <w:bCs/>
                <w:color w:val="000000"/>
                <w:sz w:val="21"/>
                <w:szCs w:val="21"/>
              </w:rPr>
            </w:pPr>
            <w:r w:rsidRPr="00D5260B">
              <w:rPr>
                <w:rFonts w:ascii="Arial" w:hAnsi="Arial" w:cs="Arial"/>
                <w:b/>
                <w:bCs/>
                <w:color w:val="000000"/>
                <w:sz w:val="21"/>
                <w:szCs w:val="21"/>
              </w:rPr>
              <w:t>Tasa de Redescuento</w:t>
            </w:r>
          </w:p>
        </w:tc>
        <w:tc>
          <w:tcPr>
            <w:tcW w:w="1300" w:type="dxa"/>
            <w:tcBorders>
              <w:top w:val="single" w:sz="4" w:space="0" w:color="auto"/>
              <w:left w:val="nil"/>
              <w:bottom w:val="single" w:sz="8" w:space="0" w:color="auto"/>
              <w:right w:val="nil"/>
            </w:tcBorders>
            <w:shd w:val="clear" w:color="000000" w:fill="FFFFFF"/>
            <w:vAlign w:val="center"/>
            <w:hideMark/>
          </w:tcPr>
          <w:p w14:paraId="46A75BC0" w14:textId="77777777" w:rsidR="00776F6B" w:rsidRPr="00D5260B" w:rsidRDefault="00776F6B" w:rsidP="00E04BDD">
            <w:pPr>
              <w:jc w:val="both"/>
              <w:rPr>
                <w:rFonts w:ascii="Arial" w:hAnsi="Arial" w:cs="Arial"/>
                <w:b/>
                <w:bCs/>
                <w:color w:val="000000"/>
                <w:sz w:val="21"/>
                <w:szCs w:val="21"/>
              </w:rPr>
            </w:pPr>
            <w:r w:rsidRPr="00D5260B">
              <w:rPr>
                <w:rFonts w:ascii="Arial" w:hAnsi="Arial" w:cs="Arial"/>
                <w:b/>
                <w:bCs/>
                <w:color w:val="000000"/>
                <w:sz w:val="21"/>
                <w:szCs w:val="21"/>
              </w:rPr>
              <w:t>Subsidio</w:t>
            </w:r>
            <w:r>
              <w:rPr>
                <w:rFonts w:ascii="Arial" w:hAnsi="Arial" w:cs="Arial"/>
                <w:b/>
                <w:bCs/>
                <w:color w:val="000000"/>
                <w:sz w:val="21"/>
                <w:szCs w:val="21"/>
              </w:rPr>
              <w:t xml:space="preserve"> a la tasa</w:t>
            </w:r>
          </w:p>
        </w:tc>
        <w:tc>
          <w:tcPr>
            <w:tcW w:w="1720" w:type="dxa"/>
            <w:tcBorders>
              <w:top w:val="single" w:sz="4" w:space="0" w:color="auto"/>
              <w:left w:val="nil"/>
              <w:bottom w:val="single" w:sz="8" w:space="0" w:color="auto"/>
              <w:right w:val="nil"/>
            </w:tcBorders>
            <w:shd w:val="clear" w:color="000000" w:fill="FFFFFF"/>
            <w:vAlign w:val="center"/>
            <w:hideMark/>
          </w:tcPr>
          <w:p w14:paraId="1D77AA19" w14:textId="77777777" w:rsidR="00776F6B" w:rsidRPr="00D5260B" w:rsidRDefault="00776F6B" w:rsidP="00E04BDD">
            <w:pPr>
              <w:jc w:val="both"/>
              <w:rPr>
                <w:rFonts w:ascii="Arial" w:hAnsi="Arial" w:cs="Arial"/>
                <w:b/>
                <w:bCs/>
                <w:color w:val="000000"/>
                <w:sz w:val="21"/>
                <w:szCs w:val="21"/>
              </w:rPr>
            </w:pPr>
            <w:r w:rsidRPr="00D5260B">
              <w:rPr>
                <w:rFonts w:ascii="Arial" w:hAnsi="Arial" w:cs="Arial"/>
                <w:b/>
                <w:bCs/>
                <w:color w:val="000000"/>
                <w:sz w:val="21"/>
                <w:szCs w:val="21"/>
              </w:rPr>
              <w:t>Tasa de Interés con Subsidio</w:t>
            </w:r>
          </w:p>
        </w:tc>
      </w:tr>
      <w:tr w:rsidR="00776F6B" w:rsidRPr="00D5260B" w14:paraId="79F3BBB9" w14:textId="77777777" w:rsidTr="00E04BDD">
        <w:trPr>
          <w:trHeight w:val="700"/>
        </w:trPr>
        <w:tc>
          <w:tcPr>
            <w:tcW w:w="1300" w:type="dxa"/>
            <w:tcBorders>
              <w:top w:val="nil"/>
              <w:left w:val="nil"/>
              <w:bottom w:val="single" w:sz="8" w:space="0" w:color="auto"/>
              <w:right w:val="nil"/>
            </w:tcBorders>
            <w:shd w:val="clear" w:color="000000" w:fill="FFFFFF"/>
            <w:vAlign w:val="center"/>
            <w:hideMark/>
          </w:tcPr>
          <w:p w14:paraId="31DA4AFE" w14:textId="77777777" w:rsidR="00776F6B" w:rsidRPr="00D5260B" w:rsidRDefault="00776F6B" w:rsidP="00E04BDD">
            <w:pPr>
              <w:jc w:val="both"/>
              <w:rPr>
                <w:rFonts w:ascii="Arial" w:hAnsi="Arial" w:cs="Arial"/>
                <w:color w:val="000000"/>
                <w:sz w:val="21"/>
                <w:szCs w:val="21"/>
              </w:rPr>
            </w:pPr>
            <w:r w:rsidRPr="00D5260B">
              <w:rPr>
                <w:rFonts w:ascii="Arial" w:hAnsi="Arial" w:cs="Arial"/>
                <w:color w:val="000000"/>
                <w:sz w:val="21"/>
                <w:szCs w:val="21"/>
              </w:rPr>
              <w:t>Integrador Bursátil</w:t>
            </w:r>
          </w:p>
        </w:tc>
        <w:tc>
          <w:tcPr>
            <w:tcW w:w="1580" w:type="dxa"/>
            <w:tcBorders>
              <w:top w:val="nil"/>
              <w:left w:val="nil"/>
              <w:bottom w:val="single" w:sz="8" w:space="0" w:color="auto"/>
              <w:right w:val="nil"/>
            </w:tcBorders>
            <w:shd w:val="clear" w:color="000000" w:fill="FFFFFF"/>
            <w:noWrap/>
            <w:vAlign w:val="center"/>
            <w:hideMark/>
          </w:tcPr>
          <w:p w14:paraId="1E7BD063" w14:textId="77777777" w:rsidR="00776F6B" w:rsidRPr="00D5260B" w:rsidRDefault="00776F6B" w:rsidP="00E04BDD">
            <w:pPr>
              <w:jc w:val="both"/>
              <w:rPr>
                <w:rFonts w:ascii="Arial" w:hAnsi="Arial" w:cs="Arial"/>
                <w:color w:val="000000"/>
                <w:sz w:val="21"/>
                <w:szCs w:val="21"/>
              </w:rPr>
            </w:pPr>
            <w:r w:rsidRPr="00D5260B">
              <w:rPr>
                <w:rFonts w:ascii="Arial" w:hAnsi="Arial" w:cs="Arial"/>
                <w:color w:val="000000"/>
                <w:sz w:val="21"/>
                <w:szCs w:val="21"/>
              </w:rPr>
              <w:t>DTF - 1,0%</w:t>
            </w:r>
            <w:r>
              <w:rPr>
                <w:rFonts w:ascii="Arial" w:hAnsi="Arial" w:cs="Arial"/>
                <w:color w:val="000000"/>
                <w:sz w:val="21"/>
                <w:szCs w:val="21"/>
              </w:rPr>
              <w:t xml:space="preserve"> </w:t>
            </w:r>
            <w:proofErr w:type="spellStart"/>
            <w:r>
              <w:rPr>
                <w:rFonts w:ascii="Arial" w:hAnsi="Arial" w:cs="Arial"/>
                <w:color w:val="000000"/>
                <w:sz w:val="21"/>
                <w:szCs w:val="21"/>
              </w:rPr>
              <w:t>e.a</w:t>
            </w:r>
            <w:proofErr w:type="spellEnd"/>
            <w:r>
              <w:rPr>
                <w:rFonts w:ascii="Arial" w:hAnsi="Arial" w:cs="Arial"/>
                <w:color w:val="000000"/>
                <w:sz w:val="21"/>
                <w:szCs w:val="21"/>
              </w:rPr>
              <w:t>.</w:t>
            </w:r>
          </w:p>
        </w:tc>
        <w:tc>
          <w:tcPr>
            <w:tcW w:w="1300" w:type="dxa"/>
            <w:tcBorders>
              <w:top w:val="nil"/>
              <w:left w:val="nil"/>
              <w:bottom w:val="single" w:sz="8" w:space="0" w:color="auto"/>
              <w:right w:val="nil"/>
            </w:tcBorders>
            <w:shd w:val="clear" w:color="000000" w:fill="FFFFFF"/>
            <w:noWrap/>
            <w:vAlign w:val="center"/>
            <w:hideMark/>
          </w:tcPr>
          <w:p w14:paraId="0EF61ED7" w14:textId="77777777" w:rsidR="00776F6B" w:rsidRPr="00D5260B" w:rsidRDefault="00776F6B" w:rsidP="00E04BDD">
            <w:pPr>
              <w:jc w:val="both"/>
              <w:rPr>
                <w:rFonts w:ascii="Arial" w:hAnsi="Arial" w:cs="Arial"/>
                <w:color w:val="000000"/>
                <w:sz w:val="21"/>
                <w:szCs w:val="21"/>
              </w:rPr>
            </w:pPr>
            <w:r w:rsidRPr="00D5260B">
              <w:rPr>
                <w:rFonts w:ascii="Arial" w:hAnsi="Arial" w:cs="Arial"/>
                <w:color w:val="000000"/>
                <w:sz w:val="21"/>
                <w:szCs w:val="21"/>
              </w:rPr>
              <w:t>4%</w:t>
            </w:r>
            <w:r>
              <w:rPr>
                <w:rFonts w:ascii="Arial" w:hAnsi="Arial" w:cs="Arial"/>
                <w:color w:val="000000"/>
                <w:sz w:val="21"/>
                <w:szCs w:val="21"/>
              </w:rPr>
              <w:t xml:space="preserve"> </w:t>
            </w:r>
            <w:proofErr w:type="spellStart"/>
            <w:r>
              <w:rPr>
                <w:rFonts w:ascii="Arial" w:hAnsi="Arial" w:cs="Arial"/>
                <w:color w:val="000000"/>
                <w:sz w:val="21"/>
                <w:szCs w:val="21"/>
              </w:rPr>
              <w:t>e.a</w:t>
            </w:r>
            <w:proofErr w:type="spellEnd"/>
            <w:r>
              <w:rPr>
                <w:rFonts w:ascii="Arial" w:hAnsi="Arial" w:cs="Arial"/>
                <w:color w:val="000000"/>
                <w:sz w:val="21"/>
                <w:szCs w:val="21"/>
              </w:rPr>
              <w:t>.</w:t>
            </w:r>
          </w:p>
        </w:tc>
        <w:tc>
          <w:tcPr>
            <w:tcW w:w="1720" w:type="dxa"/>
            <w:tcBorders>
              <w:top w:val="nil"/>
              <w:left w:val="nil"/>
              <w:bottom w:val="single" w:sz="8" w:space="0" w:color="auto"/>
              <w:right w:val="nil"/>
            </w:tcBorders>
            <w:shd w:val="clear" w:color="000000" w:fill="FFFFFF"/>
            <w:noWrap/>
            <w:vAlign w:val="center"/>
            <w:hideMark/>
          </w:tcPr>
          <w:p w14:paraId="1309CC6A" w14:textId="77777777" w:rsidR="00776F6B" w:rsidRPr="00D5260B" w:rsidRDefault="00776F6B" w:rsidP="00E04BDD">
            <w:pPr>
              <w:jc w:val="both"/>
              <w:rPr>
                <w:rFonts w:ascii="Arial" w:hAnsi="Arial" w:cs="Arial"/>
                <w:color w:val="000000"/>
                <w:sz w:val="21"/>
                <w:szCs w:val="21"/>
              </w:rPr>
            </w:pPr>
            <w:r w:rsidRPr="00D5260B">
              <w:rPr>
                <w:rFonts w:ascii="Arial" w:hAnsi="Arial" w:cs="Arial"/>
                <w:color w:val="000000"/>
                <w:sz w:val="21"/>
                <w:szCs w:val="21"/>
              </w:rPr>
              <w:t>Hasta D</w:t>
            </w:r>
            <w:r>
              <w:rPr>
                <w:rFonts w:ascii="Arial" w:hAnsi="Arial" w:cs="Arial"/>
                <w:color w:val="000000"/>
                <w:sz w:val="21"/>
                <w:szCs w:val="21"/>
              </w:rPr>
              <w:t>TF</w:t>
            </w:r>
            <w:r w:rsidRPr="00D5260B">
              <w:rPr>
                <w:rFonts w:ascii="Arial" w:hAnsi="Arial" w:cs="Arial"/>
                <w:color w:val="000000"/>
                <w:sz w:val="21"/>
                <w:szCs w:val="21"/>
              </w:rPr>
              <w:t>+2%</w:t>
            </w:r>
            <w:r>
              <w:rPr>
                <w:rFonts w:ascii="Arial" w:hAnsi="Arial" w:cs="Arial"/>
                <w:color w:val="000000"/>
                <w:sz w:val="21"/>
                <w:szCs w:val="21"/>
              </w:rPr>
              <w:t xml:space="preserve"> </w:t>
            </w:r>
            <w:proofErr w:type="spellStart"/>
            <w:r>
              <w:rPr>
                <w:rFonts w:ascii="Arial" w:hAnsi="Arial" w:cs="Arial"/>
                <w:color w:val="000000"/>
                <w:sz w:val="21"/>
                <w:szCs w:val="21"/>
              </w:rPr>
              <w:t>e.a</w:t>
            </w:r>
            <w:proofErr w:type="spellEnd"/>
            <w:r>
              <w:rPr>
                <w:rFonts w:ascii="Arial" w:hAnsi="Arial" w:cs="Arial"/>
                <w:color w:val="000000"/>
                <w:sz w:val="21"/>
                <w:szCs w:val="21"/>
              </w:rPr>
              <w:t>.</w:t>
            </w:r>
          </w:p>
        </w:tc>
      </w:tr>
    </w:tbl>
    <w:p w14:paraId="16759169" w14:textId="77777777" w:rsidR="00776F6B" w:rsidRPr="00C839CC" w:rsidRDefault="00776F6B" w:rsidP="00776F6B">
      <w:pPr>
        <w:ind w:left="1416"/>
        <w:jc w:val="both"/>
        <w:outlineLvl w:val="1"/>
        <w:rPr>
          <w:rFonts w:ascii="Arial" w:hAnsi="Arial" w:cs="Arial"/>
          <w:color w:val="000000"/>
          <w:sz w:val="21"/>
          <w:szCs w:val="21"/>
          <w:lang w:eastAsia="es-ES"/>
        </w:rPr>
      </w:pPr>
      <w:proofErr w:type="spellStart"/>
      <w:r w:rsidRPr="0039289D">
        <w:rPr>
          <w:rFonts w:ascii="Arial" w:hAnsi="Arial" w:cs="Arial"/>
          <w:color w:val="000000"/>
          <w:sz w:val="21"/>
          <w:szCs w:val="21"/>
          <w:lang w:eastAsia="es-ES"/>
        </w:rPr>
        <w:t>e.a</w:t>
      </w:r>
      <w:proofErr w:type="spellEnd"/>
      <w:r w:rsidRPr="0039289D">
        <w:rPr>
          <w:rFonts w:ascii="Arial" w:hAnsi="Arial" w:cs="Arial"/>
          <w:color w:val="000000"/>
          <w:sz w:val="21"/>
          <w:szCs w:val="21"/>
          <w:lang w:eastAsia="es-ES"/>
        </w:rPr>
        <w:t>.: efectivo anual</w:t>
      </w:r>
    </w:p>
    <w:p w14:paraId="37581D85" w14:textId="77777777" w:rsidR="00776F6B" w:rsidRPr="00B00411" w:rsidRDefault="00776F6B" w:rsidP="00776F6B">
      <w:pPr>
        <w:jc w:val="both"/>
        <w:outlineLvl w:val="1"/>
        <w:rPr>
          <w:rFonts w:ascii="Arial" w:hAnsi="Arial" w:cs="Arial"/>
          <w:color w:val="000000"/>
          <w:sz w:val="21"/>
          <w:szCs w:val="21"/>
          <w:lang w:eastAsia="es-ES"/>
        </w:rPr>
      </w:pPr>
    </w:p>
    <w:p w14:paraId="4A714FE2" w14:textId="77777777" w:rsidR="00776F6B" w:rsidRPr="00B00411" w:rsidRDefault="00776F6B" w:rsidP="00776F6B">
      <w:pPr>
        <w:ind w:left="1416"/>
        <w:jc w:val="both"/>
        <w:outlineLvl w:val="1"/>
        <w:rPr>
          <w:rFonts w:ascii="Arial" w:hAnsi="Arial" w:cs="Arial"/>
          <w:color w:val="000000"/>
          <w:sz w:val="21"/>
          <w:szCs w:val="21"/>
          <w:lang w:eastAsia="es-ES"/>
        </w:rPr>
      </w:pPr>
      <w:r w:rsidRPr="0039289D">
        <w:rPr>
          <w:rFonts w:ascii="Arial" w:hAnsi="Arial" w:cs="Arial"/>
          <w:b/>
          <w:color w:val="000000"/>
          <w:sz w:val="22"/>
          <w:szCs w:val="22"/>
          <w:lang w:eastAsia="es-CO"/>
        </w:rPr>
        <w:t xml:space="preserve">Condiciones financieras en </w:t>
      </w:r>
      <w:r>
        <w:rPr>
          <w:rFonts w:ascii="Arial" w:hAnsi="Arial" w:cs="Arial"/>
          <w:b/>
          <w:color w:val="000000"/>
          <w:sz w:val="22"/>
          <w:szCs w:val="22"/>
          <w:lang w:eastAsia="es-CO"/>
        </w:rPr>
        <w:t>IBR</w:t>
      </w:r>
    </w:p>
    <w:tbl>
      <w:tblPr>
        <w:tblW w:w="5900" w:type="dxa"/>
        <w:tblInd w:w="1762" w:type="dxa"/>
        <w:tblCellMar>
          <w:left w:w="70" w:type="dxa"/>
          <w:right w:w="70" w:type="dxa"/>
        </w:tblCellMar>
        <w:tblLook w:val="04A0" w:firstRow="1" w:lastRow="0" w:firstColumn="1" w:lastColumn="0" w:noHBand="0" w:noVBand="1"/>
      </w:tblPr>
      <w:tblGrid>
        <w:gridCol w:w="1300"/>
        <w:gridCol w:w="1580"/>
        <w:gridCol w:w="1300"/>
        <w:gridCol w:w="1720"/>
      </w:tblGrid>
      <w:tr w:rsidR="00776F6B" w:rsidRPr="00D5260B" w14:paraId="0245E580" w14:textId="77777777" w:rsidTr="00E04BDD">
        <w:trPr>
          <w:trHeight w:val="700"/>
        </w:trPr>
        <w:tc>
          <w:tcPr>
            <w:tcW w:w="1300" w:type="dxa"/>
            <w:tcBorders>
              <w:top w:val="single" w:sz="4" w:space="0" w:color="auto"/>
              <w:left w:val="nil"/>
              <w:bottom w:val="single" w:sz="8" w:space="0" w:color="auto"/>
              <w:right w:val="nil"/>
            </w:tcBorders>
            <w:shd w:val="clear" w:color="000000" w:fill="FFFFFF"/>
            <w:vAlign w:val="center"/>
            <w:hideMark/>
          </w:tcPr>
          <w:p w14:paraId="78125F66" w14:textId="77777777" w:rsidR="00776F6B" w:rsidRPr="00D5260B" w:rsidRDefault="00776F6B" w:rsidP="00E04BDD">
            <w:pPr>
              <w:jc w:val="both"/>
              <w:rPr>
                <w:rFonts w:ascii="Arial" w:hAnsi="Arial" w:cs="Arial"/>
                <w:b/>
                <w:bCs/>
                <w:color w:val="000000"/>
                <w:sz w:val="21"/>
                <w:szCs w:val="21"/>
              </w:rPr>
            </w:pPr>
            <w:r w:rsidRPr="00D5260B">
              <w:rPr>
                <w:rFonts w:ascii="Arial" w:hAnsi="Arial" w:cs="Arial"/>
                <w:b/>
                <w:bCs/>
                <w:color w:val="000000"/>
                <w:sz w:val="21"/>
                <w:szCs w:val="21"/>
              </w:rPr>
              <w:t>Tipo de Productor</w:t>
            </w:r>
          </w:p>
        </w:tc>
        <w:tc>
          <w:tcPr>
            <w:tcW w:w="1580" w:type="dxa"/>
            <w:tcBorders>
              <w:top w:val="single" w:sz="4" w:space="0" w:color="auto"/>
              <w:left w:val="nil"/>
              <w:bottom w:val="single" w:sz="8" w:space="0" w:color="auto"/>
              <w:right w:val="nil"/>
            </w:tcBorders>
            <w:shd w:val="clear" w:color="000000" w:fill="FFFFFF"/>
            <w:vAlign w:val="center"/>
            <w:hideMark/>
          </w:tcPr>
          <w:p w14:paraId="73E2C523" w14:textId="77777777" w:rsidR="00776F6B" w:rsidRPr="00D5260B" w:rsidRDefault="00776F6B" w:rsidP="00E04BDD">
            <w:pPr>
              <w:jc w:val="both"/>
              <w:rPr>
                <w:rFonts w:ascii="Arial" w:hAnsi="Arial" w:cs="Arial"/>
                <w:b/>
                <w:bCs/>
                <w:color w:val="000000"/>
                <w:sz w:val="21"/>
                <w:szCs w:val="21"/>
              </w:rPr>
            </w:pPr>
            <w:r w:rsidRPr="00D5260B">
              <w:rPr>
                <w:rFonts w:ascii="Arial" w:hAnsi="Arial" w:cs="Arial"/>
                <w:b/>
                <w:bCs/>
                <w:color w:val="000000"/>
                <w:sz w:val="21"/>
                <w:szCs w:val="21"/>
              </w:rPr>
              <w:t>Tasa de Redescuento</w:t>
            </w:r>
          </w:p>
        </w:tc>
        <w:tc>
          <w:tcPr>
            <w:tcW w:w="1300" w:type="dxa"/>
            <w:tcBorders>
              <w:top w:val="single" w:sz="4" w:space="0" w:color="auto"/>
              <w:left w:val="nil"/>
              <w:bottom w:val="single" w:sz="8" w:space="0" w:color="auto"/>
              <w:right w:val="nil"/>
            </w:tcBorders>
            <w:shd w:val="clear" w:color="000000" w:fill="FFFFFF"/>
            <w:vAlign w:val="center"/>
            <w:hideMark/>
          </w:tcPr>
          <w:p w14:paraId="5DB1BDEF" w14:textId="77777777" w:rsidR="00776F6B" w:rsidRPr="00D5260B" w:rsidRDefault="00776F6B" w:rsidP="00E04BDD">
            <w:pPr>
              <w:jc w:val="both"/>
              <w:rPr>
                <w:rFonts w:ascii="Arial" w:hAnsi="Arial" w:cs="Arial"/>
                <w:b/>
                <w:bCs/>
                <w:color w:val="000000"/>
                <w:sz w:val="21"/>
                <w:szCs w:val="21"/>
              </w:rPr>
            </w:pPr>
            <w:r w:rsidRPr="00D5260B">
              <w:rPr>
                <w:rFonts w:ascii="Arial" w:hAnsi="Arial" w:cs="Arial"/>
                <w:b/>
                <w:bCs/>
                <w:color w:val="000000"/>
                <w:sz w:val="21"/>
                <w:szCs w:val="21"/>
              </w:rPr>
              <w:t>Subsidio</w:t>
            </w:r>
            <w:r>
              <w:rPr>
                <w:rFonts w:ascii="Arial" w:hAnsi="Arial" w:cs="Arial"/>
                <w:b/>
                <w:bCs/>
                <w:color w:val="000000"/>
                <w:sz w:val="21"/>
                <w:szCs w:val="21"/>
              </w:rPr>
              <w:t xml:space="preserve"> a la tasa</w:t>
            </w:r>
          </w:p>
        </w:tc>
        <w:tc>
          <w:tcPr>
            <w:tcW w:w="1720" w:type="dxa"/>
            <w:tcBorders>
              <w:top w:val="single" w:sz="4" w:space="0" w:color="auto"/>
              <w:left w:val="nil"/>
              <w:bottom w:val="single" w:sz="8" w:space="0" w:color="auto"/>
              <w:right w:val="nil"/>
            </w:tcBorders>
            <w:shd w:val="clear" w:color="000000" w:fill="FFFFFF"/>
            <w:vAlign w:val="center"/>
            <w:hideMark/>
          </w:tcPr>
          <w:p w14:paraId="06D05B29" w14:textId="77777777" w:rsidR="00776F6B" w:rsidRPr="00D5260B" w:rsidRDefault="00776F6B" w:rsidP="00E04BDD">
            <w:pPr>
              <w:jc w:val="both"/>
              <w:rPr>
                <w:rFonts w:ascii="Arial" w:hAnsi="Arial" w:cs="Arial"/>
                <w:b/>
                <w:bCs/>
                <w:color w:val="000000"/>
                <w:sz w:val="21"/>
                <w:szCs w:val="21"/>
              </w:rPr>
            </w:pPr>
            <w:r w:rsidRPr="00D5260B">
              <w:rPr>
                <w:rFonts w:ascii="Arial" w:hAnsi="Arial" w:cs="Arial"/>
                <w:b/>
                <w:bCs/>
                <w:color w:val="000000"/>
                <w:sz w:val="21"/>
                <w:szCs w:val="21"/>
              </w:rPr>
              <w:t>Tasa de Interés con Subsidio</w:t>
            </w:r>
          </w:p>
        </w:tc>
      </w:tr>
      <w:tr w:rsidR="00776F6B" w:rsidRPr="00D5260B" w14:paraId="5C091F77" w14:textId="77777777" w:rsidTr="00E04BDD">
        <w:trPr>
          <w:trHeight w:val="700"/>
        </w:trPr>
        <w:tc>
          <w:tcPr>
            <w:tcW w:w="1300" w:type="dxa"/>
            <w:tcBorders>
              <w:top w:val="nil"/>
              <w:left w:val="nil"/>
              <w:bottom w:val="single" w:sz="8" w:space="0" w:color="auto"/>
              <w:right w:val="nil"/>
            </w:tcBorders>
            <w:shd w:val="clear" w:color="000000" w:fill="FFFFFF"/>
            <w:vAlign w:val="center"/>
            <w:hideMark/>
          </w:tcPr>
          <w:p w14:paraId="4E821C6B" w14:textId="77777777" w:rsidR="00776F6B" w:rsidRPr="00D5260B" w:rsidRDefault="00776F6B" w:rsidP="00E04BDD">
            <w:pPr>
              <w:jc w:val="both"/>
              <w:rPr>
                <w:rFonts w:ascii="Arial" w:hAnsi="Arial" w:cs="Arial"/>
                <w:color w:val="000000"/>
                <w:sz w:val="21"/>
                <w:szCs w:val="21"/>
              </w:rPr>
            </w:pPr>
            <w:r w:rsidRPr="00D5260B">
              <w:rPr>
                <w:rFonts w:ascii="Arial" w:hAnsi="Arial" w:cs="Arial"/>
                <w:color w:val="000000"/>
                <w:sz w:val="21"/>
                <w:szCs w:val="21"/>
              </w:rPr>
              <w:t>Integrador Bursátil</w:t>
            </w:r>
          </w:p>
        </w:tc>
        <w:tc>
          <w:tcPr>
            <w:tcW w:w="1580" w:type="dxa"/>
            <w:tcBorders>
              <w:top w:val="nil"/>
              <w:left w:val="nil"/>
              <w:bottom w:val="single" w:sz="8" w:space="0" w:color="auto"/>
              <w:right w:val="nil"/>
            </w:tcBorders>
            <w:shd w:val="clear" w:color="000000" w:fill="FFFFFF"/>
            <w:noWrap/>
            <w:vAlign w:val="center"/>
            <w:hideMark/>
          </w:tcPr>
          <w:p w14:paraId="70890232" w14:textId="77777777" w:rsidR="00776F6B" w:rsidRPr="00D5260B" w:rsidRDefault="00776F6B" w:rsidP="00E04BDD">
            <w:pPr>
              <w:jc w:val="both"/>
              <w:rPr>
                <w:rFonts w:ascii="Arial" w:hAnsi="Arial" w:cs="Arial"/>
                <w:color w:val="000000"/>
                <w:sz w:val="21"/>
                <w:szCs w:val="21"/>
              </w:rPr>
            </w:pPr>
            <w:r>
              <w:rPr>
                <w:rFonts w:ascii="Arial" w:hAnsi="Arial" w:cs="Arial"/>
                <w:color w:val="000000"/>
                <w:sz w:val="21"/>
                <w:szCs w:val="21"/>
              </w:rPr>
              <w:t>IBR</w:t>
            </w:r>
            <w:r w:rsidRPr="00D5260B">
              <w:rPr>
                <w:rFonts w:ascii="Arial" w:hAnsi="Arial" w:cs="Arial"/>
                <w:color w:val="000000"/>
                <w:sz w:val="21"/>
                <w:szCs w:val="21"/>
              </w:rPr>
              <w:t xml:space="preserve"> - 1,</w:t>
            </w:r>
            <w:r>
              <w:rPr>
                <w:rFonts w:ascii="Arial" w:hAnsi="Arial" w:cs="Arial"/>
                <w:color w:val="000000"/>
                <w:sz w:val="21"/>
                <w:szCs w:val="21"/>
              </w:rPr>
              <w:t>1</w:t>
            </w:r>
            <w:r w:rsidRPr="00D5260B">
              <w:rPr>
                <w:rFonts w:ascii="Arial" w:hAnsi="Arial" w:cs="Arial"/>
                <w:color w:val="000000"/>
                <w:sz w:val="21"/>
                <w:szCs w:val="21"/>
              </w:rPr>
              <w:t>%</w:t>
            </w:r>
          </w:p>
        </w:tc>
        <w:tc>
          <w:tcPr>
            <w:tcW w:w="1300" w:type="dxa"/>
            <w:tcBorders>
              <w:top w:val="nil"/>
              <w:left w:val="nil"/>
              <w:bottom w:val="single" w:sz="8" w:space="0" w:color="auto"/>
              <w:right w:val="nil"/>
            </w:tcBorders>
            <w:shd w:val="clear" w:color="000000" w:fill="FFFFFF"/>
            <w:noWrap/>
            <w:vAlign w:val="center"/>
            <w:hideMark/>
          </w:tcPr>
          <w:p w14:paraId="53263A63" w14:textId="77777777" w:rsidR="00776F6B" w:rsidRPr="00D5260B" w:rsidRDefault="00776F6B" w:rsidP="00E04BDD">
            <w:pPr>
              <w:jc w:val="both"/>
              <w:rPr>
                <w:rFonts w:ascii="Arial" w:hAnsi="Arial" w:cs="Arial"/>
                <w:color w:val="000000"/>
                <w:sz w:val="21"/>
                <w:szCs w:val="21"/>
              </w:rPr>
            </w:pPr>
            <w:r w:rsidRPr="00D5260B">
              <w:rPr>
                <w:rFonts w:ascii="Arial" w:hAnsi="Arial" w:cs="Arial"/>
                <w:color w:val="000000"/>
                <w:sz w:val="21"/>
                <w:szCs w:val="21"/>
              </w:rPr>
              <w:t>4%</w:t>
            </w:r>
            <w:r>
              <w:rPr>
                <w:rFonts w:ascii="Arial" w:hAnsi="Arial" w:cs="Arial"/>
                <w:color w:val="000000"/>
                <w:sz w:val="21"/>
                <w:szCs w:val="21"/>
              </w:rPr>
              <w:t xml:space="preserve"> </w:t>
            </w:r>
            <w:proofErr w:type="spellStart"/>
            <w:r>
              <w:rPr>
                <w:rFonts w:ascii="Arial" w:hAnsi="Arial" w:cs="Arial"/>
                <w:color w:val="000000"/>
                <w:sz w:val="21"/>
                <w:szCs w:val="21"/>
              </w:rPr>
              <w:t>e.a</w:t>
            </w:r>
            <w:proofErr w:type="spellEnd"/>
            <w:r>
              <w:rPr>
                <w:rFonts w:ascii="Arial" w:hAnsi="Arial" w:cs="Arial"/>
                <w:color w:val="000000"/>
                <w:sz w:val="21"/>
                <w:szCs w:val="21"/>
              </w:rPr>
              <w:t>.</w:t>
            </w:r>
          </w:p>
        </w:tc>
        <w:tc>
          <w:tcPr>
            <w:tcW w:w="1720" w:type="dxa"/>
            <w:tcBorders>
              <w:top w:val="nil"/>
              <w:left w:val="nil"/>
              <w:bottom w:val="single" w:sz="8" w:space="0" w:color="auto"/>
              <w:right w:val="nil"/>
            </w:tcBorders>
            <w:shd w:val="clear" w:color="000000" w:fill="FFFFFF"/>
            <w:noWrap/>
            <w:vAlign w:val="center"/>
            <w:hideMark/>
          </w:tcPr>
          <w:p w14:paraId="7C9ADC7A" w14:textId="77777777" w:rsidR="00776F6B" w:rsidRPr="00D5260B" w:rsidRDefault="00776F6B" w:rsidP="00E04BDD">
            <w:pPr>
              <w:jc w:val="both"/>
              <w:rPr>
                <w:rFonts w:ascii="Arial" w:hAnsi="Arial" w:cs="Arial"/>
                <w:color w:val="000000"/>
                <w:sz w:val="21"/>
                <w:szCs w:val="21"/>
              </w:rPr>
            </w:pPr>
            <w:r w:rsidRPr="00D5260B">
              <w:rPr>
                <w:rFonts w:ascii="Arial" w:hAnsi="Arial" w:cs="Arial"/>
                <w:color w:val="000000"/>
                <w:sz w:val="21"/>
                <w:szCs w:val="21"/>
              </w:rPr>
              <w:t xml:space="preserve">Hasta </w:t>
            </w:r>
            <w:r>
              <w:rPr>
                <w:rFonts w:ascii="Arial" w:hAnsi="Arial" w:cs="Arial"/>
                <w:color w:val="000000"/>
                <w:sz w:val="21"/>
                <w:szCs w:val="21"/>
              </w:rPr>
              <w:t xml:space="preserve">IBR </w:t>
            </w:r>
            <w:r w:rsidRPr="00D5260B">
              <w:rPr>
                <w:rFonts w:ascii="Arial" w:hAnsi="Arial" w:cs="Arial"/>
                <w:color w:val="000000"/>
                <w:sz w:val="21"/>
                <w:szCs w:val="21"/>
              </w:rPr>
              <w:t>+</w:t>
            </w:r>
            <w:r>
              <w:rPr>
                <w:rFonts w:ascii="Arial" w:hAnsi="Arial" w:cs="Arial"/>
                <w:color w:val="000000"/>
                <w:sz w:val="21"/>
                <w:szCs w:val="21"/>
              </w:rPr>
              <w:t xml:space="preserve"> 1.9</w:t>
            </w:r>
            <w:r w:rsidRPr="00D5260B">
              <w:rPr>
                <w:rFonts w:ascii="Arial" w:hAnsi="Arial" w:cs="Arial"/>
                <w:color w:val="000000"/>
                <w:sz w:val="21"/>
                <w:szCs w:val="21"/>
              </w:rPr>
              <w:t>%</w:t>
            </w:r>
          </w:p>
        </w:tc>
      </w:tr>
    </w:tbl>
    <w:p w14:paraId="65090ED7" w14:textId="77777777" w:rsidR="00776F6B" w:rsidRDefault="00776F6B" w:rsidP="00776F6B">
      <w:pPr>
        <w:ind w:left="708" w:firstLine="708"/>
        <w:jc w:val="both"/>
        <w:outlineLvl w:val="1"/>
        <w:rPr>
          <w:rFonts w:ascii="Arial" w:hAnsi="Arial" w:cs="Arial"/>
          <w:color w:val="000000"/>
          <w:sz w:val="21"/>
          <w:szCs w:val="21"/>
          <w:lang w:eastAsia="es-ES"/>
        </w:rPr>
      </w:pPr>
      <w:r w:rsidRPr="0039289D">
        <w:rPr>
          <w:rFonts w:ascii="Arial" w:hAnsi="Arial" w:cs="Arial"/>
          <w:color w:val="000000"/>
          <w:sz w:val="21"/>
          <w:szCs w:val="21"/>
          <w:lang w:eastAsia="es-ES"/>
        </w:rPr>
        <w:t>IBR y spread en términos nominales</w:t>
      </w:r>
    </w:p>
    <w:p w14:paraId="278B3C8D" w14:textId="77777777" w:rsidR="00776F6B" w:rsidRPr="00B00411" w:rsidRDefault="00776F6B" w:rsidP="00776F6B">
      <w:pPr>
        <w:ind w:left="708" w:firstLine="708"/>
        <w:jc w:val="both"/>
        <w:outlineLvl w:val="1"/>
        <w:rPr>
          <w:rFonts w:ascii="Arial" w:hAnsi="Arial" w:cs="Arial"/>
          <w:color w:val="000000"/>
          <w:sz w:val="21"/>
          <w:szCs w:val="21"/>
          <w:lang w:eastAsia="es-ES"/>
        </w:rPr>
      </w:pPr>
    </w:p>
    <w:p w14:paraId="2C82F056" w14:textId="70E20D7E" w:rsidR="003D5ACB" w:rsidRPr="005527E7" w:rsidRDefault="003D5ACB" w:rsidP="00776F6B">
      <w:pPr>
        <w:pStyle w:val="Prrafodelista"/>
        <w:numPr>
          <w:ilvl w:val="0"/>
          <w:numId w:val="2"/>
        </w:numPr>
        <w:jc w:val="both"/>
        <w:rPr>
          <w:rFonts w:ascii="Arial" w:hAnsi="Arial" w:cs="Arial"/>
          <w:color w:val="000000"/>
          <w:sz w:val="21"/>
          <w:szCs w:val="21"/>
          <w:lang w:eastAsia="es-ES"/>
        </w:rPr>
      </w:pPr>
      <w:r w:rsidRPr="00E1587B">
        <w:rPr>
          <w:rFonts w:ascii="Arial" w:eastAsia="Arial" w:hAnsi="Arial" w:cs="Arial"/>
          <w:b/>
          <w:sz w:val="22"/>
          <w:szCs w:val="22"/>
          <w:lang w:eastAsia="es-CO" w:bidi="es-CO"/>
        </w:rPr>
        <w:t>Subsidio adicional.</w:t>
      </w:r>
      <w:r w:rsidRPr="00E1587B">
        <w:rPr>
          <w:rFonts w:ascii="Arial" w:eastAsia="Arial" w:hAnsi="Arial" w:cs="Arial"/>
          <w:bCs/>
          <w:sz w:val="22"/>
          <w:szCs w:val="22"/>
          <w:lang w:eastAsia="es-CO" w:bidi="es-CO"/>
        </w:rPr>
        <w:t xml:space="preserve"> Se </w:t>
      </w:r>
      <w:r w:rsidRPr="005527E7">
        <w:rPr>
          <w:rFonts w:ascii="Arial" w:eastAsia="Arial" w:hAnsi="Arial" w:cs="Arial"/>
          <w:bCs/>
          <w:sz w:val="22"/>
          <w:szCs w:val="22"/>
          <w:lang w:eastAsia="es-CO" w:bidi="es-CO"/>
        </w:rPr>
        <w:t xml:space="preserve">otorgará un subsidio adicional a los beneficiarios de esta línea </w:t>
      </w:r>
      <w:r w:rsidR="00E1587B" w:rsidRPr="005527E7">
        <w:rPr>
          <w:rFonts w:ascii="Arial" w:eastAsia="Arial" w:hAnsi="Arial" w:cs="Arial"/>
          <w:bCs/>
          <w:sz w:val="22"/>
          <w:szCs w:val="22"/>
          <w:lang w:eastAsia="es-CO" w:bidi="es-CO"/>
        </w:rPr>
        <w:t xml:space="preserve">de </w:t>
      </w:r>
      <w:r w:rsidRPr="005527E7">
        <w:rPr>
          <w:rFonts w:ascii="Arial" w:eastAsia="Arial" w:hAnsi="Arial" w:cs="Arial"/>
          <w:bCs/>
          <w:sz w:val="22"/>
          <w:szCs w:val="22"/>
          <w:lang w:eastAsia="es-CO" w:bidi="es-CO"/>
        </w:rPr>
        <w:t>4,5%.</w:t>
      </w:r>
    </w:p>
    <w:p w14:paraId="3CC245FD" w14:textId="13AFA07C" w:rsidR="003D5ACB" w:rsidRPr="005527E7" w:rsidRDefault="003D5ACB" w:rsidP="00C26F06">
      <w:pPr>
        <w:pStyle w:val="Prrafodelista"/>
        <w:ind w:left="360"/>
        <w:jc w:val="both"/>
        <w:rPr>
          <w:rFonts w:ascii="Arial" w:hAnsi="Arial" w:cs="Arial"/>
          <w:color w:val="000000"/>
          <w:sz w:val="21"/>
          <w:szCs w:val="21"/>
          <w:lang w:eastAsia="es-ES"/>
        </w:rPr>
      </w:pPr>
    </w:p>
    <w:p w14:paraId="239EBD06" w14:textId="6A2132FA" w:rsidR="00776F6B" w:rsidRPr="005527E7" w:rsidRDefault="00776F6B" w:rsidP="00776F6B">
      <w:pPr>
        <w:pStyle w:val="Prrafodelista"/>
        <w:numPr>
          <w:ilvl w:val="0"/>
          <w:numId w:val="2"/>
        </w:numPr>
        <w:jc w:val="both"/>
        <w:rPr>
          <w:rFonts w:ascii="Arial" w:hAnsi="Arial" w:cs="Arial"/>
          <w:color w:val="000000"/>
          <w:sz w:val="21"/>
          <w:szCs w:val="21"/>
          <w:lang w:eastAsia="es-ES"/>
        </w:rPr>
      </w:pPr>
      <w:r w:rsidRPr="005527E7">
        <w:rPr>
          <w:rFonts w:ascii="Arial" w:hAnsi="Arial" w:cs="Arial"/>
          <w:b/>
          <w:bCs/>
          <w:color w:val="000000"/>
          <w:sz w:val="21"/>
          <w:szCs w:val="21"/>
          <w:lang w:eastAsia="es-ES"/>
        </w:rPr>
        <w:t>Requisito Especial</w:t>
      </w:r>
      <w:r w:rsidRPr="005527E7">
        <w:rPr>
          <w:rFonts w:ascii="Arial" w:hAnsi="Arial" w:cs="Arial"/>
          <w:color w:val="000000"/>
          <w:sz w:val="21"/>
          <w:szCs w:val="21"/>
          <w:lang w:eastAsia="es-ES"/>
        </w:rPr>
        <w:t>: El Integrador Bursátil Comprador debe aplicar la tasa de interés cobrada en esta línea</w:t>
      </w:r>
      <w:r w:rsidR="00BA0CAB" w:rsidRPr="005527E7">
        <w:rPr>
          <w:rFonts w:ascii="Arial" w:hAnsi="Arial" w:cs="Arial"/>
          <w:color w:val="000000"/>
          <w:sz w:val="21"/>
          <w:szCs w:val="21"/>
          <w:lang w:eastAsia="es-ES"/>
        </w:rPr>
        <w:t xml:space="preserve"> y</w:t>
      </w:r>
      <w:r w:rsidR="000A469C" w:rsidRPr="005527E7">
        <w:rPr>
          <w:rFonts w:ascii="Arial" w:hAnsi="Arial" w:cs="Arial"/>
          <w:color w:val="000000"/>
          <w:sz w:val="21"/>
          <w:szCs w:val="21"/>
          <w:lang w:eastAsia="es-ES"/>
        </w:rPr>
        <w:t xml:space="preserve"> </w:t>
      </w:r>
      <w:r w:rsidR="00BA0CAB" w:rsidRPr="005527E7">
        <w:rPr>
          <w:rFonts w:ascii="Arial" w:hAnsi="Arial" w:cs="Arial"/>
          <w:color w:val="000000"/>
          <w:sz w:val="21"/>
          <w:szCs w:val="21"/>
          <w:lang w:eastAsia="es-ES"/>
        </w:rPr>
        <w:t>el subsidio adicional</w:t>
      </w:r>
      <w:r w:rsidRPr="005527E7">
        <w:rPr>
          <w:rFonts w:ascii="Arial" w:hAnsi="Arial" w:cs="Arial"/>
          <w:color w:val="000000"/>
          <w:sz w:val="21"/>
          <w:szCs w:val="21"/>
          <w:lang w:eastAsia="es-ES"/>
        </w:rPr>
        <w:t xml:space="preserve"> al beneficiario final en los anticipos pactados en la operación Forward. </w:t>
      </w:r>
    </w:p>
    <w:p w14:paraId="1BC653D1" w14:textId="77777777" w:rsidR="00776F6B" w:rsidRPr="005527E7" w:rsidRDefault="00776F6B" w:rsidP="00776F6B">
      <w:pPr>
        <w:pStyle w:val="Prrafodelista"/>
        <w:ind w:left="360"/>
        <w:jc w:val="both"/>
        <w:rPr>
          <w:rFonts w:ascii="Arial" w:hAnsi="Arial" w:cs="Arial"/>
          <w:color w:val="000000"/>
          <w:sz w:val="21"/>
          <w:szCs w:val="21"/>
          <w:lang w:eastAsia="es-ES"/>
        </w:rPr>
      </w:pPr>
    </w:p>
    <w:p w14:paraId="228A3B17" w14:textId="77777777" w:rsidR="00776F6B" w:rsidRPr="005527E7" w:rsidRDefault="00776F6B" w:rsidP="00776F6B">
      <w:pPr>
        <w:pStyle w:val="Prrafodelista"/>
        <w:ind w:left="360"/>
        <w:jc w:val="both"/>
        <w:rPr>
          <w:rFonts w:ascii="Arial" w:hAnsi="Arial" w:cs="Arial"/>
          <w:color w:val="000000"/>
          <w:sz w:val="21"/>
          <w:szCs w:val="21"/>
          <w:lang w:eastAsia="es-ES"/>
        </w:rPr>
      </w:pPr>
      <w:r w:rsidRPr="005527E7">
        <w:rPr>
          <w:rFonts w:ascii="Arial" w:hAnsi="Arial" w:cs="Arial"/>
          <w:color w:val="000000"/>
          <w:sz w:val="21"/>
          <w:szCs w:val="21"/>
          <w:lang w:eastAsia="es-ES"/>
        </w:rPr>
        <w:t xml:space="preserve">Los créditos otorgados por esta línea deben desembolsarse en la cuenta de la sociedad comisionista compradora por conducto de la cual actúe el Integrador Bursátil Comprador en la Bolsa de Bienes y Productos Agropecuarios, Agroindustriales o de otros </w:t>
      </w:r>
      <w:proofErr w:type="spellStart"/>
      <w:r w:rsidRPr="005527E7">
        <w:rPr>
          <w:rFonts w:ascii="Arial" w:hAnsi="Arial" w:cs="Arial"/>
          <w:color w:val="000000"/>
          <w:sz w:val="21"/>
          <w:szCs w:val="21"/>
          <w:lang w:eastAsia="es-ES"/>
        </w:rPr>
        <w:t>Commodities</w:t>
      </w:r>
      <w:proofErr w:type="spellEnd"/>
      <w:r w:rsidRPr="005527E7">
        <w:rPr>
          <w:rFonts w:ascii="Arial" w:hAnsi="Arial" w:cs="Arial"/>
          <w:color w:val="000000"/>
          <w:sz w:val="21"/>
          <w:szCs w:val="21"/>
          <w:lang w:eastAsia="es-ES"/>
        </w:rPr>
        <w:t>. Estos recursos serán girados a los productores agropecuarios vendedores para el pago del anticipo bajo el mecanismo de la Bolsa.</w:t>
      </w:r>
    </w:p>
    <w:p w14:paraId="2C09A3BE" w14:textId="77777777" w:rsidR="00776F6B" w:rsidRPr="005527E7" w:rsidRDefault="00776F6B" w:rsidP="00776F6B">
      <w:pPr>
        <w:pStyle w:val="Prrafodelista"/>
        <w:ind w:left="360"/>
        <w:jc w:val="both"/>
        <w:rPr>
          <w:rFonts w:ascii="Arial" w:hAnsi="Arial" w:cs="Arial"/>
          <w:color w:val="000000"/>
          <w:sz w:val="21"/>
          <w:szCs w:val="21"/>
          <w:lang w:eastAsia="es-ES"/>
        </w:rPr>
      </w:pPr>
    </w:p>
    <w:p w14:paraId="08DB8752" w14:textId="1EF9FF73" w:rsidR="00776F6B" w:rsidRPr="005527E7" w:rsidRDefault="00776F6B" w:rsidP="00776F6B">
      <w:pPr>
        <w:pStyle w:val="Prrafodelista"/>
        <w:ind w:left="360"/>
        <w:jc w:val="both"/>
        <w:rPr>
          <w:rFonts w:ascii="Arial" w:hAnsi="Arial" w:cs="Arial"/>
          <w:color w:val="000000"/>
          <w:sz w:val="21"/>
          <w:szCs w:val="21"/>
          <w:lang w:eastAsia="es-ES"/>
        </w:rPr>
      </w:pPr>
      <w:r w:rsidRPr="005527E7">
        <w:rPr>
          <w:rFonts w:ascii="Arial" w:hAnsi="Arial" w:cs="Arial"/>
          <w:color w:val="000000"/>
          <w:sz w:val="21"/>
          <w:szCs w:val="21"/>
          <w:lang w:eastAsia="es-ES"/>
        </w:rPr>
        <w:t xml:space="preserve">Mediante reglamentación general, FINAGRO señalará el procedimiento para la transferencia del beneficio de tasa de interés </w:t>
      </w:r>
      <w:r w:rsidR="0083556F" w:rsidRPr="005527E7">
        <w:rPr>
          <w:rFonts w:ascii="Arial" w:hAnsi="Arial" w:cs="Arial"/>
          <w:color w:val="000000"/>
          <w:sz w:val="21"/>
          <w:szCs w:val="21"/>
          <w:lang w:eastAsia="es-ES"/>
        </w:rPr>
        <w:t xml:space="preserve">y de subsidio adicional </w:t>
      </w:r>
      <w:r w:rsidRPr="005527E7">
        <w:rPr>
          <w:rFonts w:ascii="Arial" w:hAnsi="Arial" w:cs="Arial"/>
          <w:color w:val="000000"/>
          <w:sz w:val="21"/>
          <w:szCs w:val="21"/>
          <w:lang w:eastAsia="es-ES"/>
        </w:rPr>
        <w:t>de esta línea a favor del productor agropecuario vendedor.</w:t>
      </w:r>
    </w:p>
    <w:p w14:paraId="68E2F95A" w14:textId="77777777" w:rsidR="00776F6B" w:rsidRPr="005527E7" w:rsidRDefault="00776F6B" w:rsidP="00776F6B">
      <w:pPr>
        <w:pStyle w:val="Prrafodelista"/>
        <w:ind w:left="284"/>
        <w:jc w:val="both"/>
        <w:rPr>
          <w:rFonts w:ascii="Arial" w:hAnsi="Arial" w:cs="Arial"/>
          <w:color w:val="000000"/>
          <w:sz w:val="21"/>
          <w:szCs w:val="21"/>
          <w:lang w:eastAsia="es-ES"/>
        </w:rPr>
      </w:pPr>
    </w:p>
    <w:p w14:paraId="6684E41C" w14:textId="34F518DB" w:rsidR="00776F6B" w:rsidRPr="005527E7" w:rsidRDefault="00776F6B" w:rsidP="00776F6B">
      <w:pPr>
        <w:pStyle w:val="Prrafodelista"/>
        <w:numPr>
          <w:ilvl w:val="0"/>
          <w:numId w:val="2"/>
        </w:numPr>
        <w:jc w:val="both"/>
        <w:rPr>
          <w:rFonts w:ascii="Arial" w:hAnsi="Arial" w:cs="Arial"/>
          <w:color w:val="000000"/>
          <w:sz w:val="21"/>
          <w:szCs w:val="21"/>
          <w:lang w:eastAsia="es-ES"/>
        </w:rPr>
      </w:pPr>
      <w:r w:rsidRPr="005527E7">
        <w:rPr>
          <w:rFonts w:ascii="Arial" w:hAnsi="Arial" w:cs="Arial"/>
          <w:b/>
          <w:bCs/>
          <w:color w:val="000000"/>
          <w:sz w:val="21"/>
          <w:szCs w:val="21"/>
          <w:lang w:eastAsia="es-ES"/>
        </w:rPr>
        <w:t>Garantía FAG</w:t>
      </w:r>
      <w:r w:rsidRPr="005527E7">
        <w:rPr>
          <w:rFonts w:ascii="Arial" w:hAnsi="Arial" w:cs="Arial"/>
          <w:color w:val="000000"/>
          <w:sz w:val="21"/>
          <w:szCs w:val="21"/>
          <w:lang w:eastAsia="es-ES"/>
        </w:rPr>
        <w:t>: Los créditos que se concedan por esta línea de redescuento no tendrán acceso a garantías del FAG.</w:t>
      </w:r>
      <w:r w:rsidR="00937686" w:rsidRPr="005527E7">
        <w:rPr>
          <w:rFonts w:ascii="Arial" w:hAnsi="Arial" w:cs="Arial"/>
          <w:color w:val="000000"/>
          <w:sz w:val="21"/>
          <w:szCs w:val="21"/>
          <w:lang w:eastAsia="es-ES"/>
        </w:rPr>
        <w:t xml:space="preserve"> </w:t>
      </w:r>
    </w:p>
    <w:p w14:paraId="132FEE07" w14:textId="77777777" w:rsidR="00776F6B" w:rsidRPr="00B00411" w:rsidRDefault="00776F6B" w:rsidP="00776F6B">
      <w:pPr>
        <w:jc w:val="both"/>
        <w:outlineLvl w:val="1"/>
        <w:rPr>
          <w:rFonts w:ascii="Arial" w:hAnsi="Arial" w:cs="Arial"/>
          <w:color w:val="000000"/>
          <w:sz w:val="21"/>
          <w:szCs w:val="21"/>
          <w:lang w:eastAsia="es-ES"/>
        </w:rPr>
      </w:pPr>
      <w:r w:rsidRPr="00B00411">
        <w:rPr>
          <w:rFonts w:ascii="Arial" w:hAnsi="Arial" w:cs="Arial"/>
          <w:color w:val="000000"/>
          <w:sz w:val="21"/>
          <w:szCs w:val="21"/>
          <w:lang w:eastAsia="es-ES"/>
        </w:rPr>
        <w:t xml:space="preserve"> </w:t>
      </w:r>
    </w:p>
    <w:p w14:paraId="30CB2C94" w14:textId="32B38BE2" w:rsidR="00776F6B" w:rsidRDefault="00776F6B" w:rsidP="00776F6B">
      <w:pPr>
        <w:pStyle w:val="Prrafodelista"/>
        <w:numPr>
          <w:ilvl w:val="0"/>
          <w:numId w:val="2"/>
        </w:numPr>
        <w:jc w:val="both"/>
        <w:rPr>
          <w:rFonts w:ascii="Arial" w:hAnsi="Arial" w:cs="Arial"/>
          <w:color w:val="000000"/>
          <w:sz w:val="21"/>
          <w:szCs w:val="21"/>
          <w:lang w:eastAsia="es-ES"/>
        </w:rPr>
      </w:pPr>
      <w:r w:rsidRPr="00673853">
        <w:rPr>
          <w:rFonts w:ascii="Arial" w:hAnsi="Arial" w:cs="Arial"/>
          <w:b/>
          <w:bCs/>
          <w:color w:val="000000"/>
          <w:sz w:val="21"/>
          <w:szCs w:val="21"/>
          <w:lang w:eastAsia="es-ES"/>
        </w:rPr>
        <w:t>Control de inversión</w:t>
      </w:r>
      <w:r w:rsidRPr="00673853">
        <w:rPr>
          <w:rFonts w:ascii="Arial" w:hAnsi="Arial" w:cs="Arial"/>
          <w:color w:val="000000"/>
          <w:sz w:val="21"/>
          <w:szCs w:val="21"/>
          <w:lang w:eastAsia="es-ES"/>
        </w:rPr>
        <w:t>: El control y seguimiento de la presente línea se entenderá surtido con la información que suministre</w:t>
      </w:r>
      <w:r>
        <w:rPr>
          <w:rFonts w:ascii="Arial" w:hAnsi="Arial" w:cs="Arial"/>
          <w:color w:val="000000"/>
          <w:sz w:val="21"/>
          <w:szCs w:val="21"/>
          <w:lang w:eastAsia="es-ES"/>
        </w:rPr>
        <w:t xml:space="preserve"> a FINAGRO</w:t>
      </w:r>
      <w:r w:rsidRPr="00673853">
        <w:rPr>
          <w:rFonts w:ascii="Arial" w:hAnsi="Arial" w:cs="Arial"/>
          <w:color w:val="000000"/>
          <w:sz w:val="21"/>
          <w:szCs w:val="21"/>
          <w:lang w:eastAsia="es-ES"/>
        </w:rPr>
        <w:t xml:space="preserve"> </w:t>
      </w:r>
      <w:r>
        <w:rPr>
          <w:rFonts w:ascii="Arial" w:hAnsi="Arial" w:cs="Arial"/>
          <w:color w:val="000000"/>
          <w:sz w:val="21"/>
          <w:szCs w:val="21"/>
          <w:lang w:eastAsia="es-ES"/>
        </w:rPr>
        <w:t>e</w:t>
      </w:r>
      <w:r w:rsidRPr="00673853">
        <w:rPr>
          <w:rFonts w:ascii="Arial" w:hAnsi="Arial" w:cs="Arial"/>
          <w:color w:val="000000"/>
          <w:sz w:val="21"/>
          <w:szCs w:val="21"/>
          <w:lang w:eastAsia="es-ES"/>
        </w:rPr>
        <w:t xml:space="preserve">l Intermediario </w:t>
      </w:r>
      <w:r>
        <w:rPr>
          <w:rFonts w:ascii="Arial" w:hAnsi="Arial" w:cs="Arial"/>
          <w:color w:val="000000"/>
          <w:sz w:val="21"/>
          <w:szCs w:val="21"/>
          <w:lang w:eastAsia="es-ES"/>
        </w:rPr>
        <w:t>F</w:t>
      </w:r>
      <w:r w:rsidRPr="00673853">
        <w:rPr>
          <w:rFonts w:ascii="Arial" w:hAnsi="Arial" w:cs="Arial"/>
          <w:color w:val="000000"/>
          <w:sz w:val="21"/>
          <w:szCs w:val="21"/>
          <w:lang w:eastAsia="es-ES"/>
        </w:rPr>
        <w:t>inanciero</w:t>
      </w:r>
      <w:r>
        <w:rPr>
          <w:rFonts w:ascii="Arial" w:hAnsi="Arial" w:cs="Arial"/>
          <w:color w:val="000000"/>
          <w:sz w:val="21"/>
          <w:szCs w:val="21"/>
          <w:lang w:eastAsia="es-ES"/>
        </w:rPr>
        <w:t xml:space="preserve"> </w:t>
      </w:r>
      <w:r w:rsidRPr="00673853">
        <w:rPr>
          <w:rFonts w:ascii="Arial" w:hAnsi="Arial" w:cs="Arial"/>
          <w:color w:val="000000"/>
          <w:sz w:val="21"/>
          <w:szCs w:val="21"/>
          <w:lang w:eastAsia="es-ES"/>
        </w:rPr>
        <w:t xml:space="preserve">y la Bolsa de Bienes y Productos Agropecuarios, Agroindustriales o de otros </w:t>
      </w:r>
      <w:proofErr w:type="spellStart"/>
      <w:r w:rsidRPr="00673853">
        <w:rPr>
          <w:rFonts w:ascii="Arial" w:hAnsi="Arial" w:cs="Arial"/>
          <w:color w:val="000000"/>
          <w:sz w:val="21"/>
          <w:szCs w:val="21"/>
          <w:lang w:eastAsia="es-ES"/>
        </w:rPr>
        <w:t>Commodities</w:t>
      </w:r>
      <w:proofErr w:type="spellEnd"/>
      <w:r>
        <w:rPr>
          <w:rFonts w:ascii="Arial" w:hAnsi="Arial" w:cs="Arial"/>
          <w:color w:val="000000"/>
          <w:sz w:val="21"/>
          <w:szCs w:val="21"/>
          <w:lang w:eastAsia="es-ES"/>
        </w:rPr>
        <w:t>.</w:t>
      </w:r>
      <w:r w:rsidR="00810610">
        <w:rPr>
          <w:rFonts w:ascii="Arial" w:hAnsi="Arial" w:cs="Arial"/>
          <w:color w:val="000000"/>
          <w:sz w:val="21"/>
          <w:szCs w:val="21"/>
          <w:lang w:eastAsia="es-ES"/>
        </w:rPr>
        <w:t>”</w:t>
      </w:r>
    </w:p>
    <w:p w14:paraId="6520FA7A" w14:textId="3D3602D9" w:rsidR="00776F6B" w:rsidRDefault="00776F6B" w:rsidP="00A72DA2">
      <w:pPr>
        <w:pStyle w:val="c5"/>
        <w:tabs>
          <w:tab w:val="left" w:pos="1479"/>
        </w:tabs>
        <w:jc w:val="both"/>
        <w:rPr>
          <w:rFonts w:ascii="Arial" w:eastAsia="Arial" w:hAnsi="Arial" w:cs="Arial"/>
          <w:bCs/>
          <w:sz w:val="22"/>
          <w:szCs w:val="22"/>
          <w:lang w:eastAsia="es-CO" w:bidi="es-CO"/>
        </w:rPr>
      </w:pPr>
    </w:p>
    <w:p w14:paraId="1391386F" w14:textId="176B0D61" w:rsidR="00914A9A" w:rsidRPr="003C79B3" w:rsidRDefault="00914A9A" w:rsidP="004D2806">
      <w:pPr>
        <w:pStyle w:val="Textoindependiente"/>
        <w:ind w:right="68"/>
        <w:jc w:val="both"/>
      </w:pPr>
      <w:r w:rsidRPr="003C79B3">
        <w:rPr>
          <w:b/>
        </w:rPr>
        <w:t xml:space="preserve">Artículo </w:t>
      </w:r>
      <w:r w:rsidR="00CD700D">
        <w:rPr>
          <w:b/>
        </w:rPr>
        <w:t>4</w:t>
      </w:r>
      <w:r w:rsidRPr="003C79B3">
        <w:rPr>
          <w:b/>
        </w:rPr>
        <w:t>o.</w:t>
      </w:r>
      <w:r w:rsidRPr="003C79B3">
        <w:rPr>
          <w:color w:val="000000" w:themeColor="text1"/>
        </w:rPr>
        <w:t xml:space="preserve">  </w:t>
      </w:r>
      <w:r w:rsidRPr="003C79B3">
        <w:t>FINAGRO adoptará los procedimientos y medidas necesarias para el desarrollo de la presente Resolución</w:t>
      </w:r>
      <w:r w:rsidR="004D2806" w:rsidRPr="003C79B3">
        <w:t xml:space="preserve"> </w:t>
      </w:r>
      <w:r w:rsidRPr="003C79B3">
        <w:t>para lo cual expedirá la circula</w:t>
      </w:r>
      <w:r w:rsidR="004D2806" w:rsidRPr="003C79B3">
        <w:t>r reglamentaria correspondiente.</w:t>
      </w:r>
    </w:p>
    <w:p w14:paraId="452EC8ED" w14:textId="77777777" w:rsidR="00914A9A" w:rsidRPr="003C79B3" w:rsidRDefault="00914A9A" w:rsidP="00307C48">
      <w:pPr>
        <w:pStyle w:val="Textoindependiente"/>
        <w:ind w:right="68"/>
        <w:jc w:val="both"/>
        <w:rPr>
          <w:sz w:val="21"/>
        </w:rPr>
      </w:pPr>
    </w:p>
    <w:p w14:paraId="68051FDC" w14:textId="77777777" w:rsidR="005117F0" w:rsidRDefault="00665200" w:rsidP="005117F0">
      <w:pPr>
        <w:pStyle w:val="Textoindependiente"/>
        <w:ind w:right="68"/>
        <w:jc w:val="both"/>
      </w:pPr>
      <w:r w:rsidRPr="003C79B3">
        <w:rPr>
          <w:b/>
        </w:rPr>
        <w:t xml:space="preserve">Artículo </w:t>
      </w:r>
      <w:r w:rsidR="005142B9">
        <w:rPr>
          <w:b/>
        </w:rPr>
        <w:t>4</w:t>
      </w:r>
      <w:r w:rsidR="00914A9A" w:rsidRPr="003C79B3">
        <w:rPr>
          <w:b/>
        </w:rPr>
        <w:t>o.</w:t>
      </w:r>
      <w:r w:rsidR="00914A9A" w:rsidRPr="003C79B3">
        <w:t xml:space="preserve"> </w:t>
      </w:r>
      <w:r w:rsidR="005117F0" w:rsidRPr="002E0105">
        <w:t>La presente resolución rige a partir de la fecha de su publicación en el Diario Oficial, y sus efectos aplicarán a partir de la fecha en que FINAGRO expida la circular reglamentaria correspondiente.</w:t>
      </w:r>
    </w:p>
    <w:p w14:paraId="3A501840" w14:textId="138ECAC2" w:rsidR="00914A9A" w:rsidRPr="003C79B3" w:rsidRDefault="00914A9A" w:rsidP="00307C48">
      <w:pPr>
        <w:pStyle w:val="Textoindependiente"/>
        <w:ind w:right="68"/>
        <w:jc w:val="both"/>
        <w:rPr>
          <w:b/>
        </w:rPr>
      </w:pPr>
    </w:p>
    <w:p w14:paraId="2DBF3202" w14:textId="77777777" w:rsidR="00914A9A" w:rsidRPr="003C79B3" w:rsidRDefault="00914A9A" w:rsidP="00307C48">
      <w:pPr>
        <w:pStyle w:val="Textoindependiente"/>
        <w:ind w:right="68"/>
        <w:jc w:val="both"/>
        <w:rPr>
          <w:sz w:val="21"/>
        </w:rPr>
      </w:pPr>
    </w:p>
    <w:p w14:paraId="1AEE39A4" w14:textId="0102B6D4" w:rsidR="00914A9A" w:rsidRPr="00446DE1" w:rsidRDefault="00914A9A" w:rsidP="00307C48">
      <w:pPr>
        <w:pStyle w:val="Textoindependiente"/>
        <w:ind w:right="68"/>
        <w:jc w:val="both"/>
      </w:pPr>
      <w:r w:rsidRPr="003C79B3">
        <w:t xml:space="preserve">Dada en Bogotá, </w:t>
      </w:r>
      <w:r w:rsidRPr="003C79B3">
        <w:rPr>
          <w:color w:val="000000" w:themeColor="text1"/>
        </w:rPr>
        <w:t xml:space="preserve">D.C. a los </w:t>
      </w:r>
      <w:r w:rsidR="002C6498">
        <w:rPr>
          <w:color w:val="FF0000"/>
        </w:rPr>
        <w:t>XX</w:t>
      </w:r>
      <w:r w:rsidR="00EE0349" w:rsidRPr="00EE0349">
        <w:rPr>
          <w:color w:val="FF0000"/>
        </w:rPr>
        <w:t xml:space="preserve"> </w:t>
      </w:r>
      <w:r w:rsidRPr="00EE0349">
        <w:rPr>
          <w:color w:val="FF0000"/>
        </w:rPr>
        <w:t>(</w:t>
      </w:r>
      <w:r w:rsidR="002C6498">
        <w:rPr>
          <w:color w:val="FF0000"/>
        </w:rPr>
        <w:t>XX</w:t>
      </w:r>
      <w:r w:rsidRPr="00EE0349">
        <w:rPr>
          <w:color w:val="FF0000"/>
        </w:rPr>
        <w:t xml:space="preserve">) días del mes de </w:t>
      </w:r>
      <w:r w:rsidR="00EE0349" w:rsidRPr="00EE0349">
        <w:rPr>
          <w:color w:val="FF0000"/>
        </w:rPr>
        <w:t>abril</w:t>
      </w:r>
      <w:r w:rsidRPr="00EE0349">
        <w:rPr>
          <w:color w:val="FF0000"/>
        </w:rPr>
        <w:t xml:space="preserve"> </w:t>
      </w:r>
      <w:r w:rsidRPr="003C79B3">
        <w:rPr>
          <w:color w:val="000000" w:themeColor="text1"/>
        </w:rPr>
        <w:t xml:space="preserve">de dos </w:t>
      </w:r>
      <w:r w:rsidRPr="003C79B3">
        <w:t>mil veinte (2020).</w:t>
      </w:r>
    </w:p>
    <w:p w14:paraId="402603EC" w14:textId="77777777" w:rsidR="00914A9A" w:rsidRPr="00446DE1" w:rsidRDefault="00914A9A" w:rsidP="00914A9A">
      <w:pPr>
        <w:pStyle w:val="Textoindependiente"/>
        <w:ind w:right="68"/>
        <w:jc w:val="both"/>
        <w:rPr>
          <w:sz w:val="24"/>
        </w:rPr>
      </w:pPr>
    </w:p>
    <w:p w14:paraId="0D71492F" w14:textId="77777777" w:rsidR="00914A9A" w:rsidRPr="00446DE1" w:rsidRDefault="00914A9A" w:rsidP="00914A9A">
      <w:pPr>
        <w:pStyle w:val="Textoindependiente"/>
        <w:jc w:val="both"/>
        <w:rPr>
          <w:sz w:val="24"/>
        </w:rPr>
      </w:pPr>
    </w:p>
    <w:p w14:paraId="4E113863" w14:textId="77777777" w:rsidR="00914A9A" w:rsidRPr="00446DE1" w:rsidRDefault="00914A9A" w:rsidP="00914A9A">
      <w:pPr>
        <w:pStyle w:val="Textoindependiente"/>
        <w:jc w:val="both"/>
        <w:rPr>
          <w:sz w:val="24"/>
        </w:rPr>
      </w:pPr>
    </w:p>
    <w:p w14:paraId="05ACFD2B" w14:textId="77777777" w:rsidR="00914A9A" w:rsidRPr="00446DE1" w:rsidRDefault="00914A9A" w:rsidP="00914A9A">
      <w:pPr>
        <w:pStyle w:val="Textoindependiente"/>
        <w:jc w:val="both"/>
        <w:rPr>
          <w:sz w:val="24"/>
        </w:rPr>
      </w:pPr>
      <w:bookmarkStart w:id="0" w:name="_GoBack"/>
      <w:bookmarkEnd w:id="0"/>
    </w:p>
    <w:p w14:paraId="58790DDF" w14:textId="6158EF0E" w:rsidR="00914A9A" w:rsidRDefault="00914A9A" w:rsidP="00914A9A">
      <w:pPr>
        <w:pStyle w:val="Textoindependiente"/>
        <w:jc w:val="both"/>
        <w:rPr>
          <w:sz w:val="24"/>
        </w:rPr>
      </w:pPr>
    </w:p>
    <w:p w14:paraId="2BD7E446" w14:textId="145D1265" w:rsidR="003C79B3" w:rsidRDefault="003C79B3" w:rsidP="00914A9A">
      <w:pPr>
        <w:pStyle w:val="Textoindependiente"/>
        <w:jc w:val="both"/>
        <w:rPr>
          <w:sz w:val="24"/>
        </w:rPr>
      </w:pPr>
    </w:p>
    <w:p w14:paraId="519772AC" w14:textId="77777777" w:rsidR="003C79B3" w:rsidRDefault="003C79B3" w:rsidP="00914A9A">
      <w:pPr>
        <w:pStyle w:val="Textoindependiente"/>
        <w:jc w:val="both"/>
        <w:rPr>
          <w:sz w:val="24"/>
        </w:rPr>
      </w:pPr>
    </w:p>
    <w:p w14:paraId="37160725" w14:textId="77777777" w:rsidR="00914A9A" w:rsidRPr="00446DE1" w:rsidRDefault="00914A9A" w:rsidP="00914A9A">
      <w:pPr>
        <w:pStyle w:val="Textoindependiente"/>
        <w:jc w:val="both"/>
        <w:rPr>
          <w:sz w:val="24"/>
        </w:rPr>
      </w:pPr>
    </w:p>
    <w:p w14:paraId="631CD5D4" w14:textId="77777777" w:rsidR="00914A9A" w:rsidRPr="00446DE1" w:rsidRDefault="00914A9A" w:rsidP="00914A9A">
      <w:pPr>
        <w:pStyle w:val="Textoindependiente"/>
        <w:jc w:val="both"/>
        <w:rPr>
          <w:sz w:val="24"/>
        </w:rPr>
      </w:pPr>
    </w:p>
    <w:p w14:paraId="6444197A" w14:textId="77777777" w:rsidR="00914A9A" w:rsidRPr="00446DE1" w:rsidRDefault="00914A9A" w:rsidP="00914A9A">
      <w:pPr>
        <w:pStyle w:val="Textoindependiente"/>
        <w:jc w:val="both"/>
        <w:rPr>
          <w:sz w:val="24"/>
        </w:rPr>
      </w:pPr>
    </w:p>
    <w:p w14:paraId="23925A01" w14:textId="3C362DC7" w:rsidR="00914A9A" w:rsidRPr="00446DE1" w:rsidRDefault="00914A9A" w:rsidP="00914A9A">
      <w:pPr>
        <w:pStyle w:val="Textoindependiente"/>
        <w:tabs>
          <w:tab w:val="left" w:pos="5117"/>
        </w:tabs>
        <w:ind w:left="100"/>
        <w:jc w:val="both"/>
      </w:pPr>
      <w:r>
        <w:t xml:space="preserve">    </w:t>
      </w:r>
      <w:r w:rsidR="00F45CD2">
        <w:t>RODOLFO ENRIQUE ZEA NAVARRO</w:t>
      </w:r>
      <w:r>
        <w:t xml:space="preserve">                       </w:t>
      </w:r>
      <w:r w:rsidRPr="00446DE1">
        <w:t>ANDRÉS</w:t>
      </w:r>
      <w:r>
        <w:t xml:space="preserve"> </w:t>
      </w:r>
      <w:r w:rsidRPr="00446DE1">
        <w:t>LOZANO KARANAUSKAS</w:t>
      </w:r>
    </w:p>
    <w:p w14:paraId="4093956E" w14:textId="47708559" w:rsidR="00914A9A" w:rsidRDefault="00914A9A" w:rsidP="00914A9A">
      <w:pPr>
        <w:pStyle w:val="Textoindependiente"/>
        <w:tabs>
          <w:tab w:val="left" w:pos="4996"/>
        </w:tabs>
        <w:ind w:right="761"/>
        <w:jc w:val="both"/>
      </w:pPr>
      <w:r>
        <w:t xml:space="preserve">                 </w:t>
      </w:r>
      <w:r w:rsidR="00F45CD2">
        <w:t xml:space="preserve">     </w:t>
      </w:r>
      <w:r>
        <w:t xml:space="preserve">    </w:t>
      </w:r>
      <w:r w:rsidRPr="00446DE1">
        <w:t>Presidente</w:t>
      </w:r>
      <w:r w:rsidRPr="00446DE1">
        <w:tab/>
      </w:r>
      <w:r w:rsidR="001D4B74">
        <w:t xml:space="preserve">       </w:t>
      </w:r>
      <w:r w:rsidR="00F45CD2">
        <w:tab/>
        <w:t xml:space="preserve">    </w:t>
      </w:r>
      <w:r w:rsidR="001D4B74">
        <w:t xml:space="preserve">  </w:t>
      </w:r>
      <w:r w:rsidRPr="00446DE1">
        <w:t>Secretario Técnico</w:t>
      </w:r>
    </w:p>
    <w:p w14:paraId="78D87838" w14:textId="77777777" w:rsidR="00F46833" w:rsidRDefault="00F46833"/>
    <w:sectPr w:rsidR="00F46833">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FA5AE" w14:textId="77777777" w:rsidR="00DF3131" w:rsidRDefault="00DF3131" w:rsidP="004F53B7">
      <w:r>
        <w:separator/>
      </w:r>
    </w:p>
  </w:endnote>
  <w:endnote w:type="continuationSeparator" w:id="0">
    <w:p w14:paraId="1F7A1ED7" w14:textId="77777777" w:rsidR="00DF3131" w:rsidRDefault="00DF3131" w:rsidP="004F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457249"/>
      <w:docPartObj>
        <w:docPartGallery w:val="Page Numbers (Bottom of Page)"/>
        <w:docPartUnique/>
      </w:docPartObj>
    </w:sdtPr>
    <w:sdtEndPr/>
    <w:sdtContent>
      <w:p w14:paraId="17878180" w14:textId="4268F5F4" w:rsidR="004F53B7" w:rsidRDefault="004F53B7">
        <w:pPr>
          <w:pStyle w:val="Piedepgina"/>
          <w:jc w:val="right"/>
        </w:pPr>
        <w:r>
          <w:fldChar w:fldCharType="begin"/>
        </w:r>
        <w:r>
          <w:instrText>PAGE   \* MERGEFORMAT</w:instrText>
        </w:r>
        <w:r>
          <w:fldChar w:fldCharType="separate"/>
        </w:r>
        <w:r w:rsidR="0076300E" w:rsidRPr="0076300E">
          <w:rPr>
            <w:noProof/>
            <w:lang w:val="es-ES"/>
          </w:rPr>
          <w:t>1</w:t>
        </w:r>
        <w:r>
          <w:fldChar w:fldCharType="end"/>
        </w:r>
      </w:p>
    </w:sdtContent>
  </w:sdt>
  <w:p w14:paraId="472CA2D1" w14:textId="77777777" w:rsidR="004F53B7" w:rsidRDefault="004F53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C6CB5" w14:textId="77777777" w:rsidR="00DF3131" w:rsidRDefault="00DF3131" w:rsidP="004F53B7">
      <w:r>
        <w:separator/>
      </w:r>
    </w:p>
  </w:footnote>
  <w:footnote w:type="continuationSeparator" w:id="0">
    <w:p w14:paraId="5B37A42A" w14:textId="77777777" w:rsidR="00DF3131" w:rsidRDefault="00DF3131" w:rsidP="004F53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90B21"/>
    <w:multiLevelType w:val="hybridMultilevel"/>
    <w:tmpl w:val="586EFC14"/>
    <w:lvl w:ilvl="0" w:tplc="7D9C51CA">
      <w:start w:val="1"/>
      <w:numFmt w:val="decimal"/>
      <w:lvlText w:val="%1."/>
      <w:lvlJc w:val="left"/>
      <w:pPr>
        <w:ind w:left="360" w:hanging="360"/>
      </w:pPr>
      <w:rPr>
        <w:rFonts w:hAnsi="Arial Unicode MS" w:hint="default"/>
        <w:b/>
        <w:bCs/>
        <w:caps w:val="0"/>
        <w:smallCaps w:val="0"/>
        <w:strike w:val="0"/>
        <w:dstrike w:val="0"/>
        <w:color w:val="000000"/>
        <w:spacing w:val="0"/>
        <w:w w:val="100"/>
        <w:kern w:val="0"/>
        <w:position w:val="0"/>
        <w:vertAlign w:val="baseline"/>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AA60423"/>
    <w:multiLevelType w:val="hybridMultilevel"/>
    <w:tmpl w:val="C206E812"/>
    <w:lvl w:ilvl="0" w:tplc="240A000F">
      <w:start w:val="1"/>
      <w:numFmt w:val="decimal"/>
      <w:lvlText w:val="%1."/>
      <w:lvlJc w:val="left"/>
      <w:pPr>
        <w:ind w:left="360" w:hanging="360"/>
      </w:pPr>
      <w:rPr>
        <w:rFonts w:hint="default"/>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A9A"/>
    <w:rsid w:val="00001A2F"/>
    <w:rsid w:val="00017E3F"/>
    <w:rsid w:val="00031D1A"/>
    <w:rsid w:val="0003591D"/>
    <w:rsid w:val="00037C52"/>
    <w:rsid w:val="00047151"/>
    <w:rsid w:val="000862F5"/>
    <w:rsid w:val="0009702F"/>
    <w:rsid w:val="000A331D"/>
    <w:rsid w:val="000A469C"/>
    <w:rsid w:val="000B3DEF"/>
    <w:rsid w:val="000C52BB"/>
    <w:rsid w:val="000E199E"/>
    <w:rsid w:val="000E600E"/>
    <w:rsid w:val="00110E72"/>
    <w:rsid w:val="00135BA1"/>
    <w:rsid w:val="001422D7"/>
    <w:rsid w:val="0014461F"/>
    <w:rsid w:val="001746E2"/>
    <w:rsid w:val="00183260"/>
    <w:rsid w:val="00184930"/>
    <w:rsid w:val="0019432F"/>
    <w:rsid w:val="001B1316"/>
    <w:rsid w:val="001D4B74"/>
    <w:rsid w:val="00212034"/>
    <w:rsid w:val="00214FD2"/>
    <w:rsid w:val="00233E01"/>
    <w:rsid w:val="00240F3A"/>
    <w:rsid w:val="002B0407"/>
    <w:rsid w:val="002C6498"/>
    <w:rsid w:val="002C6589"/>
    <w:rsid w:val="002C6BD8"/>
    <w:rsid w:val="002E0AFD"/>
    <w:rsid w:val="002F3A77"/>
    <w:rsid w:val="00307C48"/>
    <w:rsid w:val="003321FF"/>
    <w:rsid w:val="00335B36"/>
    <w:rsid w:val="00336FF7"/>
    <w:rsid w:val="003520FE"/>
    <w:rsid w:val="003548CA"/>
    <w:rsid w:val="00367D5F"/>
    <w:rsid w:val="00371E43"/>
    <w:rsid w:val="00380832"/>
    <w:rsid w:val="0039028B"/>
    <w:rsid w:val="003C79B3"/>
    <w:rsid w:val="003D2A1B"/>
    <w:rsid w:val="003D5573"/>
    <w:rsid w:val="003D5ACB"/>
    <w:rsid w:val="004124D1"/>
    <w:rsid w:val="00415BF2"/>
    <w:rsid w:val="00421D15"/>
    <w:rsid w:val="004441D8"/>
    <w:rsid w:val="004471BB"/>
    <w:rsid w:val="0045465B"/>
    <w:rsid w:val="004636E5"/>
    <w:rsid w:val="00463CB2"/>
    <w:rsid w:val="00466AAD"/>
    <w:rsid w:val="00484A4D"/>
    <w:rsid w:val="004861F4"/>
    <w:rsid w:val="004D2806"/>
    <w:rsid w:val="004F3E16"/>
    <w:rsid w:val="004F53B7"/>
    <w:rsid w:val="005117F0"/>
    <w:rsid w:val="005142B9"/>
    <w:rsid w:val="00517165"/>
    <w:rsid w:val="005341BA"/>
    <w:rsid w:val="005527E7"/>
    <w:rsid w:val="00565594"/>
    <w:rsid w:val="00580A64"/>
    <w:rsid w:val="00586273"/>
    <w:rsid w:val="005872A6"/>
    <w:rsid w:val="005A52B5"/>
    <w:rsid w:val="005A5377"/>
    <w:rsid w:val="005A7A85"/>
    <w:rsid w:val="005B06A0"/>
    <w:rsid w:val="005D2F71"/>
    <w:rsid w:val="005E2727"/>
    <w:rsid w:val="005E4F45"/>
    <w:rsid w:val="0060106A"/>
    <w:rsid w:val="00617BE7"/>
    <w:rsid w:val="00627A99"/>
    <w:rsid w:val="0064188C"/>
    <w:rsid w:val="0065578B"/>
    <w:rsid w:val="00665200"/>
    <w:rsid w:val="006844AE"/>
    <w:rsid w:val="006A17AB"/>
    <w:rsid w:val="006C4CBD"/>
    <w:rsid w:val="006E4DEC"/>
    <w:rsid w:val="00705CC4"/>
    <w:rsid w:val="00713801"/>
    <w:rsid w:val="0071443B"/>
    <w:rsid w:val="00733DDA"/>
    <w:rsid w:val="007355D5"/>
    <w:rsid w:val="007362AB"/>
    <w:rsid w:val="00737B67"/>
    <w:rsid w:val="00762389"/>
    <w:rsid w:val="0076259C"/>
    <w:rsid w:val="0076300E"/>
    <w:rsid w:val="00776F6B"/>
    <w:rsid w:val="00782AB5"/>
    <w:rsid w:val="0078437C"/>
    <w:rsid w:val="007A42FA"/>
    <w:rsid w:val="007A7FB5"/>
    <w:rsid w:val="007B2BF1"/>
    <w:rsid w:val="007B71C8"/>
    <w:rsid w:val="007C446C"/>
    <w:rsid w:val="007C46BD"/>
    <w:rsid w:val="007D47ED"/>
    <w:rsid w:val="007D555B"/>
    <w:rsid w:val="007D77BD"/>
    <w:rsid w:val="007F3185"/>
    <w:rsid w:val="00810610"/>
    <w:rsid w:val="00817E76"/>
    <w:rsid w:val="0083556F"/>
    <w:rsid w:val="00837882"/>
    <w:rsid w:val="00840D78"/>
    <w:rsid w:val="0084654E"/>
    <w:rsid w:val="008518A7"/>
    <w:rsid w:val="00884427"/>
    <w:rsid w:val="008925F9"/>
    <w:rsid w:val="008951DA"/>
    <w:rsid w:val="008A4A44"/>
    <w:rsid w:val="008B0043"/>
    <w:rsid w:val="008B16E1"/>
    <w:rsid w:val="008B33E1"/>
    <w:rsid w:val="008E0999"/>
    <w:rsid w:val="008E613A"/>
    <w:rsid w:val="008F65EC"/>
    <w:rsid w:val="00901769"/>
    <w:rsid w:val="009029BA"/>
    <w:rsid w:val="009126A6"/>
    <w:rsid w:val="00914A9A"/>
    <w:rsid w:val="00914F65"/>
    <w:rsid w:val="009155E1"/>
    <w:rsid w:val="00921793"/>
    <w:rsid w:val="009237DE"/>
    <w:rsid w:val="00923FAE"/>
    <w:rsid w:val="00931BDC"/>
    <w:rsid w:val="00937686"/>
    <w:rsid w:val="00941ED3"/>
    <w:rsid w:val="00944AC8"/>
    <w:rsid w:val="00950CA0"/>
    <w:rsid w:val="00952F6A"/>
    <w:rsid w:val="00993F45"/>
    <w:rsid w:val="009A6E2A"/>
    <w:rsid w:val="009C0B5F"/>
    <w:rsid w:val="009C7BC8"/>
    <w:rsid w:val="009E11FD"/>
    <w:rsid w:val="009F2D43"/>
    <w:rsid w:val="009F7DF0"/>
    <w:rsid w:val="00A1644F"/>
    <w:rsid w:val="00A238ED"/>
    <w:rsid w:val="00A30F8E"/>
    <w:rsid w:val="00A357A0"/>
    <w:rsid w:val="00A362BD"/>
    <w:rsid w:val="00A50BE7"/>
    <w:rsid w:val="00A537D6"/>
    <w:rsid w:val="00A72DA2"/>
    <w:rsid w:val="00A75562"/>
    <w:rsid w:val="00A9132E"/>
    <w:rsid w:val="00AA65F5"/>
    <w:rsid w:val="00AA7374"/>
    <w:rsid w:val="00AB125B"/>
    <w:rsid w:val="00AB7A86"/>
    <w:rsid w:val="00B01F8A"/>
    <w:rsid w:val="00B11F00"/>
    <w:rsid w:val="00B418EF"/>
    <w:rsid w:val="00B5039E"/>
    <w:rsid w:val="00B80C87"/>
    <w:rsid w:val="00B97300"/>
    <w:rsid w:val="00BA0CAB"/>
    <w:rsid w:val="00BA4929"/>
    <w:rsid w:val="00BB4274"/>
    <w:rsid w:val="00BC584A"/>
    <w:rsid w:val="00BC67AF"/>
    <w:rsid w:val="00BE678E"/>
    <w:rsid w:val="00C0632E"/>
    <w:rsid w:val="00C22B22"/>
    <w:rsid w:val="00C26F06"/>
    <w:rsid w:val="00C55E3A"/>
    <w:rsid w:val="00C962E4"/>
    <w:rsid w:val="00CA31EC"/>
    <w:rsid w:val="00CA72BE"/>
    <w:rsid w:val="00CB0ECD"/>
    <w:rsid w:val="00CB3345"/>
    <w:rsid w:val="00CC0B4C"/>
    <w:rsid w:val="00CD02B0"/>
    <w:rsid w:val="00CD1688"/>
    <w:rsid w:val="00CD6A17"/>
    <w:rsid w:val="00CD700D"/>
    <w:rsid w:val="00CF33D5"/>
    <w:rsid w:val="00D007BE"/>
    <w:rsid w:val="00D0709D"/>
    <w:rsid w:val="00D52D22"/>
    <w:rsid w:val="00D707DB"/>
    <w:rsid w:val="00D83E76"/>
    <w:rsid w:val="00D933B7"/>
    <w:rsid w:val="00DD5383"/>
    <w:rsid w:val="00DD5CE4"/>
    <w:rsid w:val="00DE1080"/>
    <w:rsid w:val="00DF2317"/>
    <w:rsid w:val="00DF3131"/>
    <w:rsid w:val="00DF461D"/>
    <w:rsid w:val="00E01B78"/>
    <w:rsid w:val="00E06E79"/>
    <w:rsid w:val="00E13FC3"/>
    <w:rsid w:val="00E1587B"/>
    <w:rsid w:val="00E2081D"/>
    <w:rsid w:val="00E3116D"/>
    <w:rsid w:val="00E342B0"/>
    <w:rsid w:val="00E34873"/>
    <w:rsid w:val="00E52283"/>
    <w:rsid w:val="00E53E3E"/>
    <w:rsid w:val="00E56515"/>
    <w:rsid w:val="00E65DB5"/>
    <w:rsid w:val="00E6703E"/>
    <w:rsid w:val="00E85426"/>
    <w:rsid w:val="00EB1745"/>
    <w:rsid w:val="00EC000C"/>
    <w:rsid w:val="00EC50C5"/>
    <w:rsid w:val="00EC7094"/>
    <w:rsid w:val="00EE0349"/>
    <w:rsid w:val="00F0102A"/>
    <w:rsid w:val="00F30B4B"/>
    <w:rsid w:val="00F45CD2"/>
    <w:rsid w:val="00F46833"/>
    <w:rsid w:val="00F5293C"/>
    <w:rsid w:val="00F670CB"/>
    <w:rsid w:val="00FA3167"/>
    <w:rsid w:val="00FA36CD"/>
    <w:rsid w:val="00FA5C3D"/>
    <w:rsid w:val="00FB1509"/>
    <w:rsid w:val="00FB4B03"/>
    <w:rsid w:val="00FD74E9"/>
    <w:rsid w:val="00FE4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B2A27"/>
  <w15:chartTrackingRefBased/>
  <w15:docId w15:val="{0F28F91E-FD08-4C24-8E33-9F1273A84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4A9A"/>
    <w:pPr>
      <w:spacing w:after="0" w:line="240" w:lineRule="auto"/>
    </w:pPr>
    <w:rPr>
      <w:rFonts w:ascii="Times New Roman" w:eastAsia="Times New Roman" w:hAnsi="Times New Roman" w:cs="Times New Roman"/>
      <w:sz w:val="24"/>
      <w:szCs w:val="24"/>
      <w:lang w:val="es-CO"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Segundo nivel de viñetas,titulo 3,Bullets,Chulito,Bullet List,FooterText,numbered,List Paragraph1,Paragraphe de liste1,lp1,Bulletr List Paragraph,Foot,列出段落,列出段落1,List Paragraph2,List Paragraph21,Parágrafo da Lista1,リスト段落1,Listeafsnit1"/>
    <w:basedOn w:val="Normal"/>
    <w:link w:val="PrrafodelistaCar"/>
    <w:uiPriority w:val="34"/>
    <w:qFormat/>
    <w:rsid w:val="00914A9A"/>
    <w:pPr>
      <w:ind w:left="720"/>
      <w:contextualSpacing/>
    </w:pPr>
  </w:style>
  <w:style w:type="paragraph" w:styleId="Textoindependiente">
    <w:name w:val="Body Text"/>
    <w:basedOn w:val="Normal"/>
    <w:link w:val="TextoindependienteCar"/>
    <w:uiPriority w:val="1"/>
    <w:qFormat/>
    <w:rsid w:val="00914A9A"/>
    <w:pPr>
      <w:widowControl w:val="0"/>
      <w:autoSpaceDE w:val="0"/>
      <w:autoSpaceDN w:val="0"/>
    </w:pPr>
    <w:rPr>
      <w:rFonts w:ascii="Arial" w:eastAsia="Arial" w:hAnsi="Arial" w:cs="Arial"/>
      <w:sz w:val="22"/>
      <w:szCs w:val="22"/>
      <w:lang w:val="es-ES" w:eastAsia="es-ES" w:bidi="es-ES"/>
    </w:rPr>
  </w:style>
  <w:style w:type="character" w:customStyle="1" w:styleId="TextoindependienteCar">
    <w:name w:val="Texto independiente Car"/>
    <w:basedOn w:val="Fuentedeprrafopredeter"/>
    <w:link w:val="Textoindependiente"/>
    <w:uiPriority w:val="1"/>
    <w:rsid w:val="00914A9A"/>
    <w:rPr>
      <w:rFonts w:ascii="Arial" w:eastAsia="Arial" w:hAnsi="Arial" w:cs="Arial"/>
      <w:lang w:val="es-ES" w:eastAsia="es-ES" w:bidi="es-ES"/>
    </w:rPr>
  </w:style>
  <w:style w:type="character" w:customStyle="1" w:styleId="PrrafodelistaCar">
    <w:name w:val="Párrafo de lista Car"/>
    <w:aliases w:val="Segundo nivel de viñetas Car,titulo 3 Car,Bullets Car,Chulito Car,Bullet List Car,FooterText Car,numbered Car,List Paragraph1 Car,Paragraphe de liste1 Car,lp1 Car,Bulletr List Paragraph Car,Foot Car,列出段落 Car,列出段落1 Car,リスト段落1 Car"/>
    <w:link w:val="Prrafodelista"/>
    <w:uiPriority w:val="34"/>
    <w:rsid w:val="00914A9A"/>
    <w:rPr>
      <w:rFonts w:ascii="Times New Roman" w:eastAsia="Times New Roman" w:hAnsi="Times New Roman" w:cs="Times New Roman"/>
      <w:sz w:val="24"/>
      <w:szCs w:val="24"/>
      <w:lang w:val="es-CO" w:eastAsia="es-ES_tradnl"/>
    </w:rPr>
  </w:style>
  <w:style w:type="paragraph" w:customStyle="1" w:styleId="c5">
    <w:name w:val="c5"/>
    <w:basedOn w:val="Normal"/>
    <w:uiPriority w:val="99"/>
    <w:rsid w:val="00914A9A"/>
    <w:pPr>
      <w:autoSpaceDE w:val="0"/>
      <w:autoSpaceDN w:val="0"/>
      <w:spacing w:line="240" w:lineRule="atLeast"/>
      <w:jc w:val="center"/>
    </w:pPr>
    <w:rPr>
      <w:lang w:val="es-ES" w:eastAsia="es-ES"/>
    </w:rPr>
  </w:style>
  <w:style w:type="character" w:styleId="Refdecomentario">
    <w:name w:val="annotation reference"/>
    <w:basedOn w:val="Fuentedeprrafopredeter"/>
    <w:uiPriority w:val="99"/>
    <w:semiHidden/>
    <w:unhideWhenUsed/>
    <w:rsid w:val="00CB3345"/>
    <w:rPr>
      <w:sz w:val="16"/>
      <w:szCs w:val="16"/>
    </w:rPr>
  </w:style>
  <w:style w:type="paragraph" w:styleId="Textocomentario">
    <w:name w:val="annotation text"/>
    <w:basedOn w:val="Normal"/>
    <w:link w:val="TextocomentarioCar"/>
    <w:uiPriority w:val="99"/>
    <w:unhideWhenUsed/>
    <w:rsid w:val="00CB3345"/>
    <w:rPr>
      <w:sz w:val="20"/>
      <w:szCs w:val="20"/>
    </w:rPr>
  </w:style>
  <w:style w:type="character" w:customStyle="1" w:styleId="TextocomentarioCar">
    <w:name w:val="Texto comentario Car"/>
    <w:basedOn w:val="Fuentedeprrafopredeter"/>
    <w:link w:val="Textocomentario"/>
    <w:uiPriority w:val="99"/>
    <w:rsid w:val="00CB3345"/>
    <w:rPr>
      <w:rFonts w:ascii="Times New Roman" w:eastAsia="Times New Roman" w:hAnsi="Times New Roman" w:cs="Times New Roman"/>
      <w:sz w:val="20"/>
      <w:szCs w:val="20"/>
      <w:lang w:val="es-CO" w:eastAsia="es-ES_tradnl"/>
    </w:rPr>
  </w:style>
  <w:style w:type="paragraph" w:styleId="Asuntodelcomentario">
    <w:name w:val="annotation subject"/>
    <w:basedOn w:val="Textocomentario"/>
    <w:next w:val="Textocomentario"/>
    <w:link w:val="AsuntodelcomentarioCar"/>
    <w:uiPriority w:val="99"/>
    <w:semiHidden/>
    <w:unhideWhenUsed/>
    <w:rsid w:val="00CB3345"/>
    <w:rPr>
      <w:b/>
      <w:bCs/>
    </w:rPr>
  </w:style>
  <w:style w:type="character" w:customStyle="1" w:styleId="AsuntodelcomentarioCar">
    <w:name w:val="Asunto del comentario Car"/>
    <w:basedOn w:val="TextocomentarioCar"/>
    <w:link w:val="Asuntodelcomentario"/>
    <w:uiPriority w:val="99"/>
    <w:semiHidden/>
    <w:rsid w:val="00CB3345"/>
    <w:rPr>
      <w:rFonts w:ascii="Times New Roman" w:eastAsia="Times New Roman" w:hAnsi="Times New Roman" w:cs="Times New Roman"/>
      <w:b/>
      <w:bCs/>
      <w:sz w:val="20"/>
      <w:szCs w:val="20"/>
      <w:lang w:val="es-CO" w:eastAsia="es-ES_tradnl"/>
    </w:rPr>
  </w:style>
  <w:style w:type="paragraph" w:styleId="Revisin">
    <w:name w:val="Revision"/>
    <w:hidden/>
    <w:uiPriority w:val="99"/>
    <w:semiHidden/>
    <w:rsid w:val="00CB3345"/>
    <w:pPr>
      <w:spacing w:after="0" w:line="240" w:lineRule="auto"/>
    </w:pPr>
    <w:rPr>
      <w:rFonts w:ascii="Times New Roman" w:eastAsia="Times New Roman" w:hAnsi="Times New Roman" w:cs="Times New Roman"/>
      <w:sz w:val="24"/>
      <w:szCs w:val="24"/>
      <w:lang w:val="es-CO" w:eastAsia="es-ES_tradnl"/>
    </w:rPr>
  </w:style>
  <w:style w:type="paragraph" w:styleId="Textodeglobo">
    <w:name w:val="Balloon Text"/>
    <w:basedOn w:val="Normal"/>
    <w:link w:val="TextodegloboCar"/>
    <w:uiPriority w:val="99"/>
    <w:semiHidden/>
    <w:unhideWhenUsed/>
    <w:rsid w:val="00CB334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3345"/>
    <w:rPr>
      <w:rFonts w:ascii="Segoe UI" w:eastAsia="Times New Roman" w:hAnsi="Segoe UI" w:cs="Segoe UI"/>
      <w:sz w:val="18"/>
      <w:szCs w:val="18"/>
      <w:lang w:val="es-CO" w:eastAsia="es-ES_tradnl"/>
    </w:rPr>
  </w:style>
  <w:style w:type="paragraph" w:styleId="Encabezado">
    <w:name w:val="header"/>
    <w:basedOn w:val="Normal"/>
    <w:link w:val="EncabezadoCar"/>
    <w:uiPriority w:val="99"/>
    <w:unhideWhenUsed/>
    <w:rsid w:val="004F53B7"/>
    <w:pPr>
      <w:tabs>
        <w:tab w:val="center" w:pos="4419"/>
        <w:tab w:val="right" w:pos="8838"/>
      </w:tabs>
    </w:pPr>
  </w:style>
  <w:style w:type="character" w:customStyle="1" w:styleId="EncabezadoCar">
    <w:name w:val="Encabezado Car"/>
    <w:basedOn w:val="Fuentedeprrafopredeter"/>
    <w:link w:val="Encabezado"/>
    <w:uiPriority w:val="99"/>
    <w:rsid w:val="004F53B7"/>
    <w:rPr>
      <w:rFonts w:ascii="Times New Roman" w:eastAsia="Times New Roman" w:hAnsi="Times New Roman" w:cs="Times New Roman"/>
      <w:sz w:val="24"/>
      <w:szCs w:val="24"/>
      <w:lang w:val="es-CO" w:eastAsia="es-ES_tradnl"/>
    </w:rPr>
  </w:style>
  <w:style w:type="paragraph" w:styleId="Piedepgina">
    <w:name w:val="footer"/>
    <w:basedOn w:val="Normal"/>
    <w:link w:val="PiedepginaCar"/>
    <w:uiPriority w:val="99"/>
    <w:unhideWhenUsed/>
    <w:rsid w:val="004F53B7"/>
    <w:pPr>
      <w:tabs>
        <w:tab w:val="center" w:pos="4419"/>
        <w:tab w:val="right" w:pos="8838"/>
      </w:tabs>
    </w:pPr>
  </w:style>
  <w:style w:type="character" w:customStyle="1" w:styleId="PiedepginaCar">
    <w:name w:val="Pie de página Car"/>
    <w:basedOn w:val="Fuentedeprrafopredeter"/>
    <w:link w:val="Piedepgina"/>
    <w:uiPriority w:val="99"/>
    <w:rsid w:val="004F53B7"/>
    <w:rPr>
      <w:rFonts w:ascii="Times New Roman" w:eastAsia="Times New Roman" w:hAnsi="Times New Roman" w:cs="Times New Roman"/>
      <w:sz w:val="24"/>
      <w:szCs w:val="24"/>
      <w:lang w:val="es-CO" w:eastAsia="es-ES_tradnl"/>
    </w:rPr>
  </w:style>
  <w:style w:type="table" w:styleId="Tablaconcuadrcula">
    <w:name w:val="Table Grid"/>
    <w:basedOn w:val="Tablanormal"/>
    <w:uiPriority w:val="39"/>
    <w:rsid w:val="0060106A"/>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98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EC9C7CFC92722469D4BE2822CD07B3D" ma:contentTypeVersion="12" ma:contentTypeDescription="Crear nuevo documento." ma:contentTypeScope="" ma:versionID="a50d074af22add9c50ae87e86e8b8255">
  <xsd:schema xmlns:xsd="http://www.w3.org/2001/XMLSchema" xmlns:xs="http://www.w3.org/2001/XMLSchema" xmlns:p="http://schemas.microsoft.com/office/2006/metadata/properties" xmlns:ns3="0bdb0841-81cd-439b-898a-d4ca8b224de2" xmlns:ns4="16443955-f225-4bfc-9189-4fbfd892d0f1" targetNamespace="http://schemas.microsoft.com/office/2006/metadata/properties" ma:root="true" ma:fieldsID="615b76647210b8bf4fa2c3bd45a9abae" ns3:_="" ns4:_="">
    <xsd:import namespace="0bdb0841-81cd-439b-898a-d4ca8b224de2"/>
    <xsd:import namespace="16443955-f225-4bfc-9189-4fbfd892d0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b0841-81cd-439b-898a-d4ca8b224d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43955-f225-4bfc-9189-4fbfd892d0f1"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F6476-078E-4E87-8551-2057CC972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b0841-81cd-439b-898a-d4ca8b224de2"/>
    <ds:schemaRef ds:uri="16443955-f225-4bfc-9189-4fbfd892d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941B6-3023-4662-ABBD-5CFDE0B22587}">
  <ds:schemaRefs>
    <ds:schemaRef ds:uri="http://schemas.microsoft.com/sharepoint/v3/contenttype/forms"/>
  </ds:schemaRefs>
</ds:datastoreItem>
</file>

<file path=customXml/itemProps3.xml><?xml version="1.0" encoding="utf-8"?>
<ds:datastoreItem xmlns:ds="http://schemas.openxmlformats.org/officeDocument/2006/customXml" ds:itemID="{8C88C562-E6EE-4612-918E-BFEDD9E0D42D}">
  <ds:schemaRefs>
    <ds:schemaRef ds:uri="http://schemas.microsoft.com/office/2006/documentManagement/types"/>
    <ds:schemaRef ds:uri="http://www.w3.org/XML/1998/namespace"/>
    <ds:schemaRef ds:uri="http://purl.org/dc/dcmitype/"/>
    <ds:schemaRef ds:uri="http://purl.org/dc/elements/1.1/"/>
    <ds:schemaRef ds:uri="16443955-f225-4bfc-9189-4fbfd892d0f1"/>
    <ds:schemaRef ds:uri="http://schemas.openxmlformats.org/package/2006/metadata/core-properties"/>
    <ds:schemaRef ds:uri="http://purl.org/dc/terms/"/>
    <ds:schemaRef ds:uri="http://schemas.microsoft.com/office/infopath/2007/PartnerControls"/>
    <ds:schemaRef ds:uri="0bdb0841-81cd-439b-898a-d4ca8b224de2"/>
    <ds:schemaRef ds:uri="http://schemas.microsoft.com/office/2006/metadata/properties"/>
  </ds:schemaRefs>
</ds:datastoreItem>
</file>

<file path=customXml/itemProps4.xml><?xml version="1.0" encoding="utf-8"?>
<ds:datastoreItem xmlns:ds="http://schemas.openxmlformats.org/officeDocument/2006/customXml" ds:itemID="{0CD2EF6B-E46E-46B7-8F4E-D2A09016E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1679</Words>
  <Characters>9237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Lozano</dc:creator>
  <cp:keywords/>
  <dc:description/>
  <cp:lastModifiedBy>Andres Lozano Karanauskas</cp:lastModifiedBy>
  <cp:revision>2</cp:revision>
  <cp:lastPrinted>2020-03-20T18:50:00Z</cp:lastPrinted>
  <dcterms:created xsi:type="dcterms:W3CDTF">2020-04-07T20:26:00Z</dcterms:created>
  <dcterms:modified xsi:type="dcterms:W3CDTF">2020-04-07T20:26:00Z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0x0101008EC9C7CFC92722469D4BE2822CD07B3D</vt:lpwstr>
  </property>
</Properties>
</file>