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534AD" w14:textId="77777777" w:rsidR="00914A9A" w:rsidRPr="00463CB2" w:rsidRDefault="00914A9A" w:rsidP="00914A9A">
      <w:pPr>
        <w:jc w:val="center"/>
        <w:rPr>
          <w:rFonts w:ascii="Arial" w:hAnsi="Arial" w:cs="Arial"/>
          <w:b/>
          <w:sz w:val="22"/>
          <w:szCs w:val="22"/>
        </w:rPr>
      </w:pPr>
      <w:r w:rsidRPr="00463CB2">
        <w:rPr>
          <w:rFonts w:ascii="Arial" w:hAnsi="Arial" w:cs="Arial"/>
          <w:b/>
          <w:sz w:val="22"/>
          <w:szCs w:val="22"/>
        </w:rPr>
        <w:t>REPÚBLICA DE COLOMBIA</w:t>
      </w:r>
    </w:p>
    <w:p w14:paraId="7112B493" w14:textId="77777777" w:rsidR="00914A9A" w:rsidRPr="00463CB2" w:rsidRDefault="00914A9A" w:rsidP="00914A9A">
      <w:pPr>
        <w:jc w:val="center"/>
        <w:rPr>
          <w:rFonts w:ascii="Arial" w:hAnsi="Arial" w:cs="Arial"/>
          <w:b/>
          <w:sz w:val="22"/>
          <w:szCs w:val="22"/>
        </w:rPr>
      </w:pPr>
    </w:p>
    <w:p w14:paraId="75A66289" w14:textId="77777777" w:rsidR="00914A9A" w:rsidRPr="00463CB2" w:rsidRDefault="00914A9A" w:rsidP="00914A9A">
      <w:pPr>
        <w:jc w:val="center"/>
        <w:rPr>
          <w:rFonts w:ascii="Arial" w:hAnsi="Arial" w:cs="Arial"/>
          <w:b/>
          <w:sz w:val="22"/>
          <w:szCs w:val="22"/>
        </w:rPr>
      </w:pPr>
      <w:r w:rsidRPr="00463CB2">
        <w:rPr>
          <w:rFonts w:ascii="Arial" w:hAnsi="Arial" w:cs="Arial"/>
          <w:b/>
          <w:sz w:val="22"/>
          <w:szCs w:val="22"/>
        </w:rPr>
        <w:t>COMISIÓN NACIONAL DE CRÉDITO AGROPECUARIO</w:t>
      </w:r>
    </w:p>
    <w:p w14:paraId="0B1F1AC8" w14:textId="77777777" w:rsidR="00914A9A" w:rsidRPr="00463CB2" w:rsidRDefault="00914A9A" w:rsidP="00914A9A">
      <w:pPr>
        <w:jc w:val="center"/>
        <w:rPr>
          <w:rFonts w:ascii="Arial" w:hAnsi="Arial" w:cs="Arial"/>
          <w:b/>
          <w:sz w:val="22"/>
          <w:szCs w:val="22"/>
        </w:rPr>
      </w:pPr>
    </w:p>
    <w:p w14:paraId="43532B9F" w14:textId="77777777" w:rsidR="00914A9A" w:rsidRPr="00463CB2" w:rsidRDefault="00914A9A" w:rsidP="00914A9A">
      <w:pPr>
        <w:jc w:val="center"/>
        <w:rPr>
          <w:rFonts w:ascii="Arial" w:hAnsi="Arial" w:cs="Arial"/>
          <w:b/>
          <w:color w:val="000000" w:themeColor="text1"/>
          <w:sz w:val="22"/>
          <w:szCs w:val="22"/>
        </w:rPr>
      </w:pPr>
      <w:r w:rsidRPr="00463CB2">
        <w:rPr>
          <w:rFonts w:ascii="Arial" w:hAnsi="Arial" w:cs="Arial"/>
          <w:b/>
          <w:color w:val="000000" w:themeColor="text1"/>
          <w:sz w:val="22"/>
          <w:szCs w:val="22"/>
        </w:rPr>
        <w:t xml:space="preserve">RESOLUCIÓN N° </w:t>
      </w:r>
      <w:r w:rsidRPr="00463CB2">
        <w:rPr>
          <w:rFonts w:ascii="Arial" w:hAnsi="Arial" w:cs="Arial"/>
          <w:b/>
          <w:color w:val="000000" w:themeColor="text1"/>
          <w:sz w:val="22"/>
          <w:szCs w:val="22"/>
          <w:highlight w:val="yellow"/>
        </w:rPr>
        <w:t>1</w:t>
      </w:r>
      <w:r w:rsidRPr="00463CB2">
        <w:rPr>
          <w:rFonts w:ascii="Arial" w:hAnsi="Arial" w:cs="Arial"/>
          <w:b/>
          <w:color w:val="000000" w:themeColor="text1"/>
          <w:sz w:val="22"/>
          <w:szCs w:val="22"/>
        </w:rPr>
        <w:t xml:space="preserve"> de 2020</w:t>
      </w:r>
    </w:p>
    <w:p w14:paraId="68BD38BE" w14:textId="5306F112" w:rsidR="00914A9A" w:rsidRPr="00463CB2" w:rsidRDefault="00914A9A" w:rsidP="00914A9A">
      <w:pPr>
        <w:jc w:val="center"/>
        <w:rPr>
          <w:rFonts w:ascii="Arial" w:hAnsi="Arial" w:cs="Arial"/>
          <w:b/>
          <w:color w:val="000000" w:themeColor="text1"/>
          <w:sz w:val="22"/>
          <w:szCs w:val="22"/>
        </w:rPr>
      </w:pPr>
      <w:r w:rsidRPr="00463CB2">
        <w:rPr>
          <w:rFonts w:ascii="Arial" w:hAnsi="Arial" w:cs="Arial"/>
          <w:b/>
          <w:color w:val="000000" w:themeColor="text1"/>
          <w:sz w:val="22"/>
          <w:szCs w:val="22"/>
        </w:rPr>
        <w:t>(</w:t>
      </w:r>
      <w:proofErr w:type="gramStart"/>
      <w:r w:rsidR="0064188C" w:rsidRPr="00463CB2">
        <w:rPr>
          <w:rFonts w:ascii="Arial" w:hAnsi="Arial" w:cs="Arial"/>
          <w:b/>
          <w:color w:val="000000" w:themeColor="text1"/>
          <w:sz w:val="22"/>
          <w:szCs w:val="22"/>
          <w:highlight w:val="yellow"/>
        </w:rPr>
        <w:t>Marzo</w:t>
      </w:r>
      <w:proofErr w:type="gramEnd"/>
      <w:r w:rsidRPr="00463CB2">
        <w:rPr>
          <w:rFonts w:ascii="Arial" w:hAnsi="Arial" w:cs="Arial"/>
          <w:b/>
          <w:color w:val="000000" w:themeColor="text1"/>
          <w:sz w:val="22"/>
          <w:szCs w:val="22"/>
          <w:highlight w:val="yellow"/>
        </w:rPr>
        <w:t xml:space="preserve"> </w:t>
      </w:r>
      <w:r w:rsidR="0064188C" w:rsidRPr="00463CB2">
        <w:rPr>
          <w:rFonts w:ascii="Arial" w:hAnsi="Arial" w:cs="Arial"/>
          <w:b/>
          <w:color w:val="000000" w:themeColor="text1"/>
          <w:sz w:val="22"/>
          <w:szCs w:val="22"/>
          <w:highlight w:val="yellow"/>
        </w:rPr>
        <w:t>2</w:t>
      </w:r>
      <w:r w:rsidR="00F45CD2">
        <w:rPr>
          <w:rFonts w:ascii="Arial" w:hAnsi="Arial" w:cs="Arial"/>
          <w:b/>
          <w:color w:val="000000" w:themeColor="text1"/>
          <w:sz w:val="22"/>
          <w:szCs w:val="22"/>
          <w:highlight w:val="yellow"/>
        </w:rPr>
        <w:t>7</w:t>
      </w:r>
      <w:r w:rsidRPr="00463CB2">
        <w:rPr>
          <w:rFonts w:ascii="Arial" w:hAnsi="Arial" w:cs="Arial"/>
          <w:b/>
          <w:color w:val="000000" w:themeColor="text1"/>
          <w:sz w:val="22"/>
          <w:szCs w:val="22"/>
          <w:highlight w:val="yellow"/>
        </w:rPr>
        <w:t>)</w:t>
      </w:r>
    </w:p>
    <w:p w14:paraId="3E36C3E4" w14:textId="77777777" w:rsidR="00914A9A" w:rsidRPr="00463CB2" w:rsidRDefault="00914A9A" w:rsidP="00914A9A">
      <w:pPr>
        <w:jc w:val="center"/>
        <w:rPr>
          <w:rFonts w:ascii="Arial" w:hAnsi="Arial" w:cs="Arial"/>
          <w:b/>
          <w:color w:val="000000" w:themeColor="text1"/>
          <w:sz w:val="22"/>
          <w:szCs w:val="22"/>
        </w:rPr>
      </w:pPr>
    </w:p>
    <w:p w14:paraId="5605C6C3" w14:textId="642E7F51" w:rsidR="00914A9A" w:rsidRPr="00463CB2" w:rsidRDefault="00914A9A" w:rsidP="00914A9A">
      <w:pPr>
        <w:ind w:firstLine="280"/>
        <w:jc w:val="center"/>
        <w:rPr>
          <w:rFonts w:ascii="Arial" w:hAnsi="Arial" w:cs="Arial"/>
          <w:color w:val="000000" w:themeColor="text1"/>
          <w:sz w:val="22"/>
          <w:szCs w:val="22"/>
          <w:lang w:eastAsia="es-ES"/>
        </w:rPr>
      </w:pPr>
      <w:r w:rsidRPr="00463CB2">
        <w:rPr>
          <w:rFonts w:ascii="Arial" w:hAnsi="Arial" w:cs="Arial"/>
          <w:color w:val="000000" w:themeColor="text1"/>
          <w:sz w:val="22"/>
          <w:szCs w:val="22"/>
          <w:lang w:eastAsia="es-ES"/>
        </w:rPr>
        <w:t xml:space="preserve">“Por la cual se modifica la Resolución 18 de 2019 y se define una LEC </w:t>
      </w:r>
      <w:r w:rsidRPr="00463CB2">
        <w:rPr>
          <w:rFonts w:ascii="Arial" w:eastAsia="Arial" w:hAnsi="Arial" w:cs="Arial"/>
          <w:sz w:val="22"/>
          <w:szCs w:val="22"/>
          <w:lang w:eastAsia="es-CO" w:bidi="es-CO"/>
        </w:rPr>
        <w:t>en</w:t>
      </w:r>
      <w:r w:rsidR="0064188C" w:rsidRPr="00463CB2">
        <w:rPr>
          <w:rFonts w:ascii="Arial" w:eastAsia="Arial" w:hAnsi="Arial" w:cs="Arial"/>
          <w:sz w:val="22"/>
          <w:szCs w:val="22"/>
          <w:lang w:eastAsia="es-CO" w:bidi="es-CO"/>
        </w:rPr>
        <w:t xml:space="preserve"> el marco del</w:t>
      </w:r>
      <w:r w:rsidRPr="00463CB2">
        <w:rPr>
          <w:rFonts w:ascii="Arial" w:eastAsia="Arial" w:hAnsi="Arial" w:cs="Arial"/>
          <w:sz w:val="22"/>
          <w:szCs w:val="22"/>
          <w:lang w:eastAsia="es-CO" w:bidi="es-CO"/>
        </w:rPr>
        <w:t xml:space="preserve"> </w:t>
      </w:r>
      <w:r w:rsidRPr="00463CB2">
        <w:rPr>
          <w:rFonts w:ascii="Arial" w:hAnsi="Arial" w:cs="Arial"/>
          <w:color w:val="000000" w:themeColor="text1"/>
          <w:sz w:val="22"/>
          <w:szCs w:val="22"/>
        </w:rPr>
        <w:t>Estado de Emergencia Económica, Social y Ecológica</w:t>
      </w:r>
      <w:r w:rsidRPr="00463CB2">
        <w:rPr>
          <w:rFonts w:ascii="Arial" w:hAnsi="Arial" w:cs="Arial"/>
          <w:bCs/>
          <w:color w:val="000000"/>
          <w:sz w:val="22"/>
          <w:szCs w:val="22"/>
          <w:lang w:eastAsia="es-ES"/>
        </w:rPr>
        <w:t>”</w:t>
      </w:r>
      <w:r w:rsidRPr="00463CB2">
        <w:rPr>
          <w:rFonts w:ascii="Arial" w:hAnsi="Arial" w:cs="Arial"/>
          <w:color w:val="000000" w:themeColor="text1"/>
          <w:sz w:val="22"/>
          <w:szCs w:val="22"/>
          <w:lang w:eastAsia="es-ES"/>
        </w:rPr>
        <w:t>.</w:t>
      </w:r>
    </w:p>
    <w:p w14:paraId="36A704E0" w14:textId="77777777" w:rsidR="00914A9A" w:rsidRPr="00463CB2" w:rsidRDefault="00914A9A" w:rsidP="00914A9A">
      <w:pPr>
        <w:ind w:firstLine="280"/>
        <w:jc w:val="both"/>
        <w:rPr>
          <w:rFonts w:ascii="Arial" w:hAnsi="Arial" w:cs="Arial"/>
          <w:color w:val="000000" w:themeColor="text1"/>
          <w:sz w:val="22"/>
          <w:szCs w:val="22"/>
          <w:lang w:eastAsia="es-ES"/>
        </w:rPr>
      </w:pPr>
    </w:p>
    <w:p w14:paraId="4072DDA4" w14:textId="77777777" w:rsidR="00914A9A" w:rsidRPr="00463CB2" w:rsidRDefault="00914A9A" w:rsidP="00914A9A">
      <w:pPr>
        <w:ind w:firstLine="280"/>
        <w:jc w:val="center"/>
        <w:outlineLvl w:val="1"/>
        <w:rPr>
          <w:rFonts w:ascii="Arial" w:hAnsi="Arial" w:cs="Arial"/>
          <w:b/>
          <w:bCs/>
          <w:color w:val="000000"/>
          <w:sz w:val="22"/>
          <w:szCs w:val="22"/>
          <w:lang w:eastAsia="es-ES"/>
        </w:rPr>
      </w:pPr>
    </w:p>
    <w:p w14:paraId="11ADB55F" w14:textId="77777777" w:rsidR="00914A9A" w:rsidRPr="00463CB2" w:rsidRDefault="00914A9A" w:rsidP="00914A9A">
      <w:pPr>
        <w:ind w:firstLine="280"/>
        <w:jc w:val="center"/>
        <w:outlineLvl w:val="1"/>
        <w:rPr>
          <w:rFonts w:ascii="Arial" w:hAnsi="Arial" w:cs="Arial"/>
          <w:b/>
          <w:bCs/>
          <w:color w:val="000000"/>
          <w:sz w:val="22"/>
          <w:szCs w:val="22"/>
          <w:lang w:eastAsia="es-ES"/>
        </w:rPr>
      </w:pPr>
      <w:r w:rsidRPr="00463CB2">
        <w:rPr>
          <w:rFonts w:ascii="Arial" w:hAnsi="Arial" w:cs="Arial"/>
          <w:b/>
          <w:bCs/>
          <w:color w:val="000000"/>
          <w:sz w:val="22"/>
          <w:szCs w:val="22"/>
          <w:lang w:eastAsia="es-ES"/>
        </w:rPr>
        <w:t>LA COMISIÓN NACIONAL DE CRÉDITO AGROPECUARIO</w:t>
      </w:r>
    </w:p>
    <w:p w14:paraId="5013BA5A" w14:textId="77777777" w:rsidR="00914A9A" w:rsidRPr="00463CB2" w:rsidRDefault="00914A9A" w:rsidP="00914A9A">
      <w:pPr>
        <w:ind w:firstLine="280"/>
        <w:jc w:val="both"/>
        <w:outlineLvl w:val="1"/>
        <w:rPr>
          <w:rFonts w:ascii="Arial" w:hAnsi="Arial" w:cs="Arial"/>
          <w:color w:val="000000"/>
          <w:sz w:val="22"/>
          <w:szCs w:val="22"/>
          <w:lang w:eastAsia="es-ES"/>
        </w:rPr>
      </w:pPr>
    </w:p>
    <w:p w14:paraId="1FE0FB6B" w14:textId="77777777" w:rsidR="00914A9A" w:rsidRPr="00463CB2" w:rsidRDefault="00914A9A" w:rsidP="00914A9A">
      <w:pPr>
        <w:jc w:val="both"/>
        <w:rPr>
          <w:rFonts w:ascii="Arial" w:hAnsi="Arial" w:cs="Arial"/>
          <w:color w:val="000000"/>
          <w:sz w:val="22"/>
          <w:szCs w:val="22"/>
          <w:lang w:eastAsia="es-ES"/>
        </w:rPr>
      </w:pPr>
      <w:r w:rsidRPr="00463CB2">
        <w:rPr>
          <w:rFonts w:ascii="Arial" w:hAnsi="Arial" w:cs="Arial"/>
          <w:color w:val="000000"/>
          <w:sz w:val="22"/>
          <w:szCs w:val="22"/>
          <w:lang w:eastAsia="es-ES"/>
        </w:rPr>
        <w:t>En ejercicio de las facultades conferidas por los artículos 218 y 220 del Estatuto Orgánico del Sistema Financiero, las Leyes 16 de 1990, 101 de 1993, 1133 de 2007, 1731 de 2014, el Decreto-Ley 2371 de 2015, y los Decretos 1313 de 1990, 626 de 1994, 1071 de 2015, y</w:t>
      </w:r>
    </w:p>
    <w:p w14:paraId="151A00DB" w14:textId="77777777" w:rsidR="00914A9A" w:rsidRPr="00463CB2" w:rsidRDefault="00914A9A" w:rsidP="00914A9A">
      <w:pPr>
        <w:jc w:val="both"/>
        <w:rPr>
          <w:rFonts w:ascii="Arial" w:hAnsi="Arial" w:cs="Arial"/>
          <w:color w:val="000000"/>
          <w:sz w:val="22"/>
          <w:szCs w:val="22"/>
          <w:lang w:eastAsia="es-ES"/>
        </w:rPr>
      </w:pPr>
    </w:p>
    <w:p w14:paraId="219F81E4" w14:textId="77777777" w:rsidR="00914A9A" w:rsidRPr="00463CB2" w:rsidRDefault="00914A9A" w:rsidP="00914A9A">
      <w:pPr>
        <w:jc w:val="center"/>
        <w:rPr>
          <w:rFonts w:ascii="Arial" w:hAnsi="Arial" w:cs="Arial"/>
          <w:color w:val="000000"/>
          <w:sz w:val="22"/>
          <w:szCs w:val="22"/>
          <w:lang w:eastAsia="es-ES"/>
        </w:rPr>
      </w:pPr>
      <w:r w:rsidRPr="00463CB2">
        <w:rPr>
          <w:rFonts w:ascii="Arial" w:hAnsi="Arial" w:cs="Arial"/>
          <w:b/>
          <w:color w:val="000000"/>
          <w:sz w:val="22"/>
          <w:szCs w:val="22"/>
          <w:lang w:eastAsia="es-ES"/>
        </w:rPr>
        <w:t>CONSIDERANDO:</w:t>
      </w:r>
    </w:p>
    <w:p w14:paraId="7F46C15F" w14:textId="77777777" w:rsidR="00914A9A" w:rsidRPr="00463CB2" w:rsidRDefault="00914A9A" w:rsidP="00914A9A">
      <w:pPr>
        <w:jc w:val="both"/>
        <w:rPr>
          <w:rFonts w:ascii="Arial" w:hAnsi="Arial" w:cs="Arial"/>
          <w:color w:val="000000"/>
          <w:sz w:val="22"/>
          <w:szCs w:val="22"/>
          <w:lang w:eastAsia="es-ES"/>
        </w:rPr>
      </w:pPr>
    </w:p>
    <w:p w14:paraId="5875468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b/>
          <w:color w:val="000000" w:themeColor="text1"/>
          <w:sz w:val="22"/>
          <w:szCs w:val="22"/>
          <w:lang w:eastAsia="es-CO" w:bidi="es-CO"/>
        </w:rPr>
        <w:t>Primero</w:t>
      </w:r>
      <w:r w:rsidRPr="00463CB2">
        <w:rPr>
          <w:rFonts w:ascii="Arial" w:eastAsia="Arial" w:hAnsi="Arial" w:cs="Arial"/>
          <w:color w:val="000000" w:themeColor="text1"/>
          <w:sz w:val="22"/>
          <w:szCs w:val="22"/>
          <w:lang w:eastAsia="es-CO" w:bidi="es-CO"/>
        </w:rPr>
        <w:t xml:space="preserve">. Que de acuerdo con lo dispuesto en </w:t>
      </w:r>
      <w:r w:rsidRPr="00463CB2">
        <w:rPr>
          <w:rFonts w:ascii="Arial" w:hAnsi="Arial" w:cs="Arial"/>
          <w:sz w:val="22"/>
          <w:szCs w:val="22"/>
        </w:rPr>
        <w:t>los literales b., c., f. y n. de</w:t>
      </w:r>
      <w:r w:rsidRPr="00463CB2">
        <w:rPr>
          <w:rFonts w:ascii="Arial" w:eastAsia="Arial" w:hAnsi="Arial" w:cs="Arial"/>
          <w:color w:val="000000" w:themeColor="text1"/>
          <w:sz w:val="22"/>
          <w:szCs w:val="22"/>
          <w:lang w:eastAsia="es-CO" w:bidi="es-CO"/>
        </w:rPr>
        <w:t>l numeral 2. del artículo 218 del Estatuto Orgánico del Sistema Financiero, la Comisión Nacional de Crédito Agropecuario - CNCA, como organismo rector del financiamiento y del manejo de riesgos del sector agropecuario podrá:</w:t>
      </w:r>
    </w:p>
    <w:p w14:paraId="261FB456"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956146C"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 </w:t>
      </w:r>
    </w:p>
    <w:p w14:paraId="665A2A2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C101FD7"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14:paraId="01A256BF"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4BE6967B"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 </w:t>
      </w:r>
    </w:p>
    <w:p w14:paraId="6827D64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5B5384A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2E150357"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772DE011"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f) Fijar las tasas y márgenes de redescuento de las operaciones que apruebe </w:t>
      </w:r>
      <w:proofErr w:type="spellStart"/>
      <w:r w:rsidRPr="00463CB2">
        <w:rPr>
          <w:rFonts w:ascii="Arial" w:eastAsia="Arial" w:hAnsi="Arial" w:cs="Arial"/>
          <w:color w:val="000000" w:themeColor="text1"/>
          <w:sz w:val="22"/>
          <w:szCs w:val="22"/>
          <w:lang w:eastAsia="es-CO" w:bidi="es-CO"/>
        </w:rPr>
        <w:t>Finagro</w:t>
      </w:r>
      <w:proofErr w:type="spellEnd"/>
      <w:r w:rsidRPr="00463CB2">
        <w:rPr>
          <w:rFonts w:ascii="Arial" w:eastAsia="Arial" w:hAnsi="Arial" w:cs="Arial"/>
          <w:color w:val="000000" w:themeColor="text1"/>
          <w:sz w:val="22"/>
          <w:szCs w:val="22"/>
          <w:lang w:eastAsia="es-CO" w:bidi="es-CO"/>
        </w:rPr>
        <w:t xml:space="preserve">. </w:t>
      </w:r>
    </w:p>
    <w:p w14:paraId="35F9E69C"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4F10C104"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50C9A83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 </w:t>
      </w:r>
    </w:p>
    <w:p w14:paraId="634655A9"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1C5129E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70C095BF"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73DA7A4"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hAnsi="Arial" w:cs="Arial"/>
          <w:b/>
          <w:color w:val="000000" w:themeColor="text1"/>
          <w:sz w:val="22"/>
          <w:szCs w:val="22"/>
        </w:rPr>
        <w:t>Segundo</w:t>
      </w:r>
      <w:r w:rsidRPr="00463CB2">
        <w:rPr>
          <w:rFonts w:ascii="Arial" w:eastAsia="Arial" w:hAnsi="Arial" w:cs="Arial"/>
          <w:b/>
          <w:color w:val="000000" w:themeColor="text1"/>
          <w:sz w:val="22"/>
          <w:szCs w:val="22"/>
          <w:lang w:eastAsia="es-CO" w:bidi="es-CO"/>
        </w:rPr>
        <w:t xml:space="preserve">. </w:t>
      </w:r>
      <w:r w:rsidRPr="00463CB2">
        <w:rPr>
          <w:rFonts w:ascii="Arial" w:eastAsia="Arial" w:hAnsi="Arial" w:cs="Arial"/>
          <w:color w:val="000000" w:themeColor="text1"/>
          <w:sz w:val="22"/>
          <w:szCs w:val="22"/>
          <w:lang w:eastAsia="es-CO" w:bidi="es-CO"/>
        </w:rPr>
        <w:t xml:space="preserve">Que de acuerdo con lo dispuesto en el artículo 220 del Estatuto Orgánico del Sistema Financiero, “La Comisión Nacional de Crédito Agropecuario definirá las líneas de crédito que otorgarán las entidades que integran el Sistema Nacional de Crédito Agropecuario, y las instituciones bancarias y financieras debidamente autorizadas por la </w:t>
      </w:r>
      <w:r w:rsidRPr="00463CB2">
        <w:rPr>
          <w:rFonts w:ascii="Arial" w:eastAsia="Arial" w:hAnsi="Arial" w:cs="Arial"/>
          <w:color w:val="000000" w:themeColor="text1"/>
          <w:sz w:val="22"/>
          <w:szCs w:val="22"/>
          <w:lang w:eastAsia="es-CO" w:bidi="es-CO"/>
        </w:rPr>
        <w:lastRenderedPageBreak/>
        <w:t>Superintendencia Bancaria, para conceder créditos con destino al sector agropecuario, afines y similares (…)”.</w:t>
      </w:r>
    </w:p>
    <w:p w14:paraId="0354FDBF" w14:textId="77777777" w:rsidR="00914A9A" w:rsidRPr="00463CB2" w:rsidRDefault="00914A9A" w:rsidP="00914A9A">
      <w:pPr>
        <w:jc w:val="both"/>
        <w:rPr>
          <w:rFonts w:ascii="Arial" w:hAnsi="Arial" w:cs="Arial"/>
          <w:strike/>
          <w:color w:val="000000"/>
          <w:sz w:val="22"/>
          <w:szCs w:val="22"/>
          <w:lang w:eastAsia="es-ES"/>
        </w:rPr>
      </w:pPr>
    </w:p>
    <w:p w14:paraId="6E974095" w14:textId="58D61C32" w:rsidR="00914A9A" w:rsidRPr="00463CB2" w:rsidRDefault="00914A9A" w:rsidP="00914A9A">
      <w:pPr>
        <w:jc w:val="both"/>
        <w:rPr>
          <w:rFonts w:ascii="Arial" w:hAnsi="Arial" w:cs="Arial"/>
          <w:color w:val="000000" w:themeColor="text1"/>
          <w:sz w:val="22"/>
          <w:szCs w:val="22"/>
          <w:lang w:eastAsia="es-ES"/>
        </w:rPr>
      </w:pPr>
      <w:r w:rsidRPr="00463CB2">
        <w:rPr>
          <w:rFonts w:ascii="Arial" w:hAnsi="Arial" w:cs="Arial"/>
          <w:b/>
          <w:bCs/>
          <w:color w:val="000000" w:themeColor="text1"/>
          <w:sz w:val="22"/>
          <w:szCs w:val="22"/>
          <w:lang w:eastAsia="es-ES"/>
        </w:rPr>
        <w:t xml:space="preserve">Tercero. </w:t>
      </w:r>
      <w:r w:rsidRPr="00463CB2">
        <w:rPr>
          <w:rFonts w:ascii="Arial" w:hAnsi="Arial" w:cs="Arial"/>
          <w:color w:val="000000" w:themeColor="text1"/>
          <w:sz w:val="22"/>
          <w:szCs w:val="22"/>
          <w:lang w:eastAsia="es-ES"/>
        </w:rPr>
        <w:t>Que mediante Resolución 385 del 12 de marzo de 2020, el ministro de Salud y Protección Social, de acuerdo con lo establecido en el artículo 69 de la Ley 1753 de 2015, declaró el estado de emergencia sanitaria por causa del nuevo coronavirus COVID-19 en todo</w:t>
      </w:r>
      <w:r w:rsidR="0084654E" w:rsidRPr="00463CB2">
        <w:rPr>
          <w:rFonts w:ascii="Arial" w:hAnsi="Arial" w:cs="Arial"/>
          <w:color w:val="000000" w:themeColor="text1"/>
          <w:sz w:val="22"/>
          <w:szCs w:val="22"/>
          <w:lang w:eastAsia="es-ES"/>
        </w:rPr>
        <w:t xml:space="preserve"> el territorio nacional hasta el</w:t>
      </w:r>
      <w:r w:rsidRPr="00463CB2">
        <w:rPr>
          <w:rFonts w:ascii="Arial" w:hAnsi="Arial" w:cs="Arial"/>
          <w:color w:val="000000" w:themeColor="text1"/>
          <w:sz w:val="22"/>
          <w:szCs w:val="22"/>
          <w:lang w:eastAsia="es-ES"/>
        </w:rPr>
        <w:t xml:space="preserve"> 30 de mayo de 2020 y, en virtud de la misma, adoptó una serie de medidas con el objeto de prevenir y controlar la propagación del COVID-19 y mitigar sus efectos.</w:t>
      </w:r>
    </w:p>
    <w:p w14:paraId="3B9576D0" w14:textId="77777777" w:rsidR="00914A9A" w:rsidRPr="00463CB2" w:rsidRDefault="00914A9A" w:rsidP="00914A9A">
      <w:pPr>
        <w:jc w:val="both"/>
        <w:rPr>
          <w:rFonts w:ascii="Arial" w:hAnsi="Arial" w:cs="Arial"/>
          <w:color w:val="000000" w:themeColor="text1"/>
          <w:sz w:val="22"/>
          <w:szCs w:val="22"/>
          <w:lang w:eastAsia="es-ES"/>
        </w:rPr>
      </w:pPr>
    </w:p>
    <w:p w14:paraId="6FFBDC81" w14:textId="518094B3" w:rsidR="00914A9A" w:rsidRPr="00463CB2" w:rsidRDefault="00914A9A" w:rsidP="00914A9A">
      <w:pPr>
        <w:jc w:val="both"/>
        <w:rPr>
          <w:rFonts w:ascii="Arial" w:hAnsi="Arial" w:cs="Arial"/>
          <w:color w:val="000000" w:themeColor="text1"/>
          <w:sz w:val="22"/>
          <w:szCs w:val="22"/>
          <w:lang w:eastAsia="es-ES"/>
        </w:rPr>
      </w:pPr>
      <w:r w:rsidRPr="00463CB2">
        <w:rPr>
          <w:rFonts w:ascii="Arial" w:hAnsi="Arial" w:cs="Arial"/>
          <w:b/>
          <w:bCs/>
          <w:color w:val="000000" w:themeColor="text1"/>
          <w:sz w:val="22"/>
          <w:szCs w:val="22"/>
          <w:lang w:eastAsia="es-ES"/>
        </w:rPr>
        <w:t>Cuarto</w:t>
      </w:r>
      <w:r w:rsidRPr="00463CB2">
        <w:rPr>
          <w:rFonts w:ascii="Arial" w:hAnsi="Arial" w:cs="Arial"/>
          <w:color w:val="000000" w:themeColor="text1"/>
          <w:sz w:val="22"/>
          <w:szCs w:val="22"/>
          <w:lang w:eastAsia="es-ES"/>
        </w:rPr>
        <w:t>. Que mediante Decreto 417 del 17 de marzo de 2020, se declaró el Estado de Emergencia Económica, Social y Ecológica en todo el territorio Nacional, por el término de 30 días. Una de las finalidades de esta medida es garantizar la suficiencia y accesibilidad de la población a los alimentos neces</w:t>
      </w:r>
      <w:r w:rsidR="00F45CD2">
        <w:rPr>
          <w:rFonts w:ascii="Arial" w:hAnsi="Arial" w:cs="Arial"/>
          <w:color w:val="000000" w:themeColor="text1"/>
          <w:sz w:val="22"/>
          <w:szCs w:val="22"/>
          <w:lang w:eastAsia="es-ES"/>
        </w:rPr>
        <w:t>arios para su subsistencia. El Gobierno N</w:t>
      </w:r>
      <w:r w:rsidRPr="00463CB2">
        <w:rPr>
          <w:rFonts w:ascii="Arial" w:hAnsi="Arial" w:cs="Arial"/>
          <w:color w:val="000000" w:themeColor="text1"/>
          <w:sz w:val="22"/>
          <w:szCs w:val="22"/>
          <w:lang w:eastAsia="es-ES"/>
        </w:rPr>
        <w:t xml:space="preserve">acional adoptará las acciones necesarias para garantizar el permanente funcionamiento del sistema de abastecimiento y seguridad alimentaria en todo el territorio nacional. </w:t>
      </w:r>
    </w:p>
    <w:p w14:paraId="2C4743FD" w14:textId="77777777" w:rsidR="00914A9A" w:rsidRPr="00463CB2" w:rsidRDefault="00914A9A" w:rsidP="00914A9A">
      <w:pPr>
        <w:jc w:val="both"/>
        <w:rPr>
          <w:rFonts w:ascii="Arial" w:hAnsi="Arial" w:cs="Arial"/>
          <w:bCs/>
          <w:color w:val="000000"/>
          <w:sz w:val="22"/>
          <w:szCs w:val="22"/>
          <w:lang w:eastAsia="es-ES"/>
        </w:rPr>
      </w:pPr>
    </w:p>
    <w:p w14:paraId="450815F4" w14:textId="7D6391CE" w:rsidR="00914A9A" w:rsidRPr="00463CB2" w:rsidRDefault="00914A9A" w:rsidP="00914A9A">
      <w:pPr>
        <w:jc w:val="both"/>
        <w:rPr>
          <w:rFonts w:ascii="Arial" w:hAnsi="Arial" w:cs="Arial"/>
          <w:color w:val="000000" w:themeColor="text1"/>
          <w:sz w:val="22"/>
          <w:szCs w:val="22"/>
          <w:lang w:eastAsia="es-ES"/>
        </w:rPr>
      </w:pPr>
      <w:r w:rsidRPr="00463CB2">
        <w:rPr>
          <w:rFonts w:ascii="Arial" w:hAnsi="Arial" w:cs="Arial"/>
          <w:b/>
          <w:bCs/>
          <w:color w:val="000000" w:themeColor="text1"/>
          <w:sz w:val="22"/>
          <w:szCs w:val="22"/>
          <w:lang w:eastAsia="es-ES"/>
        </w:rPr>
        <w:t xml:space="preserve">Quinto. </w:t>
      </w:r>
      <w:proofErr w:type="gramStart"/>
      <w:r w:rsidRPr="00463CB2">
        <w:rPr>
          <w:rFonts w:ascii="Arial" w:hAnsi="Arial" w:cs="Arial"/>
          <w:color w:val="000000" w:themeColor="text1"/>
          <w:sz w:val="22"/>
          <w:szCs w:val="22"/>
          <w:lang w:eastAsia="es-ES"/>
        </w:rPr>
        <w:t>Que</w:t>
      </w:r>
      <w:proofErr w:type="gramEnd"/>
      <w:r w:rsidRPr="00463CB2">
        <w:rPr>
          <w:rFonts w:ascii="Arial" w:hAnsi="Arial" w:cs="Arial"/>
          <w:color w:val="000000" w:themeColor="text1"/>
          <w:sz w:val="22"/>
          <w:szCs w:val="22"/>
          <w:lang w:eastAsia="es-ES"/>
        </w:rPr>
        <w:t xml:space="preserve"> ante la declaratoria de Emergencia Económica, Social y Ecológica, se hace necesario tomar medidas para mitigar las necesidades y efectos adversos gene</w:t>
      </w:r>
      <w:r w:rsidR="008F65EC">
        <w:rPr>
          <w:rFonts w:ascii="Arial" w:hAnsi="Arial" w:cs="Arial"/>
          <w:color w:val="000000" w:themeColor="text1"/>
          <w:sz w:val="22"/>
          <w:szCs w:val="22"/>
          <w:lang w:eastAsia="es-ES"/>
        </w:rPr>
        <w:t>rados a la actividad productiva agropecuaria y para promover el abastecimiento alimentario</w:t>
      </w:r>
      <w:r w:rsidR="0064188C" w:rsidRPr="00463CB2">
        <w:rPr>
          <w:rFonts w:ascii="Arial" w:hAnsi="Arial" w:cs="Arial"/>
          <w:color w:val="000000" w:themeColor="text1"/>
          <w:sz w:val="22"/>
          <w:szCs w:val="22"/>
          <w:lang w:eastAsia="es-ES"/>
        </w:rPr>
        <w:t xml:space="preserve">. Teniendo en cuenta lo anterior, el Ministerio de Agricultura y Desarrollo Rural propone el establecimiento de </w:t>
      </w:r>
      <w:r w:rsidRPr="00463CB2">
        <w:rPr>
          <w:rFonts w:ascii="Arial" w:hAnsi="Arial" w:cs="Arial"/>
          <w:color w:val="000000" w:themeColor="text1"/>
          <w:sz w:val="22"/>
          <w:szCs w:val="22"/>
          <w:lang w:eastAsia="es-ES"/>
        </w:rPr>
        <w:t>una</w:t>
      </w:r>
      <w:r w:rsidR="0064188C" w:rsidRPr="00463CB2">
        <w:rPr>
          <w:rFonts w:ascii="Arial" w:hAnsi="Arial" w:cs="Arial"/>
          <w:color w:val="000000" w:themeColor="text1"/>
          <w:sz w:val="22"/>
          <w:szCs w:val="22"/>
          <w:lang w:eastAsia="es-ES"/>
        </w:rPr>
        <w:t xml:space="preserve"> Línea Especial de Crédito que, en el marco de la emergencia mencionada, permita a los productores atender sus necesidades de financiamiento y promueva el desarrollo agropecuario</w:t>
      </w:r>
      <w:r w:rsidR="006844AE">
        <w:rPr>
          <w:rFonts w:ascii="Arial" w:hAnsi="Arial" w:cs="Arial"/>
          <w:color w:val="000000" w:themeColor="text1"/>
          <w:sz w:val="22"/>
          <w:szCs w:val="22"/>
          <w:lang w:eastAsia="es-ES"/>
        </w:rPr>
        <w:t xml:space="preserve"> y rural</w:t>
      </w:r>
      <w:r w:rsidRPr="00463CB2">
        <w:rPr>
          <w:rFonts w:ascii="Arial" w:hAnsi="Arial" w:cs="Arial"/>
          <w:color w:val="000000" w:themeColor="text1"/>
          <w:sz w:val="22"/>
          <w:szCs w:val="22"/>
          <w:lang w:eastAsia="es-ES"/>
        </w:rPr>
        <w:t xml:space="preserve">.  </w:t>
      </w:r>
    </w:p>
    <w:p w14:paraId="623F11B2" w14:textId="77777777" w:rsidR="00914A9A" w:rsidRPr="00463CB2" w:rsidRDefault="00914A9A" w:rsidP="00914A9A">
      <w:pPr>
        <w:jc w:val="both"/>
        <w:rPr>
          <w:rFonts w:ascii="Arial" w:hAnsi="Arial" w:cs="Arial"/>
          <w:color w:val="000000" w:themeColor="text1"/>
          <w:sz w:val="22"/>
          <w:szCs w:val="22"/>
          <w:lang w:eastAsia="es-ES"/>
        </w:rPr>
      </w:pPr>
    </w:p>
    <w:p w14:paraId="2896D4A0" w14:textId="332B747E" w:rsidR="00914A9A" w:rsidRPr="008F65EC" w:rsidRDefault="00914A9A" w:rsidP="00914A9A">
      <w:pPr>
        <w:jc w:val="both"/>
        <w:rPr>
          <w:rFonts w:ascii="Arial" w:hAnsi="Arial" w:cs="Arial"/>
          <w:color w:val="000000"/>
          <w:sz w:val="22"/>
          <w:szCs w:val="22"/>
          <w:lang w:eastAsia="es-ES"/>
        </w:rPr>
      </w:pPr>
      <w:r w:rsidRPr="00463CB2">
        <w:rPr>
          <w:rFonts w:ascii="Arial" w:hAnsi="Arial" w:cs="Arial"/>
          <w:b/>
          <w:color w:val="000000" w:themeColor="text1"/>
          <w:sz w:val="22"/>
          <w:szCs w:val="22"/>
          <w:lang w:eastAsia="es-ES"/>
        </w:rPr>
        <w:t>Sexto</w:t>
      </w:r>
      <w:r w:rsidRPr="00463CB2">
        <w:rPr>
          <w:rFonts w:ascii="Arial" w:hAnsi="Arial" w:cs="Arial"/>
          <w:b/>
          <w:bCs/>
          <w:color w:val="000000" w:themeColor="text1"/>
          <w:sz w:val="22"/>
          <w:szCs w:val="22"/>
          <w:lang w:eastAsia="es-ES"/>
        </w:rPr>
        <w:t xml:space="preserve">. </w:t>
      </w:r>
      <w:r w:rsidRPr="00463CB2">
        <w:rPr>
          <w:rFonts w:ascii="Arial" w:hAnsi="Arial" w:cs="Arial"/>
          <w:color w:val="000000" w:themeColor="text1"/>
          <w:sz w:val="22"/>
          <w:szCs w:val="22"/>
          <w:lang w:eastAsia="es-ES"/>
        </w:rPr>
        <w:t xml:space="preserve">Que el proyecto de resolución “Por la cual se modifica la Resolución No. 12 de 2018 “Por la cual se establece el Plan Anual de ICR y LEC para el año 2019 y otras disposiciones” y se define una LEC </w:t>
      </w:r>
      <w:r w:rsidRPr="00463CB2">
        <w:rPr>
          <w:rFonts w:ascii="Arial" w:eastAsia="Arial" w:hAnsi="Arial" w:cs="Arial"/>
          <w:sz w:val="22"/>
          <w:szCs w:val="22"/>
          <w:lang w:eastAsia="es-CO" w:bidi="es-CO"/>
        </w:rPr>
        <w:t>en</w:t>
      </w:r>
      <w:r w:rsidR="008B16E1">
        <w:rPr>
          <w:rFonts w:ascii="Arial" w:eastAsia="Arial" w:hAnsi="Arial" w:cs="Arial"/>
          <w:sz w:val="22"/>
          <w:szCs w:val="22"/>
          <w:lang w:eastAsia="es-CO" w:bidi="es-CO"/>
        </w:rPr>
        <w:t xml:space="preserve"> el marco del</w:t>
      </w:r>
      <w:r w:rsidRPr="00463CB2">
        <w:rPr>
          <w:rFonts w:ascii="Arial" w:eastAsia="Arial" w:hAnsi="Arial" w:cs="Arial"/>
          <w:sz w:val="22"/>
          <w:szCs w:val="22"/>
          <w:lang w:eastAsia="es-CO" w:bidi="es-CO"/>
        </w:rPr>
        <w:t xml:space="preserve"> </w:t>
      </w:r>
      <w:r w:rsidRPr="00463CB2">
        <w:rPr>
          <w:rFonts w:ascii="Arial" w:hAnsi="Arial" w:cs="Arial"/>
          <w:color w:val="000000" w:themeColor="text1"/>
          <w:sz w:val="22"/>
          <w:szCs w:val="22"/>
        </w:rPr>
        <w:t xml:space="preserve">Estado de Emergencia Económica, </w:t>
      </w:r>
      <w:r w:rsidRPr="008F65EC">
        <w:rPr>
          <w:rFonts w:ascii="Arial" w:hAnsi="Arial" w:cs="Arial"/>
          <w:color w:val="000000" w:themeColor="text1"/>
          <w:sz w:val="22"/>
          <w:szCs w:val="22"/>
        </w:rPr>
        <w:t>Social y Ecológica</w:t>
      </w:r>
      <w:r w:rsidRPr="008F65EC">
        <w:rPr>
          <w:rFonts w:ascii="Arial" w:hAnsi="Arial" w:cs="Arial"/>
          <w:color w:val="000000" w:themeColor="text1"/>
          <w:sz w:val="22"/>
          <w:szCs w:val="22"/>
          <w:lang w:eastAsia="es-ES"/>
        </w:rPr>
        <w:t>”, estuvo publicado en la página web de FINAGRO para comentarios.</w:t>
      </w:r>
    </w:p>
    <w:p w14:paraId="3D67B460" w14:textId="77777777" w:rsidR="00914A9A" w:rsidRPr="008F65EC" w:rsidRDefault="00914A9A" w:rsidP="00914A9A">
      <w:pPr>
        <w:jc w:val="both"/>
        <w:rPr>
          <w:rFonts w:ascii="Arial" w:hAnsi="Arial" w:cs="Arial"/>
          <w:color w:val="000000"/>
          <w:sz w:val="22"/>
          <w:szCs w:val="22"/>
          <w:lang w:eastAsia="es-ES"/>
        </w:rPr>
      </w:pPr>
    </w:p>
    <w:p w14:paraId="4E7F8DD5" w14:textId="27F987A1" w:rsidR="00914A9A" w:rsidRPr="00463CB2" w:rsidRDefault="00914A9A" w:rsidP="00914A9A">
      <w:pPr>
        <w:jc w:val="both"/>
        <w:rPr>
          <w:rFonts w:ascii="Arial" w:hAnsi="Arial" w:cs="Arial"/>
          <w:color w:val="212121"/>
          <w:sz w:val="22"/>
          <w:szCs w:val="22"/>
        </w:rPr>
      </w:pPr>
      <w:r w:rsidRPr="008F65EC">
        <w:rPr>
          <w:rFonts w:ascii="Arial" w:hAnsi="Arial" w:cs="Arial"/>
          <w:b/>
          <w:bCs/>
          <w:color w:val="000000" w:themeColor="text1"/>
          <w:sz w:val="22"/>
          <w:szCs w:val="22"/>
          <w:lang w:eastAsia="es-ES"/>
        </w:rPr>
        <w:t>Séptimo.</w:t>
      </w:r>
      <w:r w:rsidRPr="008F65EC">
        <w:rPr>
          <w:rFonts w:ascii="Arial" w:hAnsi="Arial" w:cs="Arial"/>
          <w:color w:val="000000" w:themeColor="text1"/>
          <w:sz w:val="22"/>
          <w:szCs w:val="22"/>
          <w:lang w:eastAsia="es-ES"/>
        </w:rPr>
        <w:t xml:space="preserve"> </w:t>
      </w:r>
      <w:r w:rsidRPr="008F65EC">
        <w:rPr>
          <w:rFonts w:ascii="Arial" w:hAnsi="Arial" w:cs="Arial"/>
          <w:color w:val="000000" w:themeColor="text1"/>
          <w:sz w:val="22"/>
          <w:szCs w:val="22"/>
          <w:lang w:bidi="es-CO"/>
        </w:rPr>
        <w:t xml:space="preserve">Que el documento con la justificación jurídica y técnica de la presente resolución fue presentado para consideración de la CNCA </w:t>
      </w:r>
      <w:r w:rsidR="008F65EC" w:rsidRPr="008F65EC">
        <w:rPr>
          <w:rFonts w:ascii="Arial" w:hAnsi="Arial" w:cs="Arial"/>
          <w:color w:val="000000" w:themeColor="text1"/>
          <w:sz w:val="22"/>
          <w:szCs w:val="22"/>
          <w:lang w:bidi="es-CO"/>
        </w:rPr>
        <w:t xml:space="preserve">y discutido </w:t>
      </w:r>
      <w:r w:rsidRPr="008F65EC">
        <w:rPr>
          <w:rFonts w:ascii="Arial" w:hAnsi="Arial" w:cs="Arial"/>
          <w:color w:val="212121"/>
          <w:sz w:val="22"/>
          <w:szCs w:val="22"/>
        </w:rPr>
        <w:t>bajo el mecanismo de reunión no presencial</w:t>
      </w:r>
      <w:r w:rsidR="008F65EC" w:rsidRPr="008F65EC">
        <w:rPr>
          <w:rFonts w:ascii="Arial" w:hAnsi="Arial" w:cs="Arial"/>
          <w:color w:val="212121"/>
          <w:sz w:val="22"/>
          <w:szCs w:val="22"/>
        </w:rPr>
        <w:t xml:space="preserve"> </w:t>
      </w:r>
      <w:r w:rsidR="008F65EC" w:rsidRPr="008F65EC">
        <w:rPr>
          <w:rFonts w:ascii="Arial" w:hAnsi="Arial" w:cs="Arial"/>
          <w:color w:val="000000"/>
          <w:sz w:val="21"/>
          <w:szCs w:val="21"/>
          <w:lang w:eastAsia="es-ES"/>
        </w:rPr>
        <w:t xml:space="preserve">llevada a cabo el </w:t>
      </w:r>
      <w:r w:rsidR="008F65EC" w:rsidRPr="008F65EC">
        <w:rPr>
          <w:rFonts w:ascii="Arial" w:hAnsi="Arial" w:cs="Arial"/>
          <w:color w:val="000000" w:themeColor="text1"/>
          <w:sz w:val="21"/>
          <w:szCs w:val="21"/>
          <w:lang w:eastAsia="es-ES"/>
        </w:rPr>
        <w:t xml:space="preserve">día </w:t>
      </w:r>
      <w:r w:rsidR="008F65EC" w:rsidRPr="008F65EC">
        <w:rPr>
          <w:rFonts w:ascii="Arial" w:hAnsi="Arial" w:cs="Arial"/>
          <w:color w:val="000000" w:themeColor="text1"/>
          <w:sz w:val="21"/>
          <w:szCs w:val="21"/>
          <w:lang w:eastAsia="es-ES"/>
        </w:rPr>
        <w:t>veintisiete</w:t>
      </w:r>
      <w:r w:rsidR="008F65EC" w:rsidRPr="008F65EC">
        <w:rPr>
          <w:rFonts w:ascii="Arial" w:hAnsi="Arial" w:cs="Arial"/>
          <w:color w:val="000000" w:themeColor="text1"/>
          <w:sz w:val="21"/>
          <w:szCs w:val="21"/>
          <w:lang w:eastAsia="es-ES"/>
        </w:rPr>
        <w:t xml:space="preserve"> (</w:t>
      </w:r>
      <w:r w:rsidR="008F65EC" w:rsidRPr="008F65EC">
        <w:rPr>
          <w:rFonts w:ascii="Arial" w:hAnsi="Arial" w:cs="Arial"/>
          <w:color w:val="000000" w:themeColor="text1"/>
          <w:sz w:val="21"/>
          <w:szCs w:val="21"/>
          <w:lang w:eastAsia="es-ES"/>
        </w:rPr>
        <w:t>27</w:t>
      </w:r>
      <w:r w:rsidR="008F65EC" w:rsidRPr="008F65EC">
        <w:rPr>
          <w:rFonts w:ascii="Arial" w:hAnsi="Arial" w:cs="Arial"/>
          <w:color w:val="000000" w:themeColor="text1"/>
          <w:sz w:val="21"/>
          <w:szCs w:val="21"/>
          <w:lang w:eastAsia="es-ES"/>
        </w:rPr>
        <w:t xml:space="preserve">) de </w:t>
      </w:r>
      <w:r w:rsidR="008F65EC" w:rsidRPr="008F65EC">
        <w:rPr>
          <w:rFonts w:ascii="Arial" w:hAnsi="Arial" w:cs="Arial"/>
          <w:color w:val="000000" w:themeColor="text1"/>
          <w:sz w:val="21"/>
          <w:szCs w:val="21"/>
          <w:lang w:eastAsia="es-ES"/>
        </w:rPr>
        <w:t>marzo</w:t>
      </w:r>
      <w:r w:rsidR="008F65EC" w:rsidRPr="008F65EC">
        <w:rPr>
          <w:rFonts w:ascii="Arial" w:hAnsi="Arial" w:cs="Arial"/>
          <w:color w:val="000000" w:themeColor="text1"/>
          <w:sz w:val="21"/>
          <w:szCs w:val="21"/>
          <w:lang w:eastAsia="es-ES"/>
        </w:rPr>
        <w:t xml:space="preserve"> de </w:t>
      </w:r>
      <w:r w:rsidR="008F65EC" w:rsidRPr="008F65EC">
        <w:rPr>
          <w:rFonts w:ascii="Arial" w:hAnsi="Arial" w:cs="Arial"/>
          <w:color w:val="000000"/>
          <w:sz w:val="21"/>
          <w:szCs w:val="21"/>
          <w:lang w:eastAsia="es-ES"/>
        </w:rPr>
        <w:t>2020</w:t>
      </w:r>
      <w:r w:rsidRPr="008F65EC">
        <w:rPr>
          <w:rFonts w:ascii="Arial" w:hAnsi="Arial" w:cs="Arial"/>
          <w:color w:val="212121"/>
          <w:sz w:val="22"/>
          <w:szCs w:val="22"/>
        </w:rPr>
        <w:t>.</w:t>
      </w:r>
    </w:p>
    <w:p w14:paraId="0E70FEBF" w14:textId="52693EBF" w:rsidR="00914A9A" w:rsidRDefault="00914A9A" w:rsidP="00914A9A">
      <w:pPr>
        <w:jc w:val="both"/>
        <w:rPr>
          <w:rFonts w:ascii="Arial" w:hAnsi="Arial" w:cs="Arial"/>
          <w:color w:val="000000"/>
          <w:sz w:val="22"/>
          <w:szCs w:val="22"/>
          <w:lang w:eastAsia="es-ES"/>
        </w:rPr>
      </w:pPr>
    </w:p>
    <w:p w14:paraId="14FF8CA9" w14:textId="77777777" w:rsidR="008F65EC" w:rsidRPr="00463CB2" w:rsidRDefault="008F65EC" w:rsidP="00914A9A">
      <w:pPr>
        <w:jc w:val="both"/>
        <w:rPr>
          <w:rFonts w:ascii="Arial" w:hAnsi="Arial" w:cs="Arial"/>
          <w:color w:val="000000"/>
          <w:sz w:val="22"/>
          <w:szCs w:val="22"/>
          <w:lang w:eastAsia="es-ES"/>
        </w:rPr>
      </w:pPr>
    </w:p>
    <w:p w14:paraId="1FE99B1D" w14:textId="77777777" w:rsidR="00914A9A" w:rsidRPr="00463CB2" w:rsidRDefault="00914A9A" w:rsidP="00914A9A">
      <w:pPr>
        <w:jc w:val="both"/>
        <w:rPr>
          <w:rFonts w:ascii="Arial" w:hAnsi="Arial" w:cs="Arial"/>
          <w:color w:val="000000"/>
          <w:sz w:val="22"/>
          <w:szCs w:val="22"/>
          <w:lang w:eastAsia="es-ES"/>
        </w:rPr>
      </w:pPr>
      <w:r w:rsidRPr="00463CB2">
        <w:rPr>
          <w:rFonts w:ascii="Arial" w:hAnsi="Arial" w:cs="Arial"/>
          <w:color w:val="000000"/>
          <w:sz w:val="22"/>
          <w:szCs w:val="22"/>
          <w:lang w:eastAsia="es-ES"/>
        </w:rPr>
        <w:t>En mérito de lo anterior,</w:t>
      </w:r>
    </w:p>
    <w:p w14:paraId="5FF06413" w14:textId="77777777" w:rsidR="00914A9A" w:rsidRPr="00463CB2" w:rsidRDefault="00914A9A" w:rsidP="00914A9A">
      <w:pPr>
        <w:jc w:val="both"/>
        <w:rPr>
          <w:rFonts w:ascii="Arial" w:hAnsi="Arial" w:cs="Arial"/>
          <w:color w:val="000000"/>
          <w:sz w:val="22"/>
          <w:szCs w:val="22"/>
          <w:lang w:eastAsia="es-ES"/>
        </w:rPr>
      </w:pPr>
    </w:p>
    <w:p w14:paraId="243C241E" w14:textId="77777777" w:rsidR="00914A9A" w:rsidRPr="00463CB2" w:rsidRDefault="00914A9A" w:rsidP="00914A9A">
      <w:pPr>
        <w:jc w:val="center"/>
        <w:rPr>
          <w:rFonts w:ascii="Arial" w:hAnsi="Arial" w:cs="Arial"/>
          <w:b/>
          <w:color w:val="000000"/>
          <w:sz w:val="22"/>
          <w:szCs w:val="22"/>
          <w:lang w:eastAsia="es-ES"/>
        </w:rPr>
      </w:pPr>
      <w:r w:rsidRPr="00463CB2">
        <w:rPr>
          <w:rFonts w:ascii="Arial" w:hAnsi="Arial" w:cs="Arial"/>
          <w:b/>
          <w:color w:val="000000"/>
          <w:sz w:val="22"/>
          <w:szCs w:val="22"/>
          <w:lang w:eastAsia="es-ES"/>
        </w:rPr>
        <w:t>RESUELVE:</w:t>
      </w:r>
    </w:p>
    <w:p w14:paraId="32424600" w14:textId="77777777" w:rsidR="00914A9A" w:rsidRPr="00C839CC" w:rsidRDefault="00914A9A" w:rsidP="00914A9A">
      <w:pPr>
        <w:jc w:val="center"/>
        <w:rPr>
          <w:rFonts w:ascii="Arial" w:hAnsi="Arial" w:cs="Arial"/>
          <w:b/>
          <w:color w:val="000000"/>
          <w:sz w:val="21"/>
          <w:szCs w:val="21"/>
          <w:lang w:eastAsia="es-ES"/>
        </w:rPr>
      </w:pPr>
    </w:p>
    <w:p w14:paraId="33844332" w14:textId="77777777" w:rsidR="00914A9A" w:rsidRPr="00463CB2" w:rsidRDefault="00914A9A" w:rsidP="00914A9A">
      <w:pPr>
        <w:pStyle w:val="c5"/>
        <w:tabs>
          <w:tab w:val="left" w:pos="1479"/>
        </w:tabs>
        <w:spacing w:line="240" w:lineRule="auto"/>
        <w:jc w:val="both"/>
        <w:rPr>
          <w:rFonts w:ascii="Arial" w:eastAsia="Arial" w:hAnsi="Arial" w:cs="Arial"/>
          <w:sz w:val="22"/>
          <w:szCs w:val="22"/>
          <w:lang w:eastAsia="es-CO" w:bidi="es-CO"/>
        </w:rPr>
      </w:pPr>
      <w:r w:rsidRPr="00463CB2">
        <w:rPr>
          <w:rFonts w:ascii="Arial" w:eastAsia="Arial" w:hAnsi="Arial" w:cs="Arial"/>
          <w:b/>
          <w:sz w:val="22"/>
          <w:szCs w:val="22"/>
          <w:lang w:eastAsia="es-CO" w:bidi="es-CO"/>
        </w:rPr>
        <w:t xml:space="preserve">Artículo 1o. </w:t>
      </w:r>
      <w:r w:rsidRPr="00463CB2">
        <w:rPr>
          <w:rFonts w:ascii="Arial" w:eastAsia="Arial" w:hAnsi="Arial" w:cs="Arial"/>
          <w:sz w:val="22"/>
          <w:szCs w:val="22"/>
          <w:lang w:eastAsia="es-CO" w:bidi="es-CO"/>
        </w:rPr>
        <w:t>Adicionar el siguiente numeral al artículo 11 de la Resolución No. 18 de 2019 de la Comisión Nacional de Crédito Agropecuario:</w:t>
      </w:r>
    </w:p>
    <w:p w14:paraId="74129CCB" w14:textId="77777777" w:rsidR="00914A9A" w:rsidRPr="00463CB2" w:rsidRDefault="00914A9A" w:rsidP="00914A9A">
      <w:pPr>
        <w:pStyle w:val="c5"/>
        <w:tabs>
          <w:tab w:val="left" w:pos="1479"/>
        </w:tabs>
        <w:spacing w:line="240" w:lineRule="auto"/>
        <w:jc w:val="both"/>
        <w:rPr>
          <w:rFonts w:ascii="Arial" w:eastAsia="Arial" w:hAnsi="Arial" w:cs="Arial"/>
          <w:sz w:val="22"/>
          <w:szCs w:val="22"/>
          <w:lang w:eastAsia="es-CO" w:bidi="es-CO"/>
        </w:rPr>
      </w:pPr>
    </w:p>
    <w:p w14:paraId="09160A77" w14:textId="7006D498" w:rsidR="00914A9A" w:rsidRDefault="00914A9A" w:rsidP="00914A9A">
      <w:pPr>
        <w:pStyle w:val="c5"/>
        <w:tabs>
          <w:tab w:val="left" w:pos="1479"/>
        </w:tabs>
        <w:spacing w:line="240" w:lineRule="auto"/>
        <w:jc w:val="both"/>
        <w:rPr>
          <w:rFonts w:ascii="Arial" w:hAnsi="Arial" w:cs="Arial"/>
          <w:color w:val="000000" w:themeColor="text1"/>
          <w:sz w:val="22"/>
          <w:szCs w:val="22"/>
        </w:rPr>
      </w:pPr>
      <w:r w:rsidRPr="00463CB2">
        <w:rPr>
          <w:rFonts w:ascii="Arial" w:eastAsia="Arial" w:hAnsi="Arial" w:cs="Arial"/>
          <w:sz w:val="22"/>
          <w:szCs w:val="22"/>
          <w:lang w:eastAsia="es-CO" w:bidi="es-CO"/>
        </w:rPr>
        <w:t xml:space="preserve">“10. LEC </w:t>
      </w:r>
      <w:r w:rsidR="008B16E1">
        <w:rPr>
          <w:rFonts w:ascii="Arial" w:eastAsia="Arial" w:hAnsi="Arial" w:cs="Arial"/>
          <w:sz w:val="22"/>
          <w:szCs w:val="22"/>
          <w:lang w:eastAsia="es-CO" w:bidi="es-CO"/>
        </w:rPr>
        <w:t>en el marco del</w:t>
      </w:r>
      <w:r w:rsidRPr="00463CB2">
        <w:rPr>
          <w:rFonts w:ascii="Arial" w:eastAsia="Arial" w:hAnsi="Arial" w:cs="Arial"/>
          <w:sz w:val="22"/>
          <w:szCs w:val="22"/>
          <w:lang w:eastAsia="es-CO" w:bidi="es-CO"/>
        </w:rPr>
        <w:t xml:space="preserve"> </w:t>
      </w:r>
      <w:r w:rsidRPr="00463CB2">
        <w:rPr>
          <w:rFonts w:ascii="Arial" w:hAnsi="Arial" w:cs="Arial"/>
          <w:color w:val="000000" w:themeColor="text1"/>
          <w:sz w:val="22"/>
          <w:szCs w:val="22"/>
        </w:rPr>
        <w:t>Estado de Emergencia Económica, Social y Ecológica”</w:t>
      </w:r>
    </w:p>
    <w:p w14:paraId="3F0954A1" w14:textId="640082BF" w:rsidR="002B0407" w:rsidRDefault="002B0407" w:rsidP="00914A9A">
      <w:pPr>
        <w:pStyle w:val="c5"/>
        <w:tabs>
          <w:tab w:val="left" w:pos="1479"/>
        </w:tabs>
        <w:spacing w:line="240" w:lineRule="auto"/>
        <w:jc w:val="both"/>
        <w:rPr>
          <w:rFonts w:ascii="Arial" w:hAnsi="Arial" w:cs="Arial"/>
          <w:color w:val="000000" w:themeColor="text1"/>
          <w:sz w:val="22"/>
          <w:szCs w:val="22"/>
        </w:rPr>
      </w:pPr>
    </w:p>
    <w:p w14:paraId="5BA92D37" w14:textId="366F1DED" w:rsidR="00914A9A" w:rsidRPr="00463CB2" w:rsidRDefault="004636E5" w:rsidP="00914A9A">
      <w:pPr>
        <w:pStyle w:val="c5"/>
        <w:tabs>
          <w:tab w:val="left" w:pos="1479"/>
        </w:tabs>
        <w:spacing w:line="240" w:lineRule="auto"/>
        <w:jc w:val="both"/>
        <w:rPr>
          <w:rFonts w:ascii="Arial" w:eastAsia="Arial" w:hAnsi="Arial" w:cs="Arial"/>
          <w:sz w:val="22"/>
          <w:szCs w:val="22"/>
          <w:lang w:eastAsia="es-CO" w:bidi="es-CO"/>
        </w:rPr>
      </w:pPr>
      <w:r>
        <w:rPr>
          <w:rFonts w:ascii="Arial" w:eastAsia="Arial" w:hAnsi="Arial" w:cs="Arial"/>
          <w:b/>
          <w:sz w:val="22"/>
          <w:szCs w:val="22"/>
          <w:lang w:eastAsia="es-CO" w:bidi="es-CO"/>
        </w:rPr>
        <w:t>Artículo 2</w:t>
      </w:r>
      <w:r w:rsidR="00914A9A" w:rsidRPr="00463CB2">
        <w:rPr>
          <w:rFonts w:ascii="Arial" w:eastAsia="Arial" w:hAnsi="Arial" w:cs="Arial"/>
          <w:b/>
          <w:sz w:val="22"/>
          <w:szCs w:val="22"/>
          <w:lang w:eastAsia="es-CO" w:bidi="es-CO"/>
        </w:rPr>
        <w:t>o.</w:t>
      </w:r>
      <w:r w:rsidR="00914A9A" w:rsidRPr="00463CB2">
        <w:rPr>
          <w:rFonts w:ascii="Arial" w:eastAsia="Arial" w:hAnsi="Arial" w:cs="Arial"/>
          <w:sz w:val="22"/>
          <w:szCs w:val="22"/>
          <w:lang w:eastAsia="es-CO" w:bidi="es-CO"/>
        </w:rPr>
        <w:t xml:space="preserve"> </w:t>
      </w:r>
      <w:r w:rsidR="00914A9A" w:rsidRPr="00463CB2">
        <w:rPr>
          <w:rFonts w:ascii="Arial" w:eastAsia="Arial" w:hAnsi="Arial" w:cs="Arial"/>
          <w:b/>
          <w:sz w:val="22"/>
          <w:szCs w:val="22"/>
          <w:lang w:eastAsia="es-CO" w:bidi="es-CO"/>
        </w:rPr>
        <w:t xml:space="preserve">LEC </w:t>
      </w:r>
      <w:r w:rsidR="008B16E1">
        <w:rPr>
          <w:rFonts w:ascii="Arial" w:eastAsia="Arial" w:hAnsi="Arial" w:cs="Arial"/>
          <w:b/>
          <w:sz w:val="22"/>
          <w:szCs w:val="22"/>
          <w:lang w:eastAsia="es-CO" w:bidi="es-CO"/>
        </w:rPr>
        <w:t>en el marco del</w:t>
      </w:r>
      <w:r w:rsidR="00914A9A" w:rsidRPr="00463CB2">
        <w:rPr>
          <w:rFonts w:ascii="Arial" w:eastAsia="Arial" w:hAnsi="Arial" w:cs="Arial"/>
          <w:b/>
          <w:sz w:val="22"/>
          <w:szCs w:val="22"/>
          <w:lang w:eastAsia="es-CO" w:bidi="es-CO"/>
        </w:rPr>
        <w:t xml:space="preserve"> </w:t>
      </w:r>
      <w:r w:rsidR="00914A9A" w:rsidRPr="00463CB2">
        <w:rPr>
          <w:rFonts w:ascii="Arial" w:hAnsi="Arial" w:cs="Arial"/>
          <w:b/>
          <w:color w:val="000000" w:themeColor="text1"/>
          <w:sz w:val="22"/>
          <w:szCs w:val="22"/>
        </w:rPr>
        <w:t>Estado de Emergencia Económica, Social y Ecológica</w:t>
      </w:r>
      <w:r w:rsidR="00914A9A" w:rsidRPr="00463CB2">
        <w:rPr>
          <w:rFonts w:ascii="Arial" w:hAnsi="Arial" w:cs="Arial"/>
          <w:color w:val="000000" w:themeColor="text1"/>
          <w:sz w:val="22"/>
          <w:szCs w:val="22"/>
        </w:rPr>
        <w:t>. La “</w:t>
      </w:r>
      <w:r w:rsidR="00914A9A" w:rsidRPr="00463CB2">
        <w:rPr>
          <w:rFonts w:ascii="Arial" w:eastAsia="Arial" w:hAnsi="Arial" w:cs="Arial"/>
          <w:sz w:val="22"/>
          <w:szCs w:val="22"/>
          <w:lang w:eastAsia="es-CO" w:bidi="es-CO"/>
        </w:rPr>
        <w:t xml:space="preserve">LEC </w:t>
      </w:r>
      <w:r w:rsidR="008B16E1">
        <w:rPr>
          <w:rFonts w:ascii="Arial" w:eastAsia="Arial" w:hAnsi="Arial" w:cs="Arial"/>
          <w:sz w:val="22"/>
          <w:szCs w:val="22"/>
          <w:lang w:eastAsia="es-CO" w:bidi="es-CO"/>
        </w:rPr>
        <w:t>en el marco del</w:t>
      </w:r>
      <w:bookmarkStart w:id="0" w:name="_GoBack"/>
      <w:bookmarkEnd w:id="0"/>
      <w:r w:rsidR="00914A9A" w:rsidRPr="00463CB2">
        <w:rPr>
          <w:rFonts w:ascii="Arial" w:eastAsia="Arial" w:hAnsi="Arial" w:cs="Arial"/>
          <w:sz w:val="22"/>
          <w:szCs w:val="22"/>
          <w:lang w:eastAsia="es-CO" w:bidi="es-CO"/>
        </w:rPr>
        <w:t xml:space="preserve"> </w:t>
      </w:r>
      <w:r w:rsidR="00914A9A" w:rsidRPr="00463CB2">
        <w:rPr>
          <w:rFonts w:ascii="Arial" w:hAnsi="Arial" w:cs="Arial"/>
          <w:color w:val="000000" w:themeColor="text1"/>
          <w:sz w:val="22"/>
          <w:szCs w:val="22"/>
        </w:rPr>
        <w:t>Estado de Emergencia Económica, Social y Ecológica” tendrá las siguientes condiciones</w:t>
      </w:r>
      <w:r w:rsidR="00914A9A" w:rsidRPr="00463CB2">
        <w:rPr>
          <w:rFonts w:ascii="Arial" w:eastAsia="Arial" w:hAnsi="Arial" w:cs="Arial"/>
          <w:sz w:val="22"/>
          <w:szCs w:val="22"/>
          <w:lang w:eastAsia="es-CO" w:bidi="es-CO"/>
        </w:rPr>
        <w:t>:</w:t>
      </w:r>
      <w:r w:rsidR="00914A9A" w:rsidRPr="00463CB2">
        <w:rPr>
          <w:rFonts w:ascii="Arial" w:eastAsia="Arial" w:hAnsi="Arial" w:cs="Arial"/>
          <w:vanish/>
          <w:sz w:val="22"/>
          <w:szCs w:val="22"/>
          <w:lang w:eastAsia="es-CO" w:bidi="es-CO"/>
        </w:rPr>
        <w:cr/>
        <w:t>y dolaresto incluye volatilidad de los mercadosesidentedas las rar el escuento y subsidio otrogado.s productores.  de hacer m</w:t>
      </w:r>
      <w:r w:rsidR="00914A9A" w:rsidRPr="00463CB2">
        <w:rPr>
          <w:rFonts w:ascii="Arial" w:eastAsia="Arial" w:hAnsi="Arial" w:cs="Arial"/>
          <w:vanish/>
          <w:sz w:val="22"/>
          <w:szCs w:val="22"/>
          <w:lang w:eastAsia="es-CO" w:bidi="es-CO"/>
        </w:rPr>
        <w:pgNum/>
      </w:r>
      <w:r w:rsidR="00914A9A" w:rsidRPr="00463CB2">
        <w:rPr>
          <w:rFonts w:ascii="Arial" w:eastAsia="Arial" w:hAnsi="Arial" w:cs="Arial"/>
          <w:vanish/>
          <w:sz w:val="22"/>
          <w:szCs w:val="22"/>
          <w:lang w:eastAsia="es-CO" w:bidi="es-CO"/>
        </w:rPr>
        <w:pgNum/>
      </w:r>
    </w:p>
    <w:p w14:paraId="043890BE" w14:textId="77777777" w:rsidR="00914A9A" w:rsidRPr="00463CB2" w:rsidRDefault="00914A9A" w:rsidP="00914A9A">
      <w:pPr>
        <w:pStyle w:val="c5"/>
        <w:tabs>
          <w:tab w:val="left" w:pos="1479"/>
        </w:tabs>
        <w:spacing w:line="240" w:lineRule="auto"/>
        <w:jc w:val="both"/>
        <w:rPr>
          <w:sz w:val="22"/>
          <w:szCs w:val="22"/>
        </w:rPr>
      </w:pPr>
    </w:p>
    <w:p w14:paraId="091582DF" w14:textId="77777777" w:rsidR="00914A9A" w:rsidRPr="00463CB2" w:rsidRDefault="00914A9A" w:rsidP="00914A9A">
      <w:pPr>
        <w:pStyle w:val="Prrafodelista"/>
        <w:numPr>
          <w:ilvl w:val="0"/>
          <w:numId w:val="1"/>
        </w:numPr>
        <w:jc w:val="both"/>
        <w:rPr>
          <w:rFonts w:ascii="Arial" w:hAnsi="Arial" w:cs="Arial"/>
          <w:color w:val="000000"/>
          <w:sz w:val="22"/>
          <w:szCs w:val="22"/>
          <w:lang w:eastAsia="es-ES"/>
        </w:rPr>
      </w:pPr>
      <w:r w:rsidRPr="00463CB2">
        <w:rPr>
          <w:rFonts w:ascii="Arial" w:hAnsi="Arial" w:cs="Arial"/>
          <w:b/>
          <w:color w:val="000000"/>
          <w:sz w:val="22"/>
          <w:szCs w:val="22"/>
          <w:lang w:eastAsia="es-ES"/>
        </w:rPr>
        <w:t>Beneficiarios.</w:t>
      </w:r>
      <w:r w:rsidRPr="00463CB2">
        <w:rPr>
          <w:rFonts w:ascii="Arial" w:hAnsi="Arial" w:cs="Arial"/>
          <w:color w:val="000000"/>
          <w:sz w:val="22"/>
          <w:szCs w:val="22"/>
          <w:lang w:eastAsia="es-ES"/>
        </w:rPr>
        <w:t xml:space="preserve"> Podrán acceder a esta LEC los Pequeños, Medianos y Grandes Productores, persona natural o jurídica, según la clasificación vigente.</w:t>
      </w:r>
    </w:p>
    <w:p w14:paraId="194A612F" w14:textId="77777777" w:rsidR="00914A9A" w:rsidRPr="00463CB2" w:rsidRDefault="00914A9A" w:rsidP="00914A9A">
      <w:pPr>
        <w:pStyle w:val="Prrafodelista"/>
        <w:ind w:left="709"/>
        <w:jc w:val="both"/>
        <w:rPr>
          <w:rFonts w:ascii="Arial" w:hAnsi="Arial" w:cs="Arial"/>
          <w:color w:val="000000"/>
          <w:sz w:val="22"/>
          <w:szCs w:val="22"/>
          <w:lang w:eastAsia="es-ES"/>
        </w:rPr>
      </w:pPr>
      <w:r w:rsidRPr="00463CB2" w:rsidDel="00115095">
        <w:rPr>
          <w:rFonts w:ascii="Arial" w:hAnsi="Arial" w:cs="Arial"/>
          <w:color w:val="000000"/>
          <w:sz w:val="22"/>
          <w:szCs w:val="22"/>
          <w:lang w:eastAsia="es-ES"/>
        </w:rPr>
        <w:t xml:space="preserve"> </w:t>
      </w:r>
    </w:p>
    <w:p w14:paraId="335DF590" w14:textId="77777777" w:rsidR="00914A9A" w:rsidRPr="00463CB2" w:rsidRDefault="00914A9A" w:rsidP="00914A9A">
      <w:pPr>
        <w:pStyle w:val="Prrafodelista"/>
        <w:numPr>
          <w:ilvl w:val="0"/>
          <w:numId w:val="1"/>
        </w:numPr>
        <w:jc w:val="both"/>
        <w:rPr>
          <w:rFonts w:ascii="Arial" w:hAnsi="Arial" w:cs="Arial"/>
          <w:color w:val="000000"/>
          <w:sz w:val="22"/>
          <w:szCs w:val="22"/>
          <w:lang w:eastAsia="es-ES"/>
        </w:rPr>
      </w:pPr>
      <w:r w:rsidRPr="00463CB2">
        <w:rPr>
          <w:rFonts w:ascii="Arial" w:hAnsi="Arial" w:cs="Arial"/>
          <w:b/>
          <w:color w:val="000000"/>
          <w:sz w:val="22"/>
          <w:szCs w:val="22"/>
          <w:lang w:eastAsia="es-ES"/>
        </w:rPr>
        <w:t>Actividades Financiables</w:t>
      </w:r>
      <w:r w:rsidRPr="00463CB2">
        <w:rPr>
          <w:rFonts w:ascii="Arial" w:hAnsi="Arial" w:cs="Arial"/>
          <w:color w:val="000000"/>
          <w:sz w:val="22"/>
          <w:szCs w:val="22"/>
          <w:lang w:eastAsia="es-ES"/>
        </w:rPr>
        <w:t>.</w:t>
      </w:r>
    </w:p>
    <w:p w14:paraId="36A26E8E" w14:textId="52653D18" w:rsidR="00914A9A" w:rsidRPr="00463CB2" w:rsidRDefault="00914A9A" w:rsidP="00914A9A">
      <w:pPr>
        <w:pStyle w:val="Prrafodelista"/>
        <w:numPr>
          <w:ilvl w:val="1"/>
          <w:numId w:val="1"/>
        </w:numPr>
        <w:jc w:val="both"/>
        <w:rPr>
          <w:rFonts w:ascii="Arial" w:hAnsi="Arial" w:cs="Arial"/>
          <w:color w:val="000000"/>
          <w:sz w:val="22"/>
          <w:szCs w:val="22"/>
          <w:lang w:eastAsia="es-ES"/>
        </w:rPr>
      </w:pPr>
      <w:r w:rsidRPr="00463CB2">
        <w:rPr>
          <w:rFonts w:ascii="Arial" w:hAnsi="Arial" w:cs="Arial"/>
          <w:color w:val="000000"/>
          <w:sz w:val="22"/>
          <w:szCs w:val="22"/>
          <w:lang w:eastAsia="es-ES"/>
        </w:rPr>
        <w:t>Actividades rurales</w:t>
      </w:r>
    </w:p>
    <w:p w14:paraId="10E597E4" w14:textId="49598DFB" w:rsidR="00CC0B4C" w:rsidRPr="00463CB2" w:rsidRDefault="00CC0B4C" w:rsidP="00914A9A">
      <w:pPr>
        <w:pStyle w:val="Prrafodelista"/>
        <w:numPr>
          <w:ilvl w:val="1"/>
          <w:numId w:val="1"/>
        </w:numPr>
        <w:jc w:val="both"/>
        <w:rPr>
          <w:rFonts w:ascii="Arial" w:hAnsi="Arial" w:cs="Arial"/>
          <w:color w:val="000000"/>
          <w:sz w:val="22"/>
          <w:szCs w:val="22"/>
          <w:lang w:eastAsia="es-ES"/>
        </w:rPr>
      </w:pPr>
      <w:r w:rsidRPr="00463CB2">
        <w:rPr>
          <w:rFonts w:ascii="Arial" w:hAnsi="Arial" w:cs="Arial"/>
          <w:color w:val="000000"/>
          <w:sz w:val="22"/>
          <w:szCs w:val="22"/>
          <w:lang w:eastAsia="es-ES"/>
        </w:rPr>
        <w:t>Servicios de apoyo para la provisión de insumos agropecuarios</w:t>
      </w:r>
    </w:p>
    <w:p w14:paraId="107814E1" w14:textId="77777777" w:rsidR="00914A9A" w:rsidRPr="00463CB2" w:rsidRDefault="00914A9A" w:rsidP="00914A9A">
      <w:pPr>
        <w:pStyle w:val="Prrafodelista"/>
        <w:numPr>
          <w:ilvl w:val="1"/>
          <w:numId w:val="1"/>
        </w:numPr>
        <w:jc w:val="both"/>
        <w:rPr>
          <w:rFonts w:ascii="Arial" w:hAnsi="Arial" w:cs="Arial"/>
          <w:color w:val="000000"/>
          <w:sz w:val="22"/>
          <w:szCs w:val="22"/>
          <w:lang w:eastAsia="es-ES"/>
        </w:rPr>
      </w:pPr>
      <w:r w:rsidRPr="00463CB2">
        <w:rPr>
          <w:rFonts w:ascii="Arial" w:hAnsi="Arial" w:cs="Arial"/>
          <w:color w:val="000000"/>
          <w:sz w:val="22"/>
          <w:szCs w:val="22"/>
          <w:lang w:eastAsia="es-ES"/>
        </w:rPr>
        <w:t xml:space="preserve">La siembra de cultivos de ciclo corto. </w:t>
      </w:r>
    </w:p>
    <w:p w14:paraId="69C5C6AA" w14:textId="6BB201C7" w:rsidR="00914A9A" w:rsidRPr="00463CB2" w:rsidRDefault="00914A9A" w:rsidP="00914A9A">
      <w:pPr>
        <w:pStyle w:val="Prrafodelista"/>
        <w:numPr>
          <w:ilvl w:val="1"/>
          <w:numId w:val="1"/>
        </w:numPr>
        <w:jc w:val="both"/>
        <w:rPr>
          <w:rFonts w:ascii="Arial" w:hAnsi="Arial" w:cs="Arial"/>
          <w:color w:val="000000"/>
          <w:sz w:val="22"/>
          <w:szCs w:val="22"/>
          <w:lang w:eastAsia="es-ES"/>
        </w:rPr>
      </w:pPr>
      <w:r w:rsidRPr="00463CB2">
        <w:rPr>
          <w:rFonts w:ascii="Arial" w:hAnsi="Arial" w:cs="Arial"/>
          <w:color w:val="000000"/>
          <w:sz w:val="22"/>
          <w:szCs w:val="22"/>
          <w:lang w:eastAsia="es-ES"/>
        </w:rPr>
        <w:t>El sostenimiento de cultivos perennes y de producción agropecuaria.</w:t>
      </w:r>
    </w:p>
    <w:p w14:paraId="26FB2874" w14:textId="3A515E16" w:rsidR="00CC0B4C" w:rsidRPr="00463CB2" w:rsidRDefault="00CC0B4C" w:rsidP="00914A9A">
      <w:pPr>
        <w:pStyle w:val="Prrafodelista"/>
        <w:numPr>
          <w:ilvl w:val="1"/>
          <w:numId w:val="1"/>
        </w:numPr>
        <w:jc w:val="both"/>
        <w:rPr>
          <w:rFonts w:ascii="Arial" w:hAnsi="Arial" w:cs="Arial"/>
          <w:color w:val="000000"/>
          <w:sz w:val="22"/>
          <w:szCs w:val="22"/>
          <w:lang w:eastAsia="es-ES"/>
        </w:rPr>
      </w:pPr>
      <w:r w:rsidRPr="00463CB2">
        <w:rPr>
          <w:rFonts w:ascii="Arial" w:hAnsi="Arial" w:cs="Arial"/>
          <w:color w:val="000000"/>
          <w:sz w:val="22"/>
          <w:szCs w:val="22"/>
          <w:lang w:eastAsia="es-ES"/>
        </w:rPr>
        <w:t>La comercialización de la producción agropecuaria</w:t>
      </w:r>
    </w:p>
    <w:p w14:paraId="63635A2C" w14:textId="0ED064A7" w:rsidR="00914A9A" w:rsidRPr="00463CB2" w:rsidRDefault="00914A9A" w:rsidP="00914A9A">
      <w:pPr>
        <w:pStyle w:val="Prrafodelista"/>
        <w:numPr>
          <w:ilvl w:val="1"/>
          <w:numId w:val="1"/>
        </w:numPr>
        <w:jc w:val="both"/>
        <w:rPr>
          <w:rFonts w:ascii="Arial" w:hAnsi="Arial" w:cs="Arial"/>
          <w:color w:val="000000"/>
          <w:sz w:val="22"/>
          <w:szCs w:val="22"/>
          <w:lang w:eastAsia="es-ES"/>
        </w:rPr>
      </w:pPr>
      <w:r w:rsidRPr="00463CB2">
        <w:rPr>
          <w:rFonts w:ascii="Arial" w:hAnsi="Arial" w:cs="Arial"/>
          <w:color w:val="000000"/>
          <w:sz w:val="22"/>
          <w:szCs w:val="22"/>
          <w:lang w:eastAsia="es-ES"/>
        </w:rPr>
        <w:t xml:space="preserve">La transformación de la producción </w:t>
      </w:r>
      <w:r w:rsidR="00240F3A" w:rsidRPr="00463CB2">
        <w:rPr>
          <w:rFonts w:ascii="Arial" w:hAnsi="Arial" w:cs="Arial"/>
          <w:color w:val="000000"/>
          <w:sz w:val="22"/>
          <w:szCs w:val="22"/>
          <w:lang w:eastAsia="es-ES"/>
        </w:rPr>
        <w:t>agropecuaria</w:t>
      </w:r>
      <w:r w:rsidRPr="00463CB2">
        <w:rPr>
          <w:rFonts w:ascii="Arial" w:hAnsi="Arial" w:cs="Arial"/>
          <w:color w:val="000000"/>
          <w:sz w:val="22"/>
          <w:szCs w:val="22"/>
          <w:lang w:eastAsia="es-ES"/>
        </w:rPr>
        <w:t>.</w:t>
      </w:r>
    </w:p>
    <w:p w14:paraId="758731D5" w14:textId="562A9CD0" w:rsidR="00914A9A" w:rsidRPr="00463CB2" w:rsidRDefault="00914A9A" w:rsidP="00914A9A">
      <w:pPr>
        <w:pStyle w:val="Prrafodelista"/>
        <w:ind w:left="1080"/>
        <w:jc w:val="both"/>
        <w:rPr>
          <w:rFonts w:ascii="Arial" w:hAnsi="Arial" w:cs="Arial"/>
          <w:color w:val="000000"/>
          <w:sz w:val="22"/>
          <w:szCs w:val="22"/>
          <w:lang w:eastAsia="es-ES"/>
        </w:rPr>
      </w:pPr>
    </w:p>
    <w:p w14:paraId="01D25A27" w14:textId="60330E16" w:rsidR="008925F9" w:rsidRDefault="00914A9A" w:rsidP="00914A9A">
      <w:pPr>
        <w:pStyle w:val="Prrafodelista"/>
        <w:numPr>
          <w:ilvl w:val="0"/>
          <w:numId w:val="1"/>
        </w:numPr>
        <w:jc w:val="both"/>
        <w:rPr>
          <w:rFonts w:ascii="Arial" w:hAnsi="Arial" w:cs="Arial"/>
          <w:color w:val="000000"/>
          <w:sz w:val="22"/>
          <w:szCs w:val="22"/>
          <w:lang w:eastAsia="es-ES"/>
        </w:rPr>
      </w:pPr>
      <w:r w:rsidRPr="00F45CD2">
        <w:rPr>
          <w:rFonts w:ascii="Arial" w:hAnsi="Arial" w:cs="Arial"/>
          <w:b/>
          <w:color w:val="000000"/>
          <w:sz w:val="22"/>
          <w:szCs w:val="22"/>
          <w:lang w:eastAsia="es-ES"/>
        </w:rPr>
        <w:t>Plazos.</w:t>
      </w:r>
      <w:r w:rsidRPr="00F45CD2">
        <w:rPr>
          <w:rFonts w:ascii="Arial" w:hAnsi="Arial" w:cs="Arial"/>
          <w:color w:val="000000"/>
          <w:sz w:val="22"/>
          <w:szCs w:val="22"/>
          <w:lang w:eastAsia="es-ES"/>
        </w:rPr>
        <w:t xml:space="preserve"> El plazo máximo del crédito y del subsidio será de tres (3) años. </w:t>
      </w:r>
      <w:r w:rsidR="008925F9" w:rsidRPr="00306079">
        <w:rPr>
          <w:rFonts w:ascii="Arial" w:hAnsi="Arial" w:cs="Arial"/>
          <w:color w:val="000000"/>
          <w:sz w:val="21"/>
          <w:szCs w:val="21"/>
          <w:lang w:eastAsia="es-ES"/>
        </w:rPr>
        <w:t xml:space="preserve">El periodo de gracia </w:t>
      </w:r>
      <w:r w:rsidR="008925F9" w:rsidRPr="00F45CD2">
        <w:rPr>
          <w:rFonts w:ascii="Arial" w:hAnsi="Arial" w:cs="Arial"/>
          <w:color w:val="000000" w:themeColor="text1"/>
          <w:sz w:val="22"/>
          <w:szCs w:val="22"/>
        </w:rPr>
        <w:t>(para capital e intereses)</w:t>
      </w:r>
      <w:r w:rsidR="008925F9">
        <w:rPr>
          <w:rFonts w:ascii="Arial" w:hAnsi="Arial" w:cs="Arial"/>
          <w:color w:val="000000" w:themeColor="text1"/>
          <w:sz w:val="22"/>
          <w:szCs w:val="22"/>
        </w:rPr>
        <w:t xml:space="preserve"> </w:t>
      </w:r>
      <w:r w:rsidR="008925F9" w:rsidRPr="00306079">
        <w:rPr>
          <w:rFonts w:ascii="Arial" w:hAnsi="Arial" w:cs="Arial"/>
          <w:color w:val="000000"/>
          <w:sz w:val="21"/>
          <w:szCs w:val="21"/>
          <w:lang w:eastAsia="es-ES"/>
        </w:rPr>
        <w:t xml:space="preserve">debe ser acorde con el ciclo productivo de la actividad agropecuaria, con un plazo máximo de hasta </w:t>
      </w:r>
      <w:r w:rsidR="008925F9">
        <w:rPr>
          <w:rFonts w:ascii="Arial" w:hAnsi="Arial" w:cs="Arial"/>
          <w:color w:val="000000"/>
          <w:sz w:val="21"/>
          <w:szCs w:val="21"/>
          <w:lang w:eastAsia="es-ES"/>
        </w:rPr>
        <w:t>un (1) año</w:t>
      </w:r>
      <w:r w:rsidR="008925F9" w:rsidRPr="00306079">
        <w:rPr>
          <w:rFonts w:ascii="Arial" w:hAnsi="Arial" w:cs="Arial"/>
          <w:color w:val="000000"/>
          <w:sz w:val="21"/>
          <w:szCs w:val="21"/>
          <w:lang w:eastAsia="es-ES"/>
        </w:rPr>
        <w:t>.</w:t>
      </w:r>
    </w:p>
    <w:p w14:paraId="3C30430D" w14:textId="77777777" w:rsidR="00914A9A" w:rsidRPr="00F45CD2" w:rsidRDefault="00914A9A" w:rsidP="00914A9A">
      <w:pPr>
        <w:pStyle w:val="Prrafodelista"/>
        <w:ind w:left="360"/>
        <w:jc w:val="both"/>
        <w:rPr>
          <w:rFonts w:ascii="Arial" w:hAnsi="Arial" w:cs="Arial"/>
          <w:color w:val="000000"/>
          <w:sz w:val="22"/>
          <w:szCs w:val="22"/>
          <w:lang w:eastAsia="es-ES"/>
        </w:rPr>
      </w:pPr>
    </w:p>
    <w:p w14:paraId="22892C1B" w14:textId="77777777" w:rsidR="00914A9A" w:rsidRPr="00F45CD2" w:rsidRDefault="00914A9A" w:rsidP="00914A9A">
      <w:pPr>
        <w:pStyle w:val="Prrafodelista"/>
        <w:numPr>
          <w:ilvl w:val="0"/>
          <w:numId w:val="1"/>
        </w:numPr>
        <w:jc w:val="both"/>
        <w:rPr>
          <w:rFonts w:ascii="Arial" w:hAnsi="Arial" w:cs="Arial"/>
          <w:color w:val="000000"/>
          <w:sz w:val="22"/>
          <w:szCs w:val="22"/>
          <w:lang w:eastAsia="es-ES"/>
        </w:rPr>
      </w:pPr>
      <w:r w:rsidRPr="00F45CD2">
        <w:rPr>
          <w:rFonts w:ascii="Arial" w:hAnsi="Arial" w:cs="Arial"/>
          <w:b/>
          <w:color w:val="000000"/>
          <w:sz w:val="22"/>
          <w:szCs w:val="22"/>
          <w:lang w:eastAsia="es-ES"/>
        </w:rPr>
        <w:t>Tasa de Redescuento y de Interés al Beneficiario.</w:t>
      </w:r>
      <w:r w:rsidRPr="00F45CD2">
        <w:rPr>
          <w:rFonts w:ascii="Arial" w:hAnsi="Arial" w:cs="Arial"/>
          <w:color w:val="000000"/>
          <w:sz w:val="22"/>
          <w:szCs w:val="22"/>
          <w:lang w:eastAsia="es-ES"/>
        </w:rPr>
        <w:t xml:space="preserve"> Se establece el siguiente esquema de otorgamiento del subsidio a la tasa final al productor.</w:t>
      </w:r>
    </w:p>
    <w:p w14:paraId="036DCE3F" w14:textId="77777777" w:rsidR="00914A9A" w:rsidRPr="00F45CD2" w:rsidRDefault="00914A9A" w:rsidP="00914A9A">
      <w:pPr>
        <w:pStyle w:val="Prrafodelista"/>
        <w:jc w:val="both"/>
        <w:rPr>
          <w:rFonts w:ascii="Arial" w:hAnsi="Arial" w:cs="Arial"/>
          <w:b/>
          <w:bCs/>
          <w:color w:val="000000"/>
          <w:sz w:val="21"/>
          <w:szCs w:val="21"/>
          <w:lang w:eastAsia="es-ES"/>
        </w:rPr>
      </w:pPr>
    </w:p>
    <w:p w14:paraId="268DF079" w14:textId="77777777" w:rsidR="00914A9A" w:rsidRPr="00F45CD2" w:rsidRDefault="00914A9A" w:rsidP="00914A9A">
      <w:pPr>
        <w:pStyle w:val="Prrafodelista"/>
        <w:ind w:left="1068" w:firstLine="348"/>
        <w:jc w:val="both"/>
        <w:outlineLvl w:val="1"/>
        <w:rPr>
          <w:rFonts w:ascii="Arial" w:hAnsi="Arial" w:cs="Arial"/>
          <w:color w:val="000000"/>
          <w:sz w:val="21"/>
          <w:szCs w:val="21"/>
          <w:lang w:eastAsia="es-ES"/>
        </w:rPr>
      </w:pPr>
      <w:r w:rsidRPr="00F45CD2">
        <w:rPr>
          <w:rFonts w:ascii="Arial" w:hAnsi="Arial" w:cs="Arial"/>
          <w:b/>
          <w:color w:val="000000"/>
          <w:sz w:val="22"/>
          <w:szCs w:val="22"/>
          <w:lang w:eastAsia="es-CO"/>
        </w:rPr>
        <w:t>Condiciones financieras en DTF</w:t>
      </w:r>
    </w:p>
    <w:tbl>
      <w:tblPr>
        <w:tblW w:w="5528" w:type="dxa"/>
        <w:jc w:val="center"/>
        <w:tblLayout w:type="fixed"/>
        <w:tblCellMar>
          <w:left w:w="70" w:type="dxa"/>
          <w:right w:w="70" w:type="dxa"/>
        </w:tblCellMar>
        <w:tblLook w:val="04A0" w:firstRow="1" w:lastRow="0" w:firstColumn="1" w:lastColumn="0" w:noHBand="0" w:noVBand="1"/>
      </w:tblPr>
      <w:tblGrid>
        <w:gridCol w:w="1276"/>
        <w:gridCol w:w="1275"/>
        <w:gridCol w:w="1134"/>
        <w:gridCol w:w="1843"/>
      </w:tblGrid>
      <w:tr w:rsidR="00F45CD2" w:rsidRPr="00F45CD2" w14:paraId="46248974" w14:textId="106E5A4C" w:rsidTr="00F45CD2">
        <w:trPr>
          <w:trHeight w:val="880"/>
          <w:jc w:val="center"/>
        </w:trPr>
        <w:tc>
          <w:tcPr>
            <w:tcW w:w="1276" w:type="dxa"/>
            <w:tcBorders>
              <w:top w:val="single" w:sz="4" w:space="0" w:color="auto"/>
              <w:left w:val="nil"/>
              <w:bottom w:val="single" w:sz="8" w:space="0" w:color="auto"/>
              <w:right w:val="nil"/>
            </w:tcBorders>
            <w:shd w:val="clear" w:color="000000" w:fill="FFFFFF"/>
            <w:vAlign w:val="center"/>
            <w:hideMark/>
          </w:tcPr>
          <w:p w14:paraId="2E4F2488" w14:textId="77777777" w:rsidR="00F45CD2" w:rsidRPr="00F45CD2" w:rsidRDefault="00F45CD2" w:rsidP="00DE1080">
            <w:pPr>
              <w:jc w:val="both"/>
              <w:rPr>
                <w:rFonts w:ascii="Arial" w:hAnsi="Arial" w:cs="Arial"/>
                <w:b/>
                <w:bCs/>
                <w:color w:val="000000"/>
                <w:sz w:val="21"/>
                <w:szCs w:val="21"/>
              </w:rPr>
            </w:pPr>
            <w:r w:rsidRPr="00F45CD2">
              <w:rPr>
                <w:rFonts w:ascii="Arial" w:hAnsi="Arial" w:cs="Arial"/>
                <w:b/>
                <w:bCs/>
                <w:color w:val="000000"/>
                <w:sz w:val="21"/>
                <w:szCs w:val="21"/>
              </w:rPr>
              <w:t>Tipo de Productor</w:t>
            </w:r>
          </w:p>
        </w:tc>
        <w:tc>
          <w:tcPr>
            <w:tcW w:w="1275" w:type="dxa"/>
            <w:tcBorders>
              <w:top w:val="single" w:sz="4" w:space="0" w:color="auto"/>
              <w:left w:val="nil"/>
              <w:bottom w:val="single" w:sz="8" w:space="0" w:color="auto"/>
              <w:right w:val="nil"/>
            </w:tcBorders>
            <w:shd w:val="clear" w:color="000000" w:fill="FFFFFF"/>
            <w:vAlign w:val="center"/>
            <w:hideMark/>
          </w:tcPr>
          <w:p w14:paraId="2D392F54" w14:textId="77777777" w:rsidR="00F45CD2" w:rsidRPr="00F45CD2" w:rsidRDefault="00F45CD2" w:rsidP="00DE1080">
            <w:pPr>
              <w:jc w:val="both"/>
              <w:rPr>
                <w:rFonts w:ascii="Arial" w:hAnsi="Arial" w:cs="Arial"/>
                <w:b/>
                <w:bCs/>
                <w:color w:val="000000"/>
                <w:sz w:val="21"/>
                <w:szCs w:val="21"/>
              </w:rPr>
            </w:pPr>
            <w:r w:rsidRPr="00F45CD2">
              <w:rPr>
                <w:rFonts w:ascii="Arial" w:hAnsi="Arial" w:cs="Arial"/>
                <w:b/>
                <w:bCs/>
                <w:color w:val="000000"/>
                <w:sz w:val="21"/>
                <w:szCs w:val="21"/>
              </w:rPr>
              <w:t>Tasa de Redescuento (</w:t>
            </w:r>
            <w:proofErr w:type="spellStart"/>
            <w:r w:rsidRPr="00F45CD2">
              <w:rPr>
                <w:rFonts w:ascii="Arial" w:hAnsi="Arial" w:cs="Arial"/>
                <w:b/>
                <w:bCs/>
                <w:color w:val="000000"/>
                <w:sz w:val="21"/>
                <w:szCs w:val="21"/>
              </w:rPr>
              <w:t>e.a</w:t>
            </w:r>
            <w:proofErr w:type="spellEnd"/>
            <w:r w:rsidRPr="00F45CD2">
              <w:rPr>
                <w:rFonts w:ascii="Arial" w:hAnsi="Arial" w:cs="Arial"/>
                <w:b/>
                <w:bCs/>
                <w:color w:val="000000"/>
                <w:sz w:val="21"/>
                <w:szCs w:val="21"/>
              </w:rPr>
              <w:t>.)</w:t>
            </w:r>
          </w:p>
        </w:tc>
        <w:tc>
          <w:tcPr>
            <w:tcW w:w="1134" w:type="dxa"/>
            <w:tcBorders>
              <w:top w:val="single" w:sz="4" w:space="0" w:color="auto"/>
              <w:left w:val="nil"/>
              <w:bottom w:val="single" w:sz="8" w:space="0" w:color="auto"/>
              <w:right w:val="nil"/>
            </w:tcBorders>
            <w:shd w:val="clear" w:color="000000" w:fill="FFFFFF"/>
            <w:noWrap/>
            <w:vAlign w:val="center"/>
            <w:hideMark/>
          </w:tcPr>
          <w:p w14:paraId="05D96CA8" w14:textId="0A885EC2" w:rsidR="00F45CD2" w:rsidRPr="00F45CD2" w:rsidRDefault="00F45CD2" w:rsidP="00DE1080">
            <w:pPr>
              <w:jc w:val="both"/>
              <w:rPr>
                <w:rFonts w:ascii="Arial" w:hAnsi="Arial" w:cs="Arial"/>
                <w:b/>
                <w:bCs/>
                <w:color w:val="000000"/>
                <w:sz w:val="21"/>
                <w:szCs w:val="21"/>
              </w:rPr>
            </w:pPr>
            <w:r w:rsidRPr="00F45CD2">
              <w:rPr>
                <w:rFonts w:ascii="Arial" w:hAnsi="Arial" w:cs="Arial"/>
                <w:b/>
                <w:bCs/>
                <w:color w:val="000000"/>
                <w:sz w:val="21"/>
                <w:szCs w:val="21"/>
              </w:rPr>
              <w:t>Subsidio (</w:t>
            </w:r>
            <w:proofErr w:type="spellStart"/>
            <w:r w:rsidRPr="00F45CD2">
              <w:rPr>
                <w:rFonts w:ascii="Arial" w:hAnsi="Arial" w:cs="Arial"/>
                <w:b/>
                <w:bCs/>
                <w:color w:val="000000"/>
                <w:sz w:val="21"/>
                <w:szCs w:val="21"/>
              </w:rPr>
              <w:t>e.a</w:t>
            </w:r>
            <w:proofErr w:type="spellEnd"/>
            <w:r w:rsidRPr="00F45CD2">
              <w:rPr>
                <w:rFonts w:ascii="Arial" w:hAnsi="Arial" w:cs="Arial"/>
                <w:b/>
                <w:bCs/>
                <w:color w:val="000000"/>
                <w:sz w:val="21"/>
                <w:szCs w:val="21"/>
              </w:rPr>
              <w:t>.)</w:t>
            </w:r>
          </w:p>
        </w:tc>
        <w:tc>
          <w:tcPr>
            <w:tcW w:w="1843" w:type="dxa"/>
            <w:tcBorders>
              <w:top w:val="single" w:sz="4" w:space="0" w:color="auto"/>
              <w:left w:val="nil"/>
              <w:bottom w:val="single" w:sz="8" w:space="0" w:color="auto"/>
              <w:right w:val="nil"/>
            </w:tcBorders>
            <w:shd w:val="clear" w:color="000000" w:fill="FFFFFF"/>
            <w:vAlign w:val="center"/>
            <w:hideMark/>
          </w:tcPr>
          <w:p w14:paraId="012A12EC" w14:textId="77777777" w:rsidR="00F45CD2" w:rsidRPr="00F45CD2" w:rsidRDefault="00F45CD2" w:rsidP="00DE1080">
            <w:pPr>
              <w:jc w:val="both"/>
              <w:rPr>
                <w:rFonts w:ascii="Arial" w:hAnsi="Arial" w:cs="Arial"/>
                <w:b/>
                <w:bCs/>
                <w:color w:val="000000"/>
                <w:sz w:val="21"/>
                <w:szCs w:val="21"/>
              </w:rPr>
            </w:pPr>
            <w:r w:rsidRPr="00F45CD2">
              <w:rPr>
                <w:rFonts w:ascii="Arial" w:hAnsi="Arial" w:cs="Arial"/>
                <w:b/>
                <w:bCs/>
                <w:color w:val="000000"/>
                <w:sz w:val="21"/>
                <w:szCs w:val="21"/>
              </w:rPr>
              <w:t>Tasa de Interés con Subsidio (</w:t>
            </w:r>
            <w:proofErr w:type="spellStart"/>
            <w:r w:rsidRPr="00F45CD2">
              <w:rPr>
                <w:rFonts w:ascii="Arial" w:hAnsi="Arial" w:cs="Arial"/>
                <w:b/>
                <w:bCs/>
                <w:color w:val="000000"/>
                <w:sz w:val="21"/>
                <w:szCs w:val="21"/>
              </w:rPr>
              <w:t>e.a</w:t>
            </w:r>
            <w:proofErr w:type="spellEnd"/>
            <w:r w:rsidRPr="00F45CD2">
              <w:rPr>
                <w:rFonts w:ascii="Arial" w:hAnsi="Arial" w:cs="Arial"/>
                <w:b/>
                <w:bCs/>
                <w:color w:val="000000"/>
                <w:sz w:val="21"/>
                <w:szCs w:val="21"/>
              </w:rPr>
              <w:t>.)</w:t>
            </w:r>
          </w:p>
        </w:tc>
      </w:tr>
      <w:tr w:rsidR="00F45CD2" w:rsidRPr="00F45CD2" w14:paraId="5951C47D" w14:textId="0D8A4910" w:rsidTr="00F45CD2">
        <w:trPr>
          <w:trHeight w:val="360"/>
          <w:jc w:val="center"/>
        </w:trPr>
        <w:tc>
          <w:tcPr>
            <w:tcW w:w="1276" w:type="dxa"/>
            <w:tcBorders>
              <w:top w:val="nil"/>
              <w:left w:val="nil"/>
              <w:bottom w:val="nil"/>
              <w:right w:val="nil"/>
            </w:tcBorders>
            <w:shd w:val="clear" w:color="000000" w:fill="FFFFFF"/>
            <w:vAlign w:val="center"/>
            <w:hideMark/>
          </w:tcPr>
          <w:p w14:paraId="02B9F6F2"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Pequeño</w:t>
            </w:r>
          </w:p>
        </w:tc>
        <w:tc>
          <w:tcPr>
            <w:tcW w:w="1275" w:type="dxa"/>
            <w:tcBorders>
              <w:top w:val="nil"/>
              <w:left w:val="nil"/>
              <w:bottom w:val="nil"/>
              <w:right w:val="nil"/>
            </w:tcBorders>
            <w:shd w:val="clear" w:color="000000" w:fill="FFFFFF"/>
            <w:noWrap/>
            <w:vAlign w:val="center"/>
            <w:hideMark/>
          </w:tcPr>
          <w:p w14:paraId="33434BA6"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DTF - 2.5%</w:t>
            </w:r>
          </w:p>
        </w:tc>
        <w:tc>
          <w:tcPr>
            <w:tcW w:w="1134" w:type="dxa"/>
            <w:tcBorders>
              <w:top w:val="nil"/>
              <w:left w:val="nil"/>
              <w:bottom w:val="nil"/>
              <w:right w:val="nil"/>
            </w:tcBorders>
            <w:shd w:val="clear" w:color="000000" w:fill="FFFFFF"/>
            <w:noWrap/>
            <w:vAlign w:val="center"/>
            <w:hideMark/>
          </w:tcPr>
          <w:p w14:paraId="37B9FFD1" w14:textId="3F9E1220" w:rsidR="00F45CD2" w:rsidRPr="00F45CD2" w:rsidRDefault="00F45CD2" w:rsidP="00DE1080">
            <w:pPr>
              <w:jc w:val="center"/>
              <w:rPr>
                <w:rFonts w:ascii="Arial" w:hAnsi="Arial" w:cs="Arial"/>
                <w:color w:val="000000"/>
                <w:sz w:val="21"/>
                <w:szCs w:val="21"/>
              </w:rPr>
            </w:pPr>
            <w:r w:rsidRPr="00F45CD2">
              <w:rPr>
                <w:rFonts w:ascii="Arial" w:hAnsi="Arial" w:cs="Arial"/>
                <w:color w:val="000000"/>
                <w:sz w:val="21"/>
                <w:szCs w:val="21"/>
              </w:rPr>
              <w:t>7%</w:t>
            </w:r>
          </w:p>
        </w:tc>
        <w:tc>
          <w:tcPr>
            <w:tcW w:w="1843" w:type="dxa"/>
            <w:tcBorders>
              <w:top w:val="nil"/>
              <w:left w:val="nil"/>
              <w:bottom w:val="nil"/>
              <w:right w:val="nil"/>
            </w:tcBorders>
            <w:shd w:val="clear" w:color="000000" w:fill="FFFFFF"/>
            <w:noWrap/>
            <w:vAlign w:val="center"/>
            <w:hideMark/>
          </w:tcPr>
          <w:p w14:paraId="7597BD9A"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Hasta DTF - 1%</w:t>
            </w:r>
          </w:p>
        </w:tc>
      </w:tr>
      <w:tr w:rsidR="00F45CD2" w:rsidRPr="00F45CD2" w14:paraId="088A6D63" w14:textId="5C24612D" w:rsidTr="00F45CD2">
        <w:trPr>
          <w:trHeight w:val="360"/>
          <w:jc w:val="center"/>
        </w:trPr>
        <w:tc>
          <w:tcPr>
            <w:tcW w:w="1276" w:type="dxa"/>
            <w:tcBorders>
              <w:top w:val="nil"/>
              <w:left w:val="nil"/>
              <w:bottom w:val="nil"/>
              <w:right w:val="nil"/>
            </w:tcBorders>
            <w:shd w:val="clear" w:color="000000" w:fill="FFFFFF"/>
            <w:vAlign w:val="center"/>
            <w:hideMark/>
          </w:tcPr>
          <w:p w14:paraId="30EBDFE1"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Mediano</w:t>
            </w:r>
          </w:p>
        </w:tc>
        <w:tc>
          <w:tcPr>
            <w:tcW w:w="1275" w:type="dxa"/>
            <w:tcBorders>
              <w:top w:val="nil"/>
              <w:left w:val="nil"/>
              <w:bottom w:val="nil"/>
              <w:right w:val="nil"/>
            </w:tcBorders>
            <w:shd w:val="clear" w:color="000000" w:fill="FFFFFF"/>
            <w:vAlign w:val="center"/>
            <w:hideMark/>
          </w:tcPr>
          <w:p w14:paraId="63F886DD"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DTF</w:t>
            </w:r>
          </w:p>
        </w:tc>
        <w:tc>
          <w:tcPr>
            <w:tcW w:w="1134" w:type="dxa"/>
            <w:tcBorders>
              <w:top w:val="nil"/>
              <w:left w:val="nil"/>
              <w:bottom w:val="nil"/>
              <w:right w:val="nil"/>
            </w:tcBorders>
            <w:shd w:val="clear" w:color="000000" w:fill="FFFFFF"/>
            <w:noWrap/>
            <w:vAlign w:val="center"/>
            <w:hideMark/>
          </w:tcPr>
          <w:p w14:paraId="505ABB1A" w14:textId="2326BD02" w:rsidR="00F45CD2" w:rsidRPr="00F45CD2" w:rsidRDefault="00F45CD2" w:rsidP="00DE1080">
            <w:pPr>
              <w:jc w:val="center"/>
              <w:rPr>
                <w:rFonts w:ascii="Arial" w:hAnsi="Arial" w:cs="Arial"/>
                <w:color w:val="000000"/>
                <w:sz w:val="21"/>
                <w:szCs w:val="21"/>
              </w:rPr>
            </w:pPr>
            <w:r w:rsidRPr="00F45CD2">
              <w:rPr>
                <w:rFonts w:ascii="Arial" w:hAnsi="Arial" w:cs="Arial"/>
                <w:color w:val="000000"/>
                <w:sz w:val="21"/>
                <w:szCs w:val="21"/>
              </w:rPr>
              <w:t>6%</w:t>
            </w:r>
          </w:p>
        </w:tc>
        <w:tc>
          <w:tcPr>
            <w:tcW w:w="1843" w:type="dxa"/>
            <w:tcBorders>
              <w:top w:val="nil"/>
              <w:left w:val="nil"/>
              <w:bottom w:val="nil"/>
              <w:right w:val="nil"/>
            </w:tcBorders>
            <w:shd w:val="clear" w:color="000000" w:fill="FFFFFF"/>
            <w:noWrap/>
            <w:vAlign w:val="center"/>
            <w:hideMark/>
          </w:tcPr>
          <w:p w14:paraId="43C8C716"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Hasta DTF</w:t>
            </w:r>
          </w:p>
        </w:tc>
      </w:tr>
      <w:tr w:rsidR="00F45CD2" w:rsidRPr="00F45CD2" w14:paraId="33C8D080" w14:textId="6F9005D8" w:rsidTr="00F45CD2">
        <w:trPr>
          <w:trHeight w:val="360"/>
          <w:jc w:val="center"/>
        </w:trPr>
        <w:tc>
          <w:tcPr>
            <w:tcW w:w="1276" w:type="dxa"/>
            <w:tcBorders>
              <w:top w:val="nil"/>
              <w:left w:val="nil"/>
              <w:bottom w:val="single" w:sz="8" w:space="0" w:color="auto"/>
              <w:right w:val="nil"/>
            </w:tcBorders>
            <w:shd w:val="clear" w:color="000000" w:fill="FFFFFF"/>
            <w:vAlign w:val="center"/>
          </w:tcPr>
          <w:p w14:paraId="41933300"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Grande</w:t>
            </w:r>
          </w:p>
        </w:tc>
        <w:tc>
          <w:tcPr>
            <w:tcW w:w="1275" w:type="dxa"/>
            <w:tcBorders>
              <w:top w:val="nil"/>
              <w:left w:val="nil"/>
              <w:bottom w:val="single" w:sz="8" w:space="0" w:color="auto"/>
              <w:right w:val="nil"/>
            </w:tcBorders>
            <w:shd w:val="clear" w:color="000000" w:fill="FFFFFF"/>
            <w:vAlign w:val="center"/>
          </w:tcPr>
          <w:p w14:paraId="47185E24"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DTF + 1%</w:t>
            </w:r>
          </w:p>
        </w:tc>
        <w:tc>
          <w:tcPr>
            <w:tcW w:w="1134" w:type="dxa"/>
            <w:tcBorders>
              <w:top w:val="nil"/>
              <w:left w:val="nil"/>
              <w:bottom w:val="single" w:sz="8" w:space="0" w:color="auto"/>
              <w:right w:val="nil"/>
            </w:tcBorders>
            <w:shd w:val="clear" w:color="000000" w:fill="FFFFFF"/>
            <w:noWrap/>
            <w:vAlign w:val="center"/>
          </w:tcPr>
          <w:p w14:paraId="0CE06E70" w14:textId="16029C10" w:rsidR="00F45CD2" w:rsidRPr="00F45CD2" w:rsidRDefault="00F45CD2" w:rsidP="00DE1080">
            <w:pPr>
              <w:jc w:val="center"/>
              <w:rPr>
                <w:rFonts w:ascii="Arial" w:hAnsi="Arial" w:cs="Arial"/>
                <w:color w:val="000000"/>
                <w:sz w:val="21"/>
                <w:szCs w:val="21"/>
              </w:rPr>
            </w:pPr>
            <w:r w:rsidRPr="00F45CD2">
              <w:rPr>
                <w:rFonts w:ascii="Arial" w:hAnsi="Arial" w:cs="Arial"/>
                <w:color w:val="000000"/>
                <w:sz w:val="21"/>
                <w:szCs w:val="21"/>
              </w:rPr>
              <w:t>5%</w:t>
            </w:r>
          </w:p>
        </w:tc>
        <w:tc>
          <w:tcPr>
            <w:tcW w:w="1843" w:type="dxa"/>
            <w:tcBorders>
              <w:top w:val="nil"/>
              <w:left w:val="nil"/>
              <w:bottom w:val="single" w:sz="8" w:space="0" w:color="auto"/>
              <w:right w:val="nil"/>
            </w:tcBorders>
            <w:shd w:val="clear" w:color="000000" w:fill="FFFFFF"/>
            <w:noWrap/>
            <w:vAlign w:val="center"/>
          </w:tcPr>
          <w:p w14:paraId="18F96C9F"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Hasta DTF</w:t>
            </w:r>
          </w:p>
        </w:tc>
      </w:tr>
    </w:tbl>
    <w:p w14:paraId="39F395F1" w14:textId="77777777" w:rsidR="00914A9A" w:rsidRPr="00F45CD2" w:rsidRDefault="00914A9A" w:rsidP="00914A9A">
      <w:pPr>
        <w:ind w:left="708" w:firstLine="708"/>
        <w:jc w:val="both"/>
        <w:outlineLvl w:val="1"/>
        <w:rPr>
          <w:rFonts w:ascii="Arial" w:hAnsi="Arial" w:cs="Arial"/>
          <w:color w:val="000000"/>
          <w:sz w:val="21"/>
          <w:szCs w:val="21"/>
          <w:lang w:eastAsia="es-ES"/>
        </w:rPr>
      </w:pPr>
      <w:proofErr w:type="spellStart"/>
      <w:r w:rsidRPr="00F45CD2">
        <w:rPr>
          <w:rFonts w:ascii="Arial" w:hAnsi="Arial" w:cs="Arial"/>
          <w:color w:val="000000"/>
          <w:sz w:val="21"/>
          <w:szCs w:val="21"/>
          <w:lang w:eastAsia="es-ES"/>
        </w:rPr>
        <w:t>e.a</w:t>
      </w:r>
      <w:proofErr w:type="spellEnd"/>
      <w:r w:rsidRPr="00F45CD2">
        <w:rPr>
          <w:rFonts w:ascii="Arial" w:hAnsi="Arial" w:cs="Arial"/>
          <w:color w:val="000000"/>
          <w:sz w:val="21"/>
          <w:szCs w:val="21"/>
          <w:lang w:eastAsia="es-ES"/>
        </w:rPr>
        <w:t>.: efectivo anual</w:t>
      </w:r>
    </w:p>
    <w:p w14:paraId="50CC176A" w14:textId="77777777" w:rsidR="00914A9A" w:rsidRPr="00F45CD2" w:rsidRDefault="00914A9A" w:rsidP="00914A9A">
      <w:pPr>
        <w:ind w:left="708" w:firstLine="708"/>
        <w:jc w:val="both"/>
        <w:outlineLvl w:val="1"/>
        <w:rPr>
          <w:rFonts w:ascii="Arial" w:hAnsi="Arial" w:cs="Arial"/>
          <w:color w:val="000000"/>
          <w:sz w:val="21"/>
          <w:szCs w:val="21"/>
          <w:lang w:eastAsia="es-ES"/>
        </w:rPr>
      </w:pPr>
    </w:p>
    <w:p w14:paraId="40AB27AE" w14:textId="77777777" w:rsidR="00914A9A" w:rsidRPr="00F45CD2" w:rsidRDefault="00914A9A" w:rsidP="00914A9A">
      <w:pPr>
        <w:pStyle w:val="Prrafodelista"/>
        <w:ind w:left="1068" w:firstLine="348"/>
        <w:jc w:val="both"/>
        <w:outlineLvl w:val="1"/>
        <w:rPr>
          <w:rFonts w:ascii="Arial" w:hAnsi="Arial" w:cs="Arial"/>
          <w:color w:val="000000"/>
          <w:sz w:val="21"/>
          <w:szCs w:val="21"/>
          <w:lang w:eastAsia="es-ES"/>
        </w:rPr>
      </w:pPr>
      <w:r w:rsidRPr="00F45CD2">
        <w:rPr>
          <w:rFonts w:ascii="Arial" w:hAnsi="Arial" w:cs="Arial"/>
          <w:b/>
          <w:color w:val="000000"/>
          <w:sz w:val="22"/>
          <w:szCs w:val="22"/>
          <w:lang w:eastAsia="es-CO"/>
        </w:rPr>
        <w:t>Condiciones financieras en IBR</w:t>
      </w:r>
    </w:p>
    <w:tbl>
      <w:tblPr>
        <w:tblW w:w="5502" w:type="dxa"/>
        <w:jc w:val="center"/>
        <w:tblLayout w:type="fixed"/>
        <w:tblCellMar>
          <w:left w:w="70" w:type="dxa"/>
          <w:right w:w="70" w:type="dxa"/>
        </w:tblCellMar>
        <w:tblLook w:val="04A0" w:firstRow="1" w:lastRow="0" w:firstColumn="1" w:lastColumn="0" w:noHBand="0" w:noVBand="1"/>
      </w:tblPr>
      <w:tblGrid>
        <w:gridCol w:w="1276"/>
        <w:gridCol w:w="1275"/>
        <w:gridCol w:w="1134"/>
        <w:gridCol w:w="1817"/>
      </w:tblGrid>
      <w:tr w:rsidR="00F45CD2" w:rsidRPr="00F45CD2" w14:paraId="0133942B" w14:textId="25A15E28" w:rsidTr="00F45CD2">
        <w:trPr>
          <w:trHeight w:val="880"/>
          <w:jc w:val="center"/>
        </w:trPr>
        <w:tc>
          <w:tcPr>
            <w:tcW w:w="1276" w:type="dxa"/>
            <w:tcBorders>
              <w:top w:val="single" w:sz="4" w:space="0" w:color="auto"/>
              <w:left w:val="nil"/>
              <w:bottom w:val="single" w:sz="8" w:space="0" w:color="auto"/>
              <w:right w:val="nil"/>
            </w:tcBorders>
            <w:shd w:val="clear" w:color="000000" w:fill="FFFFFF"/>
            <w:vAlign w:val="center"/>
            <w:hideMark/>
          </w:tcPr>
          <w:p w14:paraId="011E26D1" w14:textId="77777777" w:rsidR="00F45CD2" w:rsidRPr="00F45CD2" w:rsidRDefault="00F45CD2" w:rsidP="00DE1080">
            <w:pPr>
              <w:jc w:val="both"/>
              <w:rPr>
                <w:rFonts w:ascii="Arial" w:hAnsi="Arial" w:cs="Arial"/>
                <w:b/>
                <w:bCs/>
                <w:color w:val="000000"/>
                <w:sz w:val="21"/>
                <w:szCs w:val="21"/>
              </w:rPr>
            </w:pPr>
            <w:r w:rsidRPr="00F45CD2">
              <w:rPr>
                <w:rFonts w:ascii="Arial" w:hAnsi="Arial" w:cs="Arial"/>
                <w:b/>
                <w:bCs/>
                <w:color w:val="000000"/>
                <w:sz w:val="21"/>
                <w:szCs w:val="21"/>
              </w:rPr>
              <w:t>Tipo de Productor</w:t>
            </w:r>
          </w:p>
        </w:tc>
        <w:tc>
          <w:tcPr>
            <w:tcW w:w="1275" w:type="dxa"/>
            <w:tcBorders>
              <w:top w:val="single" w:sz="4" w:space="0" w:color="auto"/>
              <w:left w:val="nil"/>
              <w:bottom w:val="single" w:sz="8" w:space="0" w:color="auto"/>
              <w:right w:val="nil"/>
            </w:tcBorders>
            <w:shd w:val="clear" w:color="000000" w:fill="FFFFFF"/>
            <w:vAlign w:val="center"/>
            <w:hideMark/>
          </w:tcPr>
          <w:p w14:paraId="7CC3C2EA" w14:textId="77777777" w:rsidR="00F45CD2" w:rsidRPr="00F45CD2" w:rsidRDefault="00F45CD2" w:rsidP="00DE1080">
            <w:pPr>
              <w:jc w:val="both"/>
              <w:rPr>
                <w:rFonts w:ascii="Arial" w:hAnsi="Arial" w:cs="Arial"/>
                <w:b/>
                <w:bCs/>
                <w:color w:val="000000"/>
                <w:sz w:val="21"/>
                <w:szCs w:val="21"/>
              </w:rPr>
            </w:pPr>
            <w:r w:rsidRPr="00F45CD2">
              <w:rPr>
                <w:rFonts w:ascii="Arial" w:hAnsi="Arial" w:cs="Arial"/>
                <w:b/>
                <w:bCs/>
                <w:color w:val="000000"/>
                <w:sz w:val="21"/>
                <w:szCs w:val="21"/>
              </w:rPr>
              <w:t>Tasa de Redescuento</w:t>
            </w:r>
          </w:p>
        </w:tc>
        <w:tc>
          <w:tcPr>
            <w:tcW w:w="1134" w:type="dxa"/>
            <w:tcBorders>
              <w:top w:val="single" w:sz="4" w:space="0" w:color="auto"/>
              <w:left w:val="nil"/>
              <w:bottom w:val="single" w:sz="8" w:space="0" w:color="auto"/>
              <w:right w:val="nil"/>
            </w:tcBorders>
            <w:shd w:val="clear" w:color="000000" w:fill="FFFFFF"/>
            <w:noWrap/>
            <w:vAlign w:val="center"/>
            <w:hideMark/>
          </w:tcPr>
          <w:p w14:paraId="7D19848A" w14:textId="00011D3F" w:rsidR="00F45CD2" w:rsidRPr="00F45CD2" w:rsidRDefault="00F45CD2" w:rsidP="00DE1080">
            <w:pPr>
              <w:jc w:val="both"/>
              <w:rPr>
                <w:rFonts w:ascii="Arial" w:hAnsi="Arial" w:cs="Arial"/>
                <w:b/>
                <w:bCs/>
                <w:color w:val="000000"/>
                <w:sz w:val="21"/>
                <w:szCs w:val="21"/>
              </w:rPr>
            </w:pPr>
            <w:r w:rsidRPr="00F45CD2">
              <w:rPr>
                <w:rFonts w:ascii="Arial" w:hAnsi="Arial" w:cs="Arial"/>
                <w:b/>
                <w:bCs/>
                <w:color w:val="000000"/>
                <w:sz w:val="21"/>
                <w:szCs w:val="21"/>
              </w:rPr>
              <w:t>Subsidio (</w:t>
            </w:r>
            <w:proofErr w:type="spellStart"/>
            <w:r w:rsidRPr="00F45CD2">
              <w:rPr>
                <w:rFonts w:ascii="Arial" w:hAnsi="Arial" w:cs="Arial"/>
                <w:b/>
                <w:bCs/>
                <w:color w:val="000000"/>
                <w:sz w:val="21"/>
                <w:szCs w:val="21"/>
              </w:rPr>
              <w:t>e.a</w:t>
            </w:r>
            <w:proofErr w:type="spellEnd"/>
            <w:r w:rsidRPr="00F45CD2">
              <w:rPr>
                <w:rFonts w:ascii="Arial" w:hAnsi="Arial" w:cs="Arial"/>
                <w:b/>
                <w:bCs/>
                <w:color w:val="000000"/>
                <w:sz w:val="21"/>
                <w:szCs w:val="21"/>
              </w:rPr>
              <w:t>)</w:t>
            </w:r>
          </w:p>
        </w:tc>
        <w:tc>
          <w:tcPr>
            <w:tcW w:w="1817" w:type="dxa"/>
            <w:tcBorders>
              <w:top w:val="single" w:sz="4" w:space="0" w:color="auto"/>
              <w:left w:val="nil"/>
              <w:bottom w:val="single" w:sz="8" w:space="0" w:color="auto"/>
              <w:right w:val="nil"/>
            </w:tcBorders>
            <w:shd w:val="clear" w:color="000000" w:fill="FFFFFF"/>
            <w:vAlign w:val="center"/>
            <w:hideMark/>
          </w:tcPr>
          <w:p w14:paraId="56FE9F56" w14:textId="77777777" w:rsidR="00F45CD2" w:rsidRPr="00F45CD2" w:rsidRDefault="00F45CD2" w:rsidP="00DE1080">
            <w:pPr>
              <w:jc w:val="both"/>
              <w:rPr>
                <w:rFonts w:ascii="Arial" w:hAnsi="Arial" w:cs="Arial"/>
                <w:b/>
                <w:bCs/>
                <w:color w:val="000000"/>
                <w:sz w:val="21"/>
                <w:szCs w:val="21"/>
              </w:rPr>
            </w:pPr>
            <w:r w:rsidRPr="00F45CD2">
              <w:rPr>
                <w:rFonts w:ascii="Arial" w:hAnsi="Arial" w:cs="Arial"/>
                <w:b/>
                <w:bCs/>
                <w:color w:val="000000"/>
                <w:sz w:val="21"/>
                <w:szCs w:val="21"/>
              </w:rPr>
              <w:t>Tasa de Interés con Subsidio</w:t>
            </w:r>
          </w:p>
        </w:tc>
      </w:tr>
      <w:tr w:rsidR="00F45CD2" w:rsidRPr="00F45CD2" w14:paraId="19A40DA8" w14:textId="0A6D5319" w:rsidTr="00F45CD2">
        <w:trPr>
          <w:trHeight w:val="360"/>
          <w:jc w:val="center"/>
        </w:trPr>
        <w:tc>
          <w:tcPr>
            <w:tcW w:w="1276" w:type="dxa"/>
            <w:tcBorders>
              <w:top w:val="nil"/>
              <w:left w:val="nil"/>
              <w:bottom w:val="nil"/>
              <w:right w:val="nil"/>
            </w:tcBorders>
            <w:shd w:val="clear" w:color="auto" w:fill="auto"/>
            <w:vAlign w:val="center"/>
            <w:hideMark/>
          </w:tcPr>
          <w:p w14:paraId="32C7D4A4"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Pequeño</w:t>
            </w:r>
          </w:p>
        </w:tc>
        <w:tc>
          <w:tcPr>
            <w:tcW w:w="1275" w:type="dxa"/>
            <w:tcBorders>
              <w:top w:val="nil"/>
              <w:left w:val="nil"/>
              <w:bottom w:val="nil"/>
              <w:right w:val="nil"/>
            </w:tcBorders>
            <w:shd w:val="clear" w:color="auto" w:fill="auto"/>
            <w:noWrap/>
            <w:vAlign w:val="center"/>
            <w:hideMark/>
          </w:tcPr>
          <w:p w14:paraId="37357910"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IBR - 2.6%</w:t>
            </w:r>
          </w:p>
        </w:tc>
        <w:tc>
          <w:tcPr>
            <w:tcW w:w="1134" w:type="dxa"/>
            <w:tcBorders>
              <w:top w:val="nil"/>
              <w:left w:val="nil"/>
              <w:bottom w:val="nil"/>
              <w:right w:val="nil"/>
            </w:tcBorders>
            <w:shd w:val="clear" w:color="000000" w:fill="FFFFFF"/>
            <w:noWrap/>
            <w:vAlign w:val="center"/>
            <w:hideMark/>
          </w:tcPr>
          <w:p w14:paraId="197225DB" w14:textId="736E1566" w:rsidR="00F45CD2" w:rsidRPr="00F45CD2" w:rsidRDefault="00F45CD2" w:rsidP="00DE1080">
            <w:pPr>
              <w:jc w:val="center"/>
              <w:rPr>
                <w:rFonts w:ascii="Arial" w:hAnsi="Arial" w:cs="Arial"/>
                <w:color w:val="000000"/>
                <w:sz w:val="21"/>
                <w:szCs w:val="21"/>
              </w:rPr>
            </w:pPr>
            <w:r w:rsidRPr="00F45CD2">
              <w:rPr>
                <w:rFonts w:ascii="Arial" w:hAnsi="Arial" w:cs="Arial"/>
                <w:color w:val="000000"/>
                <w:sz w:val="21"/>
                <w:szCs w:val="21"/>
              </w:rPr>
              <w:t>7%</w:t>
            </w:r>
          </w:p>
        </w:tc>
        <w:tc>
          <w:tcPr>
            <w:tcW w:w="1817" w:type="dxa"/>
            <w:tcBorders>
              <w:top w:val="nil"/>
              <w:left w:val="nil"/>
              <w:bottom w:val="nil"/>
              <w:right w:val="nil"/>
            </w:tcBorders>
            <w:shd w:val="clear" w:color="000000" w:fill="FFFFFF"/>
            <w:noWrap/>
            <w:vAlign w:val="center"/>
            <w:hideMark/>
          </w:tcPr>
          <w:p w14:paraId="4B2305D8" w14:textId="1A269690"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Hasta IBR – 1,1%</w:t>
            </w:r>
          </w:p>
        </w:tc>
      </w:tr>
      <w:tr w:rsidR="00F45CD2" w:rsidRPr="00F45CD2" w14:paraId="5AEBBFB7" w14:textId="32338AFF" w:rsidTr="00F45CD2">
        <w:trPr>
          <w:trHeight w:val="360"/>
          <w:jc w:val="center"/>
        </w:trPr>
        <w:tc>
          <w:tcPr>
            <w:tcW w:w="1276" w:type="dxa"/>
            <w:tcBorders>
              <w:top w:val="nil"/>
              <w:left w:val="nil"/>
              <w:bottom w:val="nil"/>
              <w:right w:val="nil"/>
            </w:tcBorders>
            <w:shd w:val="clear" w:color="auto" w:fill="auto"/>
            <w:vAlign w:val="center"/>
            <w:hideMark/>
          </w:tcPr>
          <w:p w14:paraId="45ACA5DF"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Mediano</w:t>
            </w:r>
          </w:p>
        </w:tc>
        <w:tc>
          <w:tcPr>
            <w:tcW w:w="1275" w:type="dxa"/>
            <w:tcBorders>
              <w:top w:val="nil"/>
              <w:left w:val="nil"/>
              <w:bottom w:val="nil"/>
              <w:right w:val="nil"/>
            </w:tcBorders>
            <w:shd w:val="clear" w:color="auto" w:fill="auto"/>
            <w:vAlign w:val="center"/>
            <w:hideMark/>
          </w:tcPr>
          <w:p w14:paraId="0B642C90"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 xml:space="preserve">IBR </w:t>
            </w:r>
          </w:p>
        </w:tc>
        <w:tc>
          <w:tcPr>
            <w:tcW w:w="1134" w:type="dxa"/>
            <w:tcBorders>
              <w:top w:val="nil"/>
              <w:left w:val="nil"/>
              <w:bottom w:val="nil"/>
              <w:right w:val="nil"/>
            </w:tcBorders>
            <w:shd w:val="clear" w:color="000000" w:fill="FFFFFF"/>
            <w:noWrap/>
            <w:vAlign w:val="center"/>
            <w:hideMark/>
          </w:tcPr>
          <w:p w14:paraId="1D0E4DE8" w14:textId="37A1890E" w:rsidR="00F45CD2" w:rsidRPr="00F45CD2" w:rsidRDefault="00F45CD2" w:rsidP="00DE1080">
            <w:pPr>
              <w:jc w:val="center"/>
              <w:rPr>
                <w:rFonts w:ascii="Arial" w:hAnsi="Arial" w:cs="Arial"/>
                <w:color w:val="000000"/>
                <w:sz w:val="21"/>
                <w:szCs w:val="21"/>
              </w:rPr>
            </w:pPr>
            <w:r w:rsidRPr="00F45CD2">
              <w:rPr>
                <w:rFonts w:ascii="Arial" w:hAnsi="Arial" w:cs="Arial"/>
                <w:color w:val="000000"/>
                <w:sz w:val="21"/>
                <w:szCs w:val="21"/>
              </w:rPr>
              <w:t>6%</w:t>
            </w:r>
          </w:p>
        </w:tc>
        <w:tc>
          <w:tcPr>
            <w:tcW w:w="1817" w:type="dxa"/>
            <w:tcBorders>
              <w:top w:val="nil"/>
              <w:left w:val="nil"/>
              <w:bottom w:val="nil"/>
              <w:right w:val="nil"/>
            </w:tcBorders>
            <w:shd w:val="clear" w:color="000000" w:fill="FFFFFF"/>
            <w:noWrap/>
            <w:vAlign w:val="center"/>
            <w:hideMark/>
          </w:tcPr>
          <w:p w14:paraId="48CF7C98"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 xml:space="preserve">Hasta IBR </w:t>
            </w:r>
          </w:p>
        </w:tc>
      </w:tr>
      <w:tr w:rsidR="00F45CD2" w:rsidRPr="00F45CD2" w14:paraId="774B4398" w14:textId="7BEFC050" w:rsidTr="00F45CD2">
        <w:trPr>
          <w:trHeight w:val="360"/>
          <w:jc w:val="center"/>
        </w:trPr>
        <w:tc>
          <w:tcPr>
            <w:tcW w:w="1276" w:type="dxa"/>
            <w:tcBorders>
              <w:top w:val="nil"/>
              <w:left w:val="nil"/>
              <w:bottom w:val="single" w:sz="8" w:space="0" w:color="auto"/>
              <w:right w:val="nil"/>
            </w:tcBorders>
            <w:shd w:val="clear" w:color="auto" w:fill="auto"/>
            <w:vAlign w:val="center"/>
          </w:tcPr>
          <w:p w14:paraId="2126A9EC"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 xml:space="preserve">Grande </w:t>
            </w:r>
          </w:p>
        </w:tc>
        <w:tc>
          <w:tcPr>
            <w:tcW w:w="1275" w:type="dxa"/>
            <w:tcBorders>
              <w:top w:val="nil"/>
              <w:left w:val="nil"/>
              <w:bottom w:val="single" w:sz="8" w:space="0" w:color="auto"/>
              <w:right w:val="nil"/>
            </w:tcBorders>
            <w:shd w:val="clear" w:color="auto" w:fill="auto"/>
            <w:vAlign w:val="center"/>
          </w:tcPr>
          <w:p w14:paraId="63517F6D"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IBR + 0.9%</w:t>
            </w:r>
          </w:p>
        </w:tc>
        <w:tc>
          <w:tcPr>
            <w:tcW w:w="1134" w:type="dxa"/>
            <w:tcBorders>
              <w:top w:val="nil"/>
              <w:left w:val="nil"/>
              <w:bottom w:val="single" w:sz="8" w:space="0" w:color="auto"/>
              <w:right w:val="nil"/>
            </w:tcBorders>
            <w:shd w:val="clear" w:color="000000" w:fill="FFFFFF"/>
            <w:noWrap/>
            <w:vAlign w:val="center"/>
          </w:tcPr>
          <w:p w14:paraId="48925762" w14:textId="4C02CD9C" w:rsidR="00F45CD2" w:rsidRPr="00F45CD2" w:rsidRDefault="00F45CD2" w:rsidP="00DE1080">
            <w:pPr>
              <w:jc w:val="center"/>
              <w:rPr>
                <w:rFonts w:ascii="Arial" w:hAnsi="Arial" w:cs="Arial"/>
                <w:color w:val="000000"/>
                <w:sz w:val="21"/>
                <w:szCs w:val="21"/>
              </w:rPr>
            </w:pPr>
            <w:r w:rsidRPr="00F45CD2">
              <w:rPr>
                <w:rFonts w:ascii="Arial" w:hAnsi="Arial" w:cs="Arial"/>
                <w:color w:val="000000"/>
                <w:sz w:val="21"/>
                <w:szCs w:val="21"/>
              </w:rPr>
              <w:t>5%</w:t>
            </w:r>
          </w:p>
        </w:tc>
        <w:tc>
          <w:tcPr>
            <w:tcW w:w="1817" w:type="dxa"/>
            <w:tcBorders>
              <w:top w:val="nil"/>
              <w:left w:val="nil"/>
              <w:bottom w:val="single" w:sz="8" w:space="0" w:color="auto"/>
              <w:right w:val="nil"/>
            </w:tcBorders>
            <w:shd w:val="clear" w:color="000000" w:fill="FFFFFF"/>
            <w:noWrap/>
            <w:vAlign w:val="center"/>
          </w:tcPr>
          <w:p w14:paraId="312F1BD3" w14:textId="77777777" w:rsidR="00F45CD2" w:rsidRPr="00F45CD2" w:rsidRDefault="00F45CD2" w:rsidP="00DE1080">
            <w:pPr>
              <w:jc w:val="both"/>
              <w:rPr>
                <w:rFonts w:ascii="Arial" w:hAnsi="Arial" w:cs="Arial"/>
                <w:color w:val="000000"/>
                <w:sz w:val="21"/>
                <w:szCs w:val="21"/>
              </w:rPr>
            </w:pPr>
            <w:r w:rsidRPr="00F45CD2">
              <w:rPr>
                <w:rFonts w:ascii="Arial" w:hAnsi="Arial" w:cs="Arial"/>
                <w:color w:val="000000"/>
                <w:sz w:val="21"/>
                <w:szCs w:val="21"/>
              </w:rPr>
              <w:t>Hasta IBR</w:t>
            </w:r>
          </w:p>
        </w:tc>
      </w:tr>
    </w:tbl>
    <w:p w14:paraId="1D6D052C" w14:textId="77777777" w:rsidR="00914A9A" w:rsidRPr="00F45CD2" w:rsidRDefault="00914A9A" w:rsidP="00914A9A">
      <w:pPr>
        <w:ind w:left="708" w:firstLine="708"/>
        <w:jc w:val="both"/>
        <w:outlineLvl w:val="1"/>
        <w:rPr>
          <w:rFonts w:ascii="Arial" w:hAnsi="Arial" w:cs="Arial"/>
          <w:strike/>
          <w:color w:val="000000"/>
          <w:sz w:val="21"/>
          <w:szCs w:val="21"/>
          <w:lang w:eastAsia="es-ES"/>
        </w:rPr>
      </w:pPr>
      <w:r w:rsidRPr="00F45CD2">
        <w:rPr>
          <w:rFonts w:ascii="Arial" w:hAnsi="Arial" w:cs="Arial"/>
          <w:color w:val="000000"/>
          <w:sz w:val="21"/>
          <w:szCs w:val="21"/>
          <w:lang w:eastAsia="es-ES"/>
        </w:rPr>
        <w:t>IBR y spread en términos nominales</w:t>
      </w:r>
    </w:p>
    <w:p w14:paraId="3DD9BE08" w14:textId="4F45BD4D" w:rsidR="00E06E79" w:rsidRPr="00F45CD2" w:rsidRDefault="00E06E79" w:rsidP="00BE678E">
      <w:pPr>
        <w:rPr>
          <w:rFonts w:ascii="Arial" w:hAnsi="Arial" w:cs="Arial"/>
          <w:color w:val="000000"/>
          <w:sz w:val="21"/>
          <w:szCs w:val="21"/>
          <w:lang w:eastAsia="es-ES"/>
        </w:rPr>
      </w:pPr>
    </w:p>
    <w:p w14:paraId="641EF3F3" w14:textId="77777777" w:rsidR="004636E5" w:rsidRPr="00F45CD2" w:rsidRDefault="004636E5" w:rsidP="004636E5">
      <w:pPr>
        <w:pStyle w:val="c5"/>
        <w:tabs>
          <w:tab w:val="left" w:pos="1479"/>
        </w:tabs>
        <w:spacing w:line="240" w:lineRule="auto"/>
        <w:jc w:val="both"/>
        <w:rPr>
          <w:rFonts w:ascii="Arial" w:eastAsia="Arial" w:hAnsi="Arial" w:cs="Arial"/>
          <w:b/>
          <w:sz w:val="22"/>
          <w:szCs w:val="22"/>
          <w:lang w:eastAsia="es-CO" w:bidi="es-CO"/>
        </w:rPr>
      </w:pPr>
    </w:p>
    <w:p w14:paraId="6B29AAEC" w14:textId="45E6AC20" w:rsidR="009C0B5F" w:rsidRPr="00F45CD2" w:rsidRDefault="00A537D6" w:rsidP="009C0B5F">
      <w:pPr>
        <w:jc w:val="both"/>
        <w:rPr>
          <w:rFonts w:ascii="Arial" w:hAnsi="Arial" w:cs="Arial"/>
          <w:color w:val="000000"/>
          <w:sz w:val="22"/>
          <w:szCs w:val="22"/>
          <w:lang w:eastAsia="es-ES"/>
        </w:rPr>
      </w:pPr>
      <w:r w:rsidRPr="00F45CD2">
        <w:rPr>
          <w:rFonts w:ascii="Arial" w:hAnsi="Arial" w:cs="Arial"/>
          <w:b/>
          <w:color w:val="000000"/>
          <w:sz w:val="22"/>
          <w:szCs w:val="22"/>
          <w:lang w:eastAsia="es-ES"/>
        </w:rPr>
        <w:t>Parágrafo</w:t>
      </w:r>
      <w:r w:rsidR="004636E5" w:rsidRPr="00F45CD2">
        <w:rPr>
          <w:rFonts w:ascii="Arial" w:hAnsi="Arial" w:cs="Arial"/>
          <w:b/>
          <w:color w:val="000000"/>
          <w:sz w:val="22"/>
          <w:szCs w:val="22"/>
          <w:lang w:eastAsia="es-ES"/>
        </w:rPr>
        <w:t>.</w:t>
      </w:r>
      <w:r w:rsidR="004636E5" w:rsidRPr="00F45CD2">
        <w:rPr>
          <w:rFonts w:ascii="Arial" w:hAnsi="Arial" w:cs="Arial"/>
          <w:color w:val="000000"/>
          <w:sz w:val="22"/>
          <w:szCs w:val="22"/>
          <w:lang w:eastAsia="es-ES"/>
        </w:rPr>
        <w:t xml:space="preserve"> </w:t>
      </w:r>
      <w:r w:rsidR="009C0B5F" w:rsidRPr="00F45CD2">
        <w:rPr>
          <w:rFonts w:ascii="Arial" w:hAnsi="Arial" w:cs="Arial"/>
          <w:color w:val="000000"/>
          <w:sz w:val="22"/>
          <w:szCs w:val="22"/>
          <w:lang w:eastAsia="es-ES"/>
        </w:rPr>
        <w:t>Para efectos del numeral 2, dentro de</w:t>
      </w:r>
      <w:r w:rsidRPr="00F45CD2">
        <w:rPr>
          <w:rFonts w:ascii="Arial" w:hAnsi="Arial" w:cs="Arial"/>
          <w:color w:val="000000"/>
          <w:sz w:val="22"/>
          <w:szCs w:val="22"/>
          <w:lang w:eastAsia="es-ES"/>
        </w:rPr>
        <w:t xml:space="preserve"> descritas en los literales c y d</w:t>
      </w:r>
      <w:r w:rsidR="009C0B5F" w:rsidRPr="00F45CD2">
        <w:rPr>
          <w:rFonts w:ascii="Arial" w:hAnsi="Arial" w:cs="Arial"/>
          <w:color w:val="000000"/>
          <w:sz w:val="22"/>
          <w:szCs w:val="22"/>
          <w:lang w:eastAsia="es-ES"/>
        </w:rPr>
        <w:t xml:space="preserve"> podrán ser financiadas las necesidades de los productores correspondientes a gastos de transporte y comercialización de productos agropecuarios.</w:t>
      </w:r>
    </w:p>
    <w:p w14:paraId="14490FF2" w14:textId="484AAFFC" w:rsidR="004636E5" w:rsidRPr="00F45CD2" w:rsidRDefault="004636E5" w:rsidP="004636E5">
      <w:pPr>
        <w:pStyle w:val="c5"/>
        <w:tabs>
          <w:tab w:val="left" w:pos="1479"/>
        </w:tabs>
        <w:spacing w:line="240" w:lineRule="auto"/>
        <w:jc w:val="both"/>
        <w:rPr>
          <w:rFonts w:ascii="Arial" w:eastAsia="Arial" w:hAnsi="Arial" w:cs="Arial"/>
          <w:b/>
          <w:sz w:val="22"/>
          <w:szCs w:val="22"/>
          <w:lang w:val="es-CO" w:eastAsia="es-CO" w:bidi="es-CO"/>
        </w:rPr>
      </w:pPr>
    </w:p>
    <w:p w14:paraId="596A2AEF" w14:textId="5FDBDFAB" w:rsidR="004636E5" w:rsidRPr="00F45CD2" w:rsidRDefault="004636E5" w:rsidP="004636E5">
      <w:pPr>
        <w:pStyle w:val="c5"/>
        <w:tabs>
          <w:tab w:val="left" w:pos="1479"/>
        </w:tabs>
        <w:spacing w:line="240" w:lineRule="auto"/>
        <w:jc w:val="both"/>
        <w:rPr>
          <w:rFonts w:ascii="Arial" w:hAnsi="Arial" w:cs="Arial"/>
          <w:color w:val="000000" w:themeColor="text1"/>
          <w:sz w:val="22"/>
          <w:szCs w:val="22"/>
        </w:rPr>
      </w:pPr>
      <w:r w:rsidRPr="00F45CD2">
        <w:rPr>
          <w:rFonts w:ascii="Arial" w:eastAsia="Arial" w:hAnsi="Arial" w:cs="Arial"/>
          <w:b/>
          <w:sz w:val="22"/>
          <w:szCs w:val="22"/>
          <w:lang w:eastAsia="es-CO" w:bidi="es-CO"/>
        </w:rPr>
        <w:t xml:space="preserve">Artículo 3o. </w:t>
      </w:r>
      <w:r w:rsidR="00CF33D5" w:rsidRPr="00F45CD2">
        <w:rPr>
          <w:rFonts w:ascii="Arial" w:eastAsia="Arial" w:hAnsi="Arial" w:cs="Arial"/>
          <w:sz w:val="22"/>
          <w:szCs w:val="22"/>
          <w:lang w:eastAsia="es-CO" w:bidi="es-CO"/>
        </w:rPr>
        <w:t>Los términos y condiciones establecidos en la Resolución No. 18 de 2019 de la Comisión Nacional de Crédito Agropecuario permanecerán inalterados y conservarán toda su vigencia y efecto, en cuanto no se opongan a lo establecido en la presente resolución</w:t>
      </w:r>
      <w:r w:rsidR="004D2806" w:rsidRPr="00F45CD2">
        <w:rPr>
          <w:rFonts w:ascii="Arial" w:eastAsia="Arial" w:hAnsi="Arial" w:cs="Arial"/>
          <w:sz w:val="22"/>
          <w:szCs w:val="22"/>
          <w:lang w:eastAsia="es-CO" w:bidi="es-CO"/>
        </w:rPr>
        <w:t>. Estas también aplicarán para la</w:t>
      </w:r>
      <w:r w:rsidR="00CF33D5" w:rsidRPr="00F45CD2">
        <w:rPr>
          <w:rFonts w:ascii="Arial" w:eastAsia="Arial" w:hAnsi="Arial" w:cs="Arial"/>
          <w:sz w:val="22"/>
          <w:szCs w:val="22"/>
          <w:lang w:eastAsia="es-CO" w:bidi="es-CO"/>
        </w:rPr>
        <w:t xml:space="preserve"> LEC en el marco del Estado de Emergencia Económica, Social y Ecológica.</w:t>
      </w:r>
    </w:p>
    <w:p w14:paraId="3FFA812B" w14:textId="77777777" w:rsidR="004636E5" w:rsidRPr="00F45CD2" w:rsidRDefault="004636E5" w:rsidP="00914A9A">
      <w:pPr>
        <w:pStyle w:val="Textoindependiente"/>
        <w:ind w:left="100" w:right="68"/>
        <w:jc w:val="both"/>
        <w:rPr>
          <w:b/>
        </w:rPr>
      </w:pPr>
    </w:p>
    <w:p w14:paraId="1391386F" w14:textId="3F0085A5" w:rsidR="00914A9A" w:rsidRPr="00F45CD2" w:rsidRDefault="00914A9A" w:rsidP="004D2806">
      <w:pPr>
        <w:pStyle w:val="Textoindependiente"/>
        <w:ind w:right="68"/>
        <w:jc w:val="both"/>
      </w:pPr>
      <w:r w:rsidRPr="00F45CD2">
        <w:rPr>
          <w:b/>
        </w:rPr>
        <w:t xml:space="preserve">Artículo </w:t>
      </w:r>
      <w:r w:rsidR="00665200" w:rsidRPr="00F45CD2">
        <w:rPr>
          <w:b/>
        </w:rPr>
        <w:t>4</w:t>
      </w:r>
      <w:r w:rsidRPr="00F45CD2">
        <w:rPr>
          <w:b/>
        </w:rPr>
        <w:t>o.</w:t>
      </w:r>
      <w:r w:rsidRPr="00F45CD2">
        <w:rPr>
          <w:color w:val="000000" w:themeColor="text1"/>
        </w:rPr>
        <w:t xml:space="preserve">  </w:t>
      </w:r>
      <w:r w:rsidRPr="00F45CD2">
        <w:t>FINAGRO adoptará los procedimientos y medidas necesarias para el desarrollo de la presente Resolución</w:t>
      </w:r>
      <w:r w:rsidR="004D2806" w:rsidRPr="00F45CD2">
        <w:t xml:space="preserve"> </w:t>
      </w:r>
      <w:r w:rsidRPr="00F45CD2">
        <w:t>para lo cual expedirá la circula</w:t>
      </w:r>
      <w:r w:rsidR="004D2806" w:rsidRPr="00F45CD2">
        <w:t>r reglamentaria correspondiente, dentro de la cual se incluirá también lo referente a su control y seguimiento.</w:t>
      </w:r>
    </w:p>
    <w:p w14:paraId="452EC8ED" w14:textId="77777777" w:rsidR="00914A9A" w:rsidRPr="00F45CD2" w:rsidRDefault="00914A9A" w:rsidP="00307C48">
      <w:pPr>
        <w:pStyle w:val="Textoindependiente"/>
        <w:ind w:right="68"/>
        <w:jc w:val="both"/>
        <w:rPr>
          <w:sz w:val="21"/>
        </w:rPr>
      </w:pPr>
    </w:p>
    <w:p w14:paraId="2EDEF454" w14:textId="2F2374B8" w:rsidR="00914A9A" w:rsidRDefault="00665200" w:rsidP="00307C48">
      <w:pPr>
        <w:pStyle w:val="Textoindependiente"/>
        <w:ind w:right="68"/>
        <w:jc w:val="both"/>
      </w:pPr>
      <w:r w:rsidRPr="00F45CD2">
        <w:rPr>
          <w:b/>
        </w:rPr>
        <w:t>Artículo 5</w:t>
      </w:r>
      <w:r w:rsidR="00914A9A" w:rsidRPr="00F45CD2">
        <w:rPr>
          <w:b/>
        </w:rPr>
        <w:t>o.</w:t>
      </w:r>
      <w:r w:rsidR="00914A9A" w:rsidRPr="00F45CD2">
        <w:t xml:space="preserve"> La presente Resolución rige a partir de la fecha de su publicación en el Diario Oficial y deroga</w:t>
      </w:r>
      <w:r w:rsidR="00914A9A" w:rsidRPr="001D4B74">
        <w:t xml:space="preserve"> aquellas resoluciones</w:t>
      </w:r>
      <w:r w:rsidR="00914A9A">
        <w:t xml:space="preserve"> que le sean contrarias</w:t>
      </w:r>
      <w:r w:rsidR="00914A9A" w:rsidRPr="00446DE1">
        <w:t>, así como sus modificaciones</w:t>
      </w:r>
      <w:r w:rsidR="00914A9A">
        <w:t>, y sus efectos aplicarán a partir de la fecha en que FINAGRO disponga de los recursos presupuestales.</w:t>
      </w:r>
    </w:p>
    <w:p w14:paraId="3A501840" w14:textId="77777777" w:rsidR="00914A9A" w:rsidRPr="008043A6" w:rsidRDefault="00914A9A" w:rsidP="00307C48">
      <w:pPr>
        <w:pStyle w:val="Textoindependiente"/>
        <w:ind w:right="68"/>
        <w:jc w:val="both"/>
        <w:rPr>
          <w:b/>
        </w:rPr>
      </w:pPr>
    </w:p>
    <w:p w14:paraId="2DBF3202" w14:textId="77777777" w:rsidR="00914A9A" w:rsidRPr="00446DE1" w:rsidRDefault="00914A9A" w:rsidP="00307C48">
      <w:pPr>
        <w:pStyle w:val="Textoindependiente"/>
        <w:ind w:right="68"/>
        <w:jc w:val="both"/>
        <w:rPr>
          <w:sz w:val="21"/>
        </w:rPr>
      </w:pPr>
    </w:p>
    <w:p w14:paraId="1AEE39A4" w14:textId="56A4CA9E" w:rsidR="00914A9A" w:rsidRPr="00446DE1" w:rsidRDefault="00914A9A" w:rsidP="00307C48">
      <w:pPr>
        <w:pStyle w:val="Textoindependiente"/>
        <w:ind w:right="68"/>
        <w:jc w:val="both"/>
      </w:pPr>
      <w:r w:rsidRPr="00446DE1">
        <w:t xml:space="preserve">Dada en Bogotá, </w:t>
      </w:r>
      <w:r w:rsidRPr="00D16DB2">
        <w:rPr>
          <w:color w:val="000000" w:themeColor="text1"/>
        </w:rPr>
        <w:t xml:space="preserve">D.C. </w:t>
      </w:r>
      <w:r w:rsidRPr="00410CDE">
        <w:rPr>
          <w:color w:val="000000" w:themeColor="text1"/>
          <w:highlight w:val="yellow"/>
        </w:rPr>
        <w:t xml:space="preserve">a los </w:t>
      </w:r>
      <w:r w:rsidR="008F65EC">
        <w:rPr>
          <w:color w:val="000000" w:themeColor="text1"/>
          <w:highlight w:val="yellow"/>
        </w:rPr>
        <w:t>veintisiete</w:t>
      </w:r>
      <w:r w:rsidRPr="00410CDE">
        <w:rPr>
          <w:color w:val="000000" w:themeColor="text1"/>
          <w:highlight w:val="yellow"/>
        </w:rPr>
        <w:t xml:space="preserve"> (</w:t>
      </w:r>
      <w:r>
        <w:rPr>
          <w:color w:val="000000" w:themeColor="text1"/>
          <w:highlight w:val="yellow"/>
        </w:rPr>
        <w:t>2</w:t>
      </w:r>
      <w:r w:rsidR="00F45CD2">
        <w:rPr>
          <w:color w:val="000000" w:themeColor="text1"/>
          <w:highlight w:val="yellow"/>
        </w:rPr>
        <w:t>7</w:t>
      </w:r>
      <w:r w:rsidRPr="00410CDE">
        <w:rPr>
          <w:color w:val="000000" w:themeColor="text1"/>
          <w:highlight w:val="yellow"/>
        </w:rPr>
        <w:t xml:space="preserve">) días </w:t>
      </w:r>
      <w:r w:rsidRPr="00641AB5">
        <w:rPr>
          <w:color w:val="000000" w:themeColor="text1"/>
        </w:rPr>
        <w:t xml:space="preserve">del mes de marzo de dos </w:t>
      </w:r>
      <w:r w:rsidRPr="00641AB5">
        <w:t>mil veinte (2020).</w:t>
      </w:r>
    </w:p>
    <w:p w14:paraId="402603EC" w14:textId="77777777" w:rsidR="00914A9A" w:rsidRPr="00446DE1" w:rsidRDefault="00914A9A" w:rsidP="00914A9A">
      <w:pPr>
        <w:pStyle w:val="Textoindependiente"/>
        <w:ind w:right="68"/>
        <w:jc w:val="both"/>
        <w:rPr>
          <w:sz w:val="24"/>
        </w:rPr>
      </w:pPr>
    </w:p>
    <w:p w14:paraId="0D71492F" w14:textId="77777777" w:rsidR="00914A9A" w:rsidRPr="00446DE1" w:rsidRDefault="00914A9A" w:rsidP="00914A9A">
      <w:pPr>
        <w:pStyle w:val="Textoindependiente"/>
        <w:jc w:val="both"/>
        <w:rPr>
          <w:sz w:val="24"/>
        </w:rPr>
      </w:pPr>
    </w:p>
    <w:p w14:paraId="4E113863" w14:textId="77777777" w:rsidR="00914A9A" w:rsidRPr="00446DE1" w:rsidRDefault="00914A9A" w:rsidP="00914A9A">
      <w:pPr>
        <w:pStyle w:val="Textoindependiente"/>
        <w:jc w:val="both"/>
        <w:rPr>
          <w:sz w:val="24"/>
        </w:rPr>
      </w:pPr>
    </w:p>
    <w:p w14:paraId="05ACFD2B" w14:textId="77777777" w:rsidR="00914A9A" w:rsidRPr="00446DE1" w:rsidRDefault="00914A9A" w:rsidP="00914A9A">
      <w:pPr>
        <w:pStyle w:val="Textoindependiente"/>
        <w:jc w:val="both"/>
        <w:rPr>
          <w:sz w:val="24"/>
        </w:rPr>
      </w:pPr>
    </w:p>
    <w:p w14:paraId="58790DDF" w14:textId="77777777" w:rsidR="00914A9A" w:rsidRDefault="00914A9A" w:rsidP="00914A9A">
      <w:pPr>
        <w:pStyle w:val="Textoindependiente"/>
        <w:jc w:val="both"/>
        <w:rPr>
          <w:sz w:val="24"/>
        </w:rPr>
      </w:pPr>
    </w:p>
    <w:p w14:paraId="37160725" w14:textId="77777777" w:rsidR="00914A9A" w:rsidRPr="00446DE1" w:rsidRDefault="00914A9A" w:rsidP="00914A9A">
      <w:pPr>
        <w:pStyle w:val="Textoindependiente"/>
        <w:jc w:val="both"/>
        <w:rPr>
          <w:sz w:val="24"/>
        </w:rPr>
      </w:pPr>
    </w:p>
    <w:p w14:paraId="631CD5D4" w14:textId="77777777" w:rsidR="00914A9A" w:rsidRPr="00446DE1" w:rsidRDefault="00914A9A" w:rsidP="00914A9A">
      <w:pPr>
        <w:pStyle w:val="Textoindependiente"/>
        <w:jc w:val="both"/>
        <w:rPr>
          <w:sz w:val="24"/>
        </w:rPr>
      </w:pPr>
    </w:p>
    <w:p w14:paraId="6444197A" w14:textId="77777777" w:rsidR="00914A9A" w:rsidRPr="00446DE1" w:rsidRDefault="00914A9A" w:rsidP="00914A9A">
      <w:pPr>
        <w:pStyle w:val="Textoindependiente"/>
        <w:jc w:val="both"/>
        <w:rPr>
          <w:sz w:val="24"/>
        </w:rPr>
      </w:pPr>
    </w:p>
    <w:p w14:paraId="23925A01" w14:textId="3C362DC7" w:rsidR="00914A9A" w:rsidRPr="00446DE1" w:rsidRDefault="00914A9A" w:rsidP="00914A9A">
      <w:pPr>
        <w:pStyle w:val="Textoindependiente"/>
        <w:tabs>
          <w:tab w:val="left" w:pos="5117"/>
        </w:tabs>
        <w:ind w:left="100"/>
        <w:jc w:val="both"/>
      </w:pPr>
      <w:r>
        <w:t xml:space="preserve">    </w:t>
      </w:r>
      <w:r w:rsidR="00F45CD2">
        <w:t>RODOLFO ENRIQUE ZEA NAVARRO</w:t>
      </w:r>
      <w:r>
        <w:t xml:space="preserve">                       </w:t>
      </w:r>
      <w:r w:rsidRPr="00446DE1">
        <w:t>ANDRÉS</w:t>
      </w:r>
      <w:r>
        <w:t xml:space="preserve"> </w:t>
      </w:r>
      <w:r w:rsidRPr="00446DE1">
        <w:t>LOZANO KARANAUSKAS</w:t>
      </w:r>
    </w:p>
    <w:p w14:paraId="4093956E" w14:textId="47708559" w:rsidR="00914A9A" w:rsidRDefault="00914A9A" w:rsidP="00914A9A">
      <w:pPr>
        <w:pStyle w:val="Textoindependiente"/>
        <w:tabs>
          <w:tab w:val="left" w:pos="4996"/>
        </w:tabs>
        <w:ind w:right="761"/>
        <w:jc w:val="both"/>
      </w:pPr>
      <w:r>
        <w:t xml:space="preserve">                 </w:t>
      </w:r>
      <w:r w:rsidR="00F45CD2">
        <w:t xml:space="preserve">     </w:t>
      </w:r>
      <w:r>
        <w:t xml:space="preserve">    </w:t>
      </w:r>
      <w:r w:rsidRPr="00446DE1">
        <w:t>Presidente</w:t>
      </w:r>
      <w:r w:rsidRPr="00446DE1">
        <w:tab/>
      </w:r>
      <w:r w:rsidR="001D4B74">
        <w:t xml:space="preserve">       </w:t>
      </w:r>
      <w:r w:rsidR="00F45CD2">
        <w:tab/>
        <w:t xml:space="preserve">    </w:t>
      </w:r>
      <w:r w:rsidR="001D4B74">
        <w:t xml:space="preserve">  </w:t>
      </w:r>
      <w:r w:rsidRPr="00446DE1">
        <w:t>Secretario Técnico</w:t>
      </w:r>
    </w:p>
    <w:p w14:paraId="78D87838" w14:textId="77777777" w:rsidR="00F46833" w:rsidRDefault="00F46833"/>
    <w:sectPr w:rsidR="00F468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B21"/>
    <w:multiLevelType w:val="hybridMultilevel"/>
    <w:tmpl w:val="586EFC14"/>
    <w:lvl w:ilvl="0" w:tplc="7D9C51CA">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9A"/>
    <w:rsid w:val="0003591D"/>
    <w:rsid w:val="001D4B74"/>
    <w:rsid w:val="00233E01"/>
    <w:rsid w:val="00240F3A"/>
    <w:rsid w:val="002B0407"/>
    <w:rsid w:val="002E0AFD"/>
    <w:rsid w:val="00307C48"/>
    <w:rsid w:val="003321FF"/>
    <w:rsid w:val="003548CA"/>
    <w:rsid w:val="00371E43"/>
    <w:rsid w:val="0039028B"/>
    <w:rsid w:val="004636E5"/>
    <w:rsid w:val="00463CB2"/>
    <w:rsid w:val="00466AAD"/>
    <w:rsid w:val="00484A4D"/>
    <w:rsid w:val="004861F4"/>
    <w:rsid w:val="004D2806"/>
    <w:rsid w:val="005341BA"/>
    <w:rsid w:val="00565594"/>
    <w:rsid w:val="00586273"/>
    <w:rsid w:val="005872A6"/>
    <w:rsid w:val="005A52B5"/>
    <w:rsid w:val="005D2F71"/>
    <w:rsid w:val="00617BE7"/>
    <w:rsid w:val="0064188C"/>
    <w:rsid w:val="0065578B"/>
    <w:rsid w:val="00665200"/>
    <w:rsid w:val="006844AE"/>
    <w:rsid w:val="006A17AB"/>
    <w:rsid w:val="00762389"/>
    <w:rsid w:val="00782AB5"/>
    <w:rsid w:val="007C446C"/>
    <w:rsid w:val="007D47ED"/>
    <w:rsid w:val="007D555B"/>
    <w:rsid w:val="007D77BD"/>
    <w:rsid w:val="0084654E"/>
    <w:rsid w:val="00884427"/>
    <w:rsid w:val="008925F9"/>
    <w:rsid w:val="008B0043"/>
    <w:rsid w:val="008B16E1"/>
    <w:rsid w:val="008B33E1"/>
    <w:rsid w:val="008F65EC"/>
    <w:rsid w:val="00901769"/>
    <w:rsid w:val="00914A9A"/>
    <w:rsid w:val="00952F6A"/>
    <w:rsid w:val="009C0B5F"/>
    <w:rsid w:val="009F7DF0"/>
    <w:rsid w:val="00A238ED"/>
    <w:rsid w:val="00A537D6"/>
    <w:rsid w:val="00A9132E"/>
    <w:rsid w:val="00B418EF"/>
    <w:rsid w:val="00BE678E"/>
    <w:rsid w:val="00C0632E"/>
    <w:rsid w:val="00C55E3A"/>
    <w:rsid w:val="00C962E4"/>
    <w:rsid w:val="00CB3345"/>
    <w:rsid w:val="00CC0B4C"/>
    <w:rsid w:val="00CF33D5"/>
    <w:rsid w:val="00D52D22"/>
    <w:rsid w:val="00D83E76"/>
    <w:rsid w:val="00D933B7"/>
    <w:rsid w:val="00DE1080"/>
    <w:rsid w:val="00E06E79"/>
    <w:rsid w:val="00E13FC3"/>
    <w:rsid w:val="00E52283"/>
    <w:rsid w:val="00EC000C"/>
    <w:rsid w:val="00F45CD2"/>
    <w:rsid w:val="00F46833"/>
    <w:rsid w:val="00F5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2A27"/>
  <w15:chartTrackingRefBased/>
  <w15:docId w15:val="{0F28F91E-FD08-4C24-8E33-9F1273A8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9A"/>
    <w:pPr>
      <w:spacing w:after="0" w:line="240" w:lineRule="auto"/>
    </w:pPr>
    <w:rPr>
      <w:rFonts w:ascii="Times New Roman" w:eastAsia="Times New Roman" w:hAnsi="Times New Roman" w:cs="Times New Roman"/>
      <w:sz w:val="24"/>
      <w:szCs w:val="24"/>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914A9A"/>
    <w:pPr>
      <w:ind w:left="720"/>
      <w:contextualSpacing/>
    </w:pPr>
  </w:style>
  <w:style w:type="paragraph" w:styleId="Textoindependiente">
    <w:name w:val="Body Text"/>
    <w:basedOn w:val="Normal"/>
    <w:link w:val="TextoindependienteCar"/>
    <w:uiPriority w:val="1"/>
    <w:qFormat/>
    <w:rsid w:val="00914A9A"/>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914A9A"/>
    <w:rPr>
      <w:rFonts w:ascii="Arial" w:eastAsia="Arial" w:hAnsi="Arial" w:cs="Arial"/>
      <w:lang w:val="es-ES" w:eastAsia="es-ES" w:bidi="es-ES"/>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914A9A"/>
    <w:rPr>
      <w:rFonts w:ascii="Times New Roman" w:eastAsia="Times New Roman" w:hAnsi="Times New Roman" w:cs="Times New Roman"/>
      <w:sz w:val="24"/>
      <w:szCs w:val="24"/>
      <w:lang w:val="es-CO" w:eastAsia="es-ES_tradnl"/>
    </w:rPr>
  </w:style>
  <w:style w:type="paragraph" w:customStyle="1" w:styleId="c5">
    <w:name w:val="c5"/>
    <w:basedOn w:val="Normal"/>
    <w:uiPriority w:val="99"/>
    <w:rsid w:val="00914A9A"/>
    <w:pPr>
      <w:autoSpaceDE w:val="0"/>
      <w:autoSpaceDN w:val="0"/>
      <w:spacing w:line="240" w:lineRule="atLeast"/>
      <w:jc w:val="center"/>
    </w:pPr>
    <w:rPr>
      <w:lang w:val="es-ES" w:eastAsia="es-ES"/>
    </w:rPr>
  </w:style>
  <w:style w:type="character" w:styleId="Refdecomentario">
    <w:name w:val="annotation reference"/>
    <w:basedOn w:val="Fuentedeprrafopredeter"/>
    <w:uiPriority w:val="99"/>
    <w:semiHidden/>
    <w:unhideWhenUsed/>
    <w:rsid w:val="00CB3345"/>
    <w:rPr>
      <w:sz w:val="16"/>
      <w:szCs w:val="16"/>
    </w:rPr>
  </w:style>
  <w:style w:type="paragraph" w:styleId="Textocomentario">
    <w:name w:val="annotation text"/>
    <w:basedOn w:val="Normal"/>
    <w:link w:val="TextocomentarioCar"/>
    <w:uiPriority w:val="99"/>
    <w:unhideWhenUsed/>
    <w:rsid w:val="00CB3345"/>
    <w:rPr>
      <w:sz w:val="20"/>
      <w:szCs w:val="20"/>
    </w:rPr>
  </w:style>
  <w:style w:type="character" w:customStyle="1" w:styleId="TextocomentarioCar">
    <w:name w:val="Texto comentario Car"/>
    <w:basedOn w:val="Fuentedeprrafopredeter"/>
    <w:link w:val="Textocomentario"/>
    <w:uiPriority w:val="99"/>
    <w:rsid w:val="00CB3345"/>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CB3345"/>
    <w:rPr>
      <w:b/>
      <w:bCs/>
    </w:rPr>
  </w:style>
  <w:style w:type="character" w:customStyle="1" w:styleId="AsuntodelcomentarioCar">
    <w:name w:val="Asunto del comentario Car"/>
    <w:basedOn w:val="TextocomentarioCar"/>
    <w:link w:val="Asuntodelcomentario"/>
    <w:uiPriority w:val="99"/>
    <w:semiHidden/>
    <w:rsid w:val="00CB3345"/>
    <w:rPr>
      <w:rFonts w:ascii="Times New Roman" w:eastAsia="Times New Roman" w:hAnsi="Times New Roman" w:cs="Times New Roman"/>
      <w:b/>
      <w:bCs/>
      <w:sz w:val="20"/>
      <w:szCs w:val="20"/>
      <w:lang w:val="es-CO" w:eastAsia="es-ES_tradnl"/>
    </w:rPr>
  </w:style>
  <w:style w:type="paragraph" w:styleId="Revisin">
    <w:name w:val="Revision"/>
    <w:hidden/>
    <w:uiPriority w:val="99"/>
    <w:semiHidden/>
    <w:rsid w:val="00CB3345"/>
    <w:pPr>
      <w:spacing w:after="0" w:line="240" w:lineRule="auto"/>
    </w:pPr>
    <w:rPr>
      <w:rFonts w:ascii="Times New Roman" w:eastAsia="Times New Roman" w:hAnsi="Times New Roman" w:cs="Times New Roman"/>
      <w:sz w:val="24"/>
      <w:szCs w:val="24"/>
      <w:lang w:val="es-CO" w:eastAsia="es-ES_tradnl"/>
    </w:rPr>
  </w:style>
  <w:style w:type="paragraph" w:styleId="Textodeglobo">
    <w:name w:val="Balloon Text"/>
    <w:basedOn w:val="Normal"/>
    <w:link w:val="TextodegloboCar"/>
    <w:uiPriority w:val="99"/>
    <w:semiHidden/>
    <w:unhideWhenUsed/>
    <w:rsid w:val="00CB33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345"/>
    <w:rPr>
      <w:rFonts w:ascii="Segoe UI" w:eastAsia="Times New Roman" w:hAnsi="Segoe UI" w:cs="Segoe UI"/>
      <w:sz w:val="18"/>
      <w:szCs w:val="18"/>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1152</Words>
  <Characters>6572</Characters>
  <Application>Microsoft Office Word</Application>
  <DocSecurity>0</DocSecurity>
  <Lines>54</Lines>
  <Paragraphs>15</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    </vt:lpstr>
      <vt:lpstr>    LA COMISIÓN NACIONAL DE CRÉDITO AGROPECUARIO</vt:lpstr>
      <vt:lpstr>    </vt:lpstr>
      <vt:lpstr>    Condiciones financieras en DTF</vt:lpstr>
      <vt:lpstr>    e.a.: efectivo anual</vt:lpstr>
      <vt:lpstr>    </vt:lpstr>
      <vt:lpstr>    Condiciones financieras en IBR</vt:lpstr>
      <vt:lpstr>    IBR y spread en términos nominales</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Lozano</dc:creator>
  <cp:keywords/>
  <dc:description/>
  <cp:lastModifiedBy>Andres Lozano</cp:lastModifiedBy>
  <cp:revision>9</cp:revision>
  <cp:lastPrinted>2020-03-20T18:50:00Z</cp:lastPrinted>
  <dcterms:created xsi:type="dcterms:W3CDTF">2020-03-25T13:27:00Z</dcterms:created>
  <dcterms:modified xsi:type="dcterms:W3CDTF">2020-03-25T22:31:00Z</dcterms:modified>
</cp:coreProperties>
</file>