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27" w:rsidRPr="0005684F" w:rsidRDefault="008A4E27" w:rsidP="008A4E27">
      <w:pPr>
        <w:pStyle w:val="c4"/>
        <w:tabs>
          <w:tab w:val="left" w:pos="-374"/>
          <w:tab w:val="left" w:pos="0"/>
        </w:tabs>
        <w:spacing w:line="240" w:lineRule="auto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  <w:r w:rsidRPr="0005684F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REPÚBLICA DE COLOMBIA</w:t>
      </w:r>
    </w:p>
    <w:p w:rsidR="008A4E27" w:rsidRPr="0005684F" w:rsidRDefault="008A4E27" w:rsidP="008A4E27">
      <w:pPr>
        <w:tabs>
          <w:tab w:val="left" w:pos="204"/>
        </w:tabs>
        <w:jc w:val="center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</w:p>
    <w:p w:rsidR="008A4E27" w:rsidRPr="0005684F" w:rsidRDefault="008A4E27" w:rsidP="008A4E27">
      <w:pPr>
        <w:pStyle w:val="c4"/>
        <w:tabs>
          <w:tab w:val="left" w:pos="204"/>
        </w:tabs>
        <w:spacing w:line="240" w:lineRule="auto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  <w:r w:rsidRPr="0005684F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COMISIÓN NACIONAL DE CRÉDITO AGROPECUARIO</w:t>
      </w:r>
    </w:p>
    <w:p w:rsidR="008A4E27" w:rsidRPr="0005684F" w:rsidRDefault="008A4E27" w:rsidP="008A4E27">
      <w:pPr>
        <w:tabs>
          <w:tab w:val="left" w:pos="204"/>
        </w:tabs>
        <w:jc w:val="center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</w:p>
    <w:p w:rsidR="008A4E27" w:rsidRPr="0005684F" w:rsidRDefault="008A4E27" w:rsidP="008A4E27">
      <w:pPr>
        <w:pStyle w:val="c5"/>
        <w:tabs>
          <w:tab w:val="left" w:pos="204"/>
        </w:tabs>
        <w:spacing w:line="240" w:lineRule="auto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  <w:r w:rsidRPr="0005684F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RESOLUCIÓN No.__ DE 2019</w:t>
      </w:r>
    </w:p>
    <w:p w:rsidR="008A4E27" w:rsidRPr="0005684F" w:rsidRDefault="008A4E27" w:rsidP="008A4E27">
      <w:pPr>
        <w:pStyle w:val="c5"/>
        <w:tabs>
          <w:tab w:val="left" w:pos="204"/>
        </w:tabs>
        <w:spacing w:line="240" w:lineRule="auto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  <w:r w:rsidRPr="0005684F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 xml:space="preserve">(Febrero </w:t>
      </w:r>
      <w:r w:rsidR="0088573F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 xml:space="preserve">XX </w:t>
      </w:r>
      <w:r w:rsidRPr="0005684F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)</w:t>
      </w:r>
    </w:p>
    <w:p w:rsidR="008A4E27" w:rsidRPr="0005684F" w:rsidRDefault="008A4E27" w:rsidP="008A4E27">
      <w:pPr>
        <w:tabs>
          <w:tab w:val="left" w:pos="204"/>
        </w:tabs>
        <w:jc w:val="center"/>
        <w:rPr>
          <w:rFonts w:ascii="Arial" w:hAnsi="Arial" w:cs="Arial"/>
          <w:color w:val="000000" w:themeColor="text1"/>
          <w:sz w:val="22"/>
          <w:szCs w:val="22"/>
          <w:lang w:val="es-CO"/>
        </w:rPr>
      </w:pPr>
    </w:p>
    <w:p w:rsidR="008A4E27" w:rsidRPr="0005684F" w:rsidRDefault="008A4E27" w:rsidP="008A4E27">
      <w:pPr>
        <w:pStyle w:val="c5"/>
        <w:tabs>
          <w:tab w:val="left" w:pos="204"/>
        </w:tabs>
        <w:spacing w:line="240" w:lineRule="auto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05684F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“Por la cual se </w:t>
      </w:r>
      <w:r w:rsidR="000E2DDB" w:rsidRPr="0005684F">
        <w:rPr>
          <w:rFonts w:ascii="Arial" w:hAnsi="Arial" w:cs="Arial"/>
          <w:color w:val="000000" w:themeColor="text1"/>
          <w:sz w:val="22"/>
          <w:szCs w:val="22"/>
          <w:lang w:val="es-CO"/>
        </w:rPr>
        <w:t>modifica la Resolución No. 12 de 2018</w:t>
      </w:r>
      <w:r w:rsidRPr="0005684F">
        <w:rPr>
          <w:rFonts w:ascii="Arial" w:hAnsi="Arial" w:cs="Arial"/>
          <w:color w:val="000000" w:themeColor="text1"/>
          <w:sz w:val="22"/>
          <w:szCs w:val="22"/>
          <w:lang w:val="es-CO"/>
        </w:rPr>
        <w:t>”</w:t>
      </w:r>
    </w:p>
    <w:p w:rsidR="008A4E27" w:rsidRPr="0005684F" w:rsidRDefault="008A4E27" w:rsidP="008A4E27">
      <w:pPr>
        <w:tabs>
          <w:tab w:val="left" w:pos="204"/>
        </w:tabs>
        <w:jc w:val="center"/>
        <w:rPr>
          <w:rFonts w:ascii="Arial" w:hAnsi="Arial" w:cs="Arial"/>
          <w:color w:val="000000" w:themeColor="text1"/>
          <w:sz w:val="22"/>
          <w:szCs w:val="22"/>
          <w:lang w:val="es-CO"/>
        </w:rPr>
      </w:pPr>
    </w:p>
    <w:p w:rsidR="008A4E27" w:rsidRPr="0005684F" w:rsidRDefault="008A4E27" w:rsidP="008A4E27">
      <w:pPr>
        <w:pStyle w:val="c5"/>
        <w:tabs>
          <w:tab w:val="left" w:pos="204"/>
        </w:tabs>
        <w:spacing w:line="240" w:lineRule="auto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  <w:r w:rsidRPr="0005684F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COMISIÓN NACIONAL DE CRÉDITO AGROPECUARIO</w:t>
      </w:r>
    </w:p>
    <w:p w:rsidR="008A4E27" w:rsidRPr="0005684F" w:rsidRDefault="008A4E27" w:rsidP="008A4E27">
      <w:pPr>
        <w:tabs>
          <w:tab w:val="left" w:pos="204"/>
        </w:tabs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</w:p>
    <w:p w:rsidR="008A4E27" w:rsidRPr="0005684F" w:rsidRDefault="008A4E27" w:rsidP="008A4E27">
      <w:pPr>
        <w:pStyle w:val="p6"/>
        <w:spacing w:line="240" w:lineRule="auto"/>
        <w:ind w:left="0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05684F">
        <w:rPr>
          <w:rFonts w:ascii="Arial" w:hAnsi="Arial" w:cs="Arial"/>
          <w:color w:val="000000" w:themeColor="text1"/>
          <w:sz w:val="22"/>
          <w:szCs w:val="22"/>
          <w:lang w:val="es-CO"/>
        </w:rPr>
        <w:t>En ejercicio de las facultades conferidas por los artículos 218 y 220 del Estatuto Orgánico del Sistema Financiero, las Leyes 16 de 1990, 101 de 1993,1133 de 2007, 1731 de 2014, el Decreto Ley 2371 de 2015, y los Decretos 1313 de 1990, y</w:t>
      </w:r>
    </w:p>
    <w:p w:rsidR="008A4E27" w:rsidRPr="0005684F" w:rsidRDefault="008A4E27" w:rsidP="008A4E27">
      <w:pPr>
        <w:tabs>
          <w:tab w:val="left" w:pos="1479"/>
        </w:tabs>
        <w:jc w:val="center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</w:p>
    <w:p w:rsidR="008A4E27" w:rsidRPr="0005684F" w:rsidRDefault="008A4E27" w:rsidP="008A4E27">
      <w:pPr>
        <w:tabs>
          <w:tab w:val="left" w:pos="1479"/>
        </w:tabs>
        <w:jc w:val="center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  <w:r w:rsidRPr="0005684F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CONSIDERANDO</w:t>
      </w:r>
    </w:p>
    <w:p w:rsidR="008A4E27" w:rsidRPr="0005684F" w:rsidRDefault="008A4E27" w:rsidP="008A4E27">
      <w:pPr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</w:p>
    <w:p w:rsidR="008A4E27" w:rsidRPr="0005684F" w:rsidRDefault="008A4E27" w:rsidP="008A4E27">
      <w:pPr>
        <w:widowControl w:val="0"/>
        <w:autoSpaceDE w:val="0"/>
        <w:autoSpaceDN w:val="0"/>
        <w:ind w:right="81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CO" w:eastAsia="es-CO" w:bidi="es-CO"/>
        </w:rPr>
      </w:pPr>
      <w:r w:rsidRPr="0005684F">
        <w:rPr>
          <w:rFonts w:ascii="Arial" w:eastAsia="Arial" w:hAnsi="Arial" w:cs="Arial"/>
          <w:b/>
          <w:color w:val="000000" w:themeColor="text1"/>
          <w:sz w:val="22"/>
          <w:szCs w:val="22"/>
          <w:lang w:val="es-CO" w:eastAsia="es-CO" w:bidi="es-CO"/>
        </w:rPr>
        <w:t>Primero</w:t>
      </w:r>
      <w:r w:rsidRPr="0005684F">
        <w:rPr>
          <w:rFonts w:ascii="Arial" w:eastAsia="Arial" w:hAnsi="Arial" w:cs="Arial"/>
          <w:color w:val="000000" w:themeColor="text1"/>
          <w:sz w:val="22"/>
          <w:szCs w:val="22"/>
          <w:lang w:val="es-CO" w:eastAsia="es-CO" w:bidi="es-CO"/>
        </w:rPr>
        <w:t>. Que de acuerdo con lo dispuesto en el literal n), numeral 2. del artículo 218 del Estatuto Orgánico del Sistema Financiero, modificado por el artículo 2</w:t>
      </w:r>
      <w:r w:rsidR="00CC4E45" w:rsidRPr="0005684F">
        <w:rPr>
          <w:rFonts w:ascii="Arial" w:eastAsia="Arial" w:hAnsi="Arial" w:cs="Arial"/>
          <w:color w:val="000000" w:themeColor="text1"/>
          <w:sz w:val="22"/>
          <w:szCs w:val="22"/>
          <w:lang w:val="es-CO" w:eastAsia="es-CO" w:bidi="es-CO"/>
        </w:rPr>
        <w:t>o.</w:t>
      </w:r>
      <w:r w:rsidRPr="0005684F">
        <w:rPr>
          <w:rFonts w:ascii="Arial" w:eastAsia="Arial" w:hAnsi="Arial" w:cs="Arial"/>
          <w:color w:val="000000" w:themeColor="text1"/>
          <w:sz w:val="22"/>
          <w:szCs w:val="22"/>
          <w:lang w:val="es-CO" w:eastAsia="es-CO" w:bidi="es-CO"/>
        </w:rPr>
        <w:t xml:space="preserve"> del Decreto Ley 2371 de 2015, la Comisión Nacional de Crédito Agropecuario - CNCA, podrá:</w:t>
      </w:r>
    </w:p>
    <w:p w:rsidR="008A4E27" w:rsidRPr="0005684F" w:rsidRDefault="008A4E27" w:rsidP="008A4E27">
      <w:pPr>
        <w:widowControl w:val="0"/>
        <w:autoSpaceDE w:val="0"/>
        <w:autoSpaceDN w:val="0"/>
        <w:spacing w:before="183"/>
        <w:ind w:right="81"/>
        <w:jc w:val="both"/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</w:pPr>
      <w:r w:rsidRPr="0005684F"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t xml:space="preserve">“(…) </w:t>
      </w:r>
    </w:p>
    <w:p w:rsidR="008A4E27" w:rsidRPr="0005684F" w:rsidRDefault="008A4E27" w:rsidP="008A4E27">
      <w:pPr>
        <w:widowControl w:val="0"/>
        <w:autoSpaceDE w:val="0"/>
        <w:autoSpaceDN w:val="0"/>
        <w:spacing w:before="183"/>
        <w:ind w:right="81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CO" w:eastAsia="es-CO" w:bidi="es-CO"/>
        </w:rPr>
      </w:pPr>
      <w:r w:rsidRPr="0005684F"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t>n) Establecer, con base en la política trazada por el Ministerio de Agricultura y Desarrollo Rural, los términos y las condiciones financieras de las Líneas Especiales Crédito – LEC, del Incentivo a la Capitalización Rural - ICR y de otros incentivos o subsidios del Estado que estén relacionados exclusivamente con el crédito y/o riesgo agropecuario y rural</w:t>
      </w:r>
      <w:r w:rsidRPr="0005684F">
        <w:rPr>
          <w:rFonts w:ascii="Arial" w:eastAsia="Arial" w:hAnsi="Arial" w:cs="Arial"/>
          <w:color w:val="000000" w:themeColor="text1"/>
          <w:sz w:val="22"/>
          <w:szCs w:val="22"/>
          <w:lang w:val="es-CO" w:eastAsia="es-CO" w:bidi="es-CO"/>
        </w:rPr>
        <w:t>.</w:t>
      </w:r>
    </w:p>
    <w:p w:rsidR="008A4E27" w:rsidRPr="0005684F" w:rsidRDefault="008A4E27" w:rsidP="008A4E27">
      <w:pPr>
        <w:widowControl w:val="0"/>
        <w:autoSpaceDE w:val="0"/>
        <w:autoSpaceDN w:val="0"/>
        <w:spacing w:before="183"/>
        <w:ind w:right="81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CO" w:eastAsia="es-CO" w:bidi="es-CO"/>
        </w:rPr>
      </w:pPr>
      <w:r w:rsidRPr="0005684F"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t>(…)</w:t>
      </w:r>
      <w:r w:rsidRPr="0005684F">
        <w:rPr>
          <w:rFonts w:ascii="Arial" w:eastAsia="Arial" w:hAnsi="Arial" w:cs="Arial"/>
          <w:color w:val="000000" w:themeColor="text1"/>
          <w:sz w:val="22"/>
          <w:szCs w:val="22"/>
          <w:lang w:val="es-CO" w:eastAsia="es-CO" w:bidi="es-CO"/>
        </w:rPr>
        <w:t>”</w:t>
      </w:r>
    </w:p>
    <w:p w:rsidR="008A4E27" w:rsidRPr="0005684F" w:rsidRDefault="008A4E27" w:rsidP="008A4E27">
      <w:pPr>
        <w:widowControl w:val="0"/>
        <w:autoSpaceDE w:val="0"/>
        <w:autoSpaceDN w:val="0"/>
        <w:spacing w:before="185"/>
        <w:ind w:right="81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CO" w:eastAsia="es-CO" w:bidi="es-CO"/>
        </w:rPr>
      </w:pPr>
      <w:r w:rsidRPr="0005684F">
        <w:rPr>
          <w:rFonts w:ascii="Arial" w:eastAsia="Arial" w:hAnsi="Arial" w:cs="Arial"/>
          <w:b/>
          <w:color w:val="000000" w:themeColor="text1"/>
          <w:sz w:val="22"/>
          <w:szCs w:val="22"/>
          <w:lang w:val="es-CO" w:eastAsia="es-CO" w:bidi="es-CO"/>
        </w:rPr>
        <w:t xml:space="preserve">Segundo. </w:t>
      </w:r>
      <w:r w:rsidRPr="0005684F">
        <w:rPr>
          <w:rFonts w:ascii="Arial" w:eastAsia="Arial" w:hAnsi="Arial" w:cs="Arial"/>
          <w:color w:val="000000" w:themeColor="text1"/>
          <w:sz w:val="22"/>
          <w:szCs w:val="22"/>
          <w:lang w:val="es-CO" w:eastAsia="es-CO" w:bidi="es-CO"/>
        </w:rPr>
        <w:t>Que de acuerdo con lo dispuesto en el artículo 220 del Estatuto Orgánico del Sistema Financiero, “</w:t>
      </w:r>
      <w:r w:rsidRPr="0005684F"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t>La Comisión Nacional de Crédito Agropecuario</w:t>
      </w:r>
      <w:r w:rsidRPr="0005684F">
        <w:rPr>
          <w:rFonts w:ascii="Arial" w:eastAsia="Arial" w:hAnsi="Arial" w:cs="Arial"/>
          <w:color w:val="000000" w:themeColor="text1"/>
          <w:sz w:val="22"/>
          <w:szCs w:val="22"/>
          <w:lang w:val="es-CO" w:eastAsia="es-CO" w:bidi="es-CO"/>
        </w:rPr>
        <w:t xml:space="preserve"> </w:t>
      </w:r>
      <w:r w:rsidRPr="0005684F"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t>definirá las líneas de crédito que otorgarán las entidades que integran el Sistema Nacional de Crédito Agropecuario, y las instituciones bancarias y financieras debidamente autorizadas por la Superintendencia Bancaria, para conceder créditos con destino al sector agropecuario, afines y similares (…)”.</w:t>
      </w:r>
    </w:p>
    <w:p w:rsidR="008A4E27" w:rsidRPr="0005684F" w:rsidRDefault="008A4E27" w:rsidP="008A4E27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</w:p>
    <w:p w:rsidR="004D585D" w:rsidRDefault="008A4E27" w:rsidP="008A4E27">
      <w:pPr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05684F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Tercero.</w:t>
      </w:r>
      <w:r w:rsidRPr="0005684F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</w:t>
      </w:r>
      <w:r w:rsidR="00143851">
        <w:rPr>
          <w:rFonts w:ascii="Arial" w:hAnsi="Arial" w:cs="Arial"/>
          <w:color w:val="000000" w:themeColor="text1"/>
          <w:sz w:val="22"/>
          <w:szCs w:val="22"/>
          <w:lang w:val="es-CO"/>
        </w:rPr>
        <w:t>Que con el fin de facilitar el acceso de pequeños y medianos productores a mecanismos de comercialización</w:t>
      </w:r>
      <w:r w:rsidR="005F4A97">
        <w:rPr>
          <w:rFonts w:ascii="Arial" w:hAnsi="Arial" w:cs="Arial"/>
          <w:color w:val="000000" w:themeColor="text1"/>
          <w:sz w:val="22"/>
          <w:szCs w:val="22"/>
          <w:lang w:val="es-CO"/>
        </w:rPr>
        <w:t>,</w:t>
      </w:r>
      <w:r w:rsidR="00143851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</w:t>
      </w:r>
      <w:r w:rsidR="004D585D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la </w:t>
      </w:r>
      <w:r w:rsidR="007667A4" w:rsidRPr="0005684F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Resolución No. 7 de </w:t>
      </w:r>
      <w:r w:rsidR="004D585D">
        <w:rPr>
          <w:rFonts w:ascii="Arial" w:hAnsi="Arial" w:cs="Arial"/>
          <w:color w:val="000000" w:themeColor="text1"/>
          <w:sz w:val="22"/>
          <w:szCs w:val="22"/>
          <w:lang w:val="es-CO"/>
        </w:rPr>
        <w:t>2018 estableció la Línea Especial de Crédito “Agricultura por Contrato”, como mecanismo idóneo para fomentar la inserción de los productores a la cadena de valor.</w:t>
      </w:r>
    </w:p>
    <w:p w:rsidR="008A4E27" w:rsidRPr="0005684F" w:rsidRDefault="008A4E27" w:rsidP="008A4E27">
      <w:pPr>
        <w:jc w:val="both"/>
        <w:rPr>
          <w:rFonts w:ascii="Arial" w:hAnsi="Arial" w:cs="Arial"/>
          <w:i/>
          <w:color w:val="000000" w:themeColor="text1"/>
          <w:sz w:val="22"/>
          <w:szCs w:val="22"/>
          <w:lang w:val="es-CO"/>
        </w:rPr>
      </w:pPr>
    </w:p>
    <w:p w:rsidR="008A4E27" w:rsidRPr="0005684F" w:rsidRDefault="008A4E27" w:rsidP="00CD1842">
      <w:pPr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05684F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Cuarto.</w:t>
      </w:r>
      <w:r w:rsidRPr="0005684F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</w:t>
      </w:r>
      <w:r w:rsidR="00CD1842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mediante Resolución No. 12 de 2018 </w:t>
      </w:r>
      <w:r w:rsidR="00CD1842" w:rsidRPr="00CD1842">
        <w:rPr>
          <w:rFonts w:ascii="Arial" w:hAnsi="Arial" w:cs="Arial"/>
          <w:color w:val="000000" w:themeColor="text1"/>
          <w:sz w:val="22"/>
          <w:szCs w:val="22"/>
          <w:lang w:val="es-CO"/>
        </w:rPr>
        <w:t>"</w:t>
      </w:r>
      <w:r w:rsidR="00CD1842" w:rsidRPr="00CD1842">
        <w:rPr>
          <w:rFonts w:ascii="Arial" w:hAnsi="Arial" w:cs="Arial"/>
          <w:i/>
          <w:color w:val="000000" w:themeColor="text1"/>
          <w:sz w:val="22"/>
          <w:szCs w:val="22"/>
          <w:lang w:val="es-CO"/>
        </w:rPr>
        <w:t>Por la cual se establece el Plan Anual de ICR y LEC para el Año 2019 y otras disposiciones</w:t>
      </w:r>
      <w:r w:rsidR="00CD1842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”, </w:t>
      </w:r>
      <w:r w:rsidR="004E4202">
        <w:rPr>
          <w:rFonts w:ascii="Arial" w:hAnsi="Arial" w:cs="Arial"/>
          <w:color w:val="000000" w:themeColor="text1"/>
          <w:sz w:val="22"/>
          <w:szCs w:val="22"/>
          <w:lang w:val="es-CO"/>
        </w:rPr>
        <w:t>se establecieron</w:t>
      </w:r>
      <w:r w:rsidR="007915D6">
        <w:rPr>
          <w:rFonts w:ascii="Arial" w:hAnsi="Arial" w:cs="Arial"/>
          <w:color w:val="000000" w:themeColor="text1"/>
          <w:sz w:val="22"/>
          <w:szCs w:val="22"/>
          <w:lang w:val="es-CO"/>
        </w:rPr>
        <w:t>,</w:t>
      </w:r>
      <w:r w:rsidR="004E4202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entre otras, las condiciones de otorgamiento de la LEC General</w:t>
      </w:r>
      <w:r w:rsidR="007915D6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y la LEC de </w:t>
      </w:r>
      <w:r w:rsidR="000C2AC1">
        <w:rPr>
          <w:rFonts w:ascii="Arial" w:hAnsi="Arial" w:cs="Arial"/>
          <w:color w:val="000000" w:themeColor="text1"/>
          <w:sz w:val="22"/>
          <w:szCs w:val="22"/>
          <w:lang w:val="es-CO"/>
        </w:rPr>
        <w:t>“</w:t>
      </w:r>
      <w:r w:rsidR="007915D6">
        <w:rPr>
          <w:rFonts w:ascii="Arial" w:hAnsi="Arial" w:cs="Arial"/>
          <w:color w:val="000000" w:themeColor="text1"/>
          <w:sz w:val="22"/>
          <w:szCs w:val="22"/>
          <w:lang w:val="es-CO"/>
        </w:rPr>
        <w:t>Agricultura por Contrato</w:t>
      </w:r>
      <w:r w:rsidR="000C2AC1">
        <w:rPr>
          <w:rFonts w:ascii="Arial" w:hAnsi="Arial" w:cs="Arial"/>
          <w:color w:val="000000" w:themeColor="text1"/>
          <w:sz w:val="22"/>
          <w:szCs w:val="22"/>
          <w:lang w:val="es-CO"/>
        </w:rPr>
        <w:t>”</w:t>
      </w:r>
      <w:r w:rsidR="007915D6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</w:t>
      </w:r>
      <w:r w:rsidR="004E4202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y </w:t>
      </w:r>
      <w:r w:rsidR="00CD1842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se derogó la </w:t>
      </w:r>
      <w:r w:rsidR="00CD1842" w:rsidRPr="0005684F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Resolución No. 7 de </w:t>
      </w:r>
      <w:r w:rsidR="00CD1842">
        <w:rPr>
          <w:rFonts w:ascii="Arial" w:hAnsi="Arial" w:cs="Arial"/>
          <w:color w:val="000000" w:themeColor="text1"/>
          <w:sz w:val="22"/>
          <w:szCs w:val="22"/>
          <w:lang w:val="es-CO"/>
        </w:rPr>
        <w:t>2018.</w:t>
      </w:r>
    </w:p>
    <w:p w:rsidR="008A4E27" w:rsidRPr="0005684F" w:rsidRDefault="008A4E27" w:rsidP="008A4E27">
      <w:pPr>
        <w:widowControl w:val="0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val="es-CO"/>
        </w:rPr>
      </w:pPr>
    </w:p>
    <w:p w:rsidR="008A4E27" w:rsidRPr="0005684F" w:rsidRDefault="00E4610C" w:rsidP="008A4E27">
      <w:pPr>
        <w:tabs>
          <w:tab w:val="left" w:pos="8503"/>
        </w:tabs>
        <w:ind w:right="-2"/>
        <w:jc w:val="both"/>
        <w:rPr>
          <w:rFonts w:ascii="Arial" w:hAnsi="Arial"/>
          <w:color w:val="000000" w:themeColor="text1"/>
          <w:sz w:val="22"/>
          <w:szCs w:val="22"/>
          <w:lang w:val="es-CO"/>
        </w:rPr>
      </w:pPr>
      <w:r w:rsidRPr="00A917C7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Quinto</w:t>
      </w:r>
      <w:r w:rsidR="008A4E27" w:rsidRPr="00A917C7">
        <w:rPr>
          <w:color w:val="000000" w:themeColor="text1"/>
          <w:sz w:val="22"/>
          <w:szCs w:val="22"/>
          <w:lang w:val="es-CO" w:bidi="es-CO"/>
        </w:rPr>
        <w:t xml:space="preserve">. </w:t>
      </w:r>
      <w:r w:rsidR="006D2DEB" w:rsidRPr="00A917C7">
        <w:rPr>
          <w:rFonts w:ascii="Arial" w:hAnsi="Arial"/>
          <w:color w:val="000000" w:themeColor="text1"/>
          <w:sz w:val="22"/>
          <w:szCs w:val="22"/>
          <w:lang w:val="es-CO"/>
        </w:rPr>
        <w:t xml:space="preserve">Que las modificaciones a la Línea Especial de Crédito de “Agricultura por Contrato” especificadas en la justificación técnica y jurídica correspondiente, permitirán </w:t>
      </w:r>
      <w:r w:rsidR="00140BB7">
        <w:rPr>
          <w:rFonts w:ascii="Arial" w:hAnsi="Arial"/>
          <w:color w:val="000000" w:themeColor="text1"/>
          <w:sz w:val="22"/>
          <w:szCs w:val="22"/>
          <w:lang w:val="es-CO"/>
        </w:rPr>
        <w:t xml:space="preserve">facilitar el acceso al crédito </w:t>
      </w:r>
      <w:r w:rsidR="006D2DEB" w:rsidRPr="00A917C7">
        <w:rPr>
          <w:rFonts w:ascii="Arial" w:hAnsi="Arial"/>
          <w:color w:val="000000" w:themeColor="text1"/>
          <w:sz w:val="22"/>
          <w:szCs w:val="22"/>
          <w:lang w:val="es-CO"/>
        </w:rPr>
        <w:t>que se base en mecanismos de agricultura por contrato, en la medida en que el</w:t>
      </w:r>
      <w:r w:rsidR="00A917C7" w:rsidRPr="00A917C7">
        <w:rPr>
          <w:rFonts w:ascii="Arial" w:hAnsi="Arial"/>
          <w:color w:val="000000" w:themeColor="text1"/>
          <w:sz w:val="22"/>
          <w:szCs w:val="22"/>
          <w:lang w:val="es-CO"/>
        </w:rPr>
        <w:t xml:space="preserve"> </w:t>
      </w:r>
      <w:r w:rsidR="006D2DEB" w:rsidRPr="00A917C7">
        <w:rPr>
          <w:rFonts w:ascii="Arial" w:hAnsi="Arial"/>
          <w:color w:val="000000" w:themeColor="text1"/>
          <w:sz w:val="22"/>
          <w:szCs w:val="22"/>
          <w:lang w:val="es-CO"/>
        </w:rPr>
        <w:t>control y seguimiento de las inversiones</w:t>
      </w:r>
      <w:r w:rsidR="003A454F" w:rsidRPr="00A917C7">
        <w:rPr>
          <w:rFonts w:ascii="Arial" w:hAnsi="Arial"/>
          <w:color w:val="000000" w:themeColor="text1"/>
          <w:sz w:val="22"/>
          <w:szCs w:val="22"/>
          <w:lang w:val="es-CO"/>
        </w:rPr>
        <w:t xml:space="preserve"> a cargo de los Intermediarios Financieros</w:t>
      </w:r>
      <w:r w:rsidR="006D2DEB" w:rsidRPr="00A917C7">
        <w:rPr>
          <w:rFonts w:ascii="Arial" w:hAnsi="Arial"/>
          <w:color w:val="000000" w:themeColor="text1"/>
          <w:sz w:val="22"/>
          <w:szCs w:val="22"/>
          <w:lang w:val="es-CO"/>
        </w:rPr>
        <w:t xml:space="preserve"> se ajusta</w:t>
      </w:r>
      <w:r w:rsidR="006B2E1A">
        <w:rPr>
          <w:rFonts w:ascii="Arial" w:hAnsi="Arial"/>
          <w:color w:val="000000" w:themeColor="text1"/>
          <w:sz w:val="22"/>
          <w:szCs w:val="22"/>
          <w:lang w:val="es-CO"/>
        </w:rPr>
        <w:t>rán</w:t>
      </w:r>
      <w:r w:rsidR="006D2DEB" w:rsidRPr="00A917C7">
        <w:rPr>
          <w:rFonts w:ascii="Arial" w:hAnsi="Arial"/>
          <w:color w:val="000000" w:themeColor="text1"/>
          <w:sz w:val="22"/>
          <w:szCs w:val="22"/>
          <w:lang w:val="es-CO"/>
        </w:rPr>
        <w:t xml:space="preserve"> a las dinámicas de comercialización de la producción agropecuaria, al igual </w:t>
      </w:r>
      <w:r w:rsidR="006D2DEB" w:rsidRPr="00A917C7">
        <w:rPr>
          <w:rFonts w:ascii="Arial" w:hAnsi="Arial"/>
          <w:color w:val="000000" w:themeColor="text1"/>
          <w:sz w:val="22"/>
          <w:szCs w:val="22"/>
          <w:lang w:val="es-CO"/>
        </w:rPr>
        <w:lastRenderedPageBreak/>
        <w:t xml:space="preserve">que responderá </w:t>
      </w:r>
      <w:r w:rsidR="003A454F" w:rsidRPr="00A917C7">
        <w:rPr>
          <w:rFonts w:ascii="Arial" w:hAnsi="Arial"/>
          <w:color w:val="000000" w:themeColor="text1"/>
          <w:sz w:val="22"/>
          <w:szCs w:val="22"/>
          <w:lang w:val="es-CO"/>
        </w:rPr>
        <w:t>al objetivo de política</w:t>
      </w:r>
      <w:r w:rsidR="00A917C7" w:rsidRPr="00A917C7">
        <w:rPr>
          <w:rFonts w:ascii="Arial" w:hAnsi="Arial"/>
          <w:color w:val="000000" w:themeColor="text1"/>
          <w:sz w:val="22"/>
          <w:szCs w:val="22"/>
          <w:lang w:val="es-CO"/>
        </w:rPr>
        <w:t xml:space="preserve"> pública</w:t>
      </w:r>
      <w:r w:rsidR="003A454F" w:rsidRPr="00A917C7">
        <w:rPr>
          <w:rFonts w:ascii="Arial" w:hAnsi="Arial"/>
          <w:color w:val="000000" w:themeColor="text1"/>
          <w:sz w:val="22"/>
          <w:szCs w:val="22"/>
          <w:lang w:val="es-CO"/>
        </w:rPr>
        <w:t xml:space="preserve"> que tiene el subsidio</w:t>
      </w:r>
      <w:r w:rsidR="006B2E1A">
        <w:rPr>
          <w:rFonts w:ascii="Arial" w:hAnsi="Arial"/>
          <w:color w:val="000000" w:themeColor="text1"/>
          <w:sz w:val="22"/>
          <w:szCs w:val="22"/>
          <w:lang w:val="es-CO"/>
        </w:rPr>
        <w:t xml:space="preserve"> a la tasa</w:t>
      </w:r>
      <w:r w:rsidR="003A454F" w:rsidRPr="00A917C7">
        <w:rPr>
          <w:rFonts w:ascii="Arial" w:hAnsi="Arial"/>
          <w:color w:val="000000" w:themeColor="text1"/>
          <w:sz w:val="22"/>
          <w:szCs w:val="22"/>
          <w:lang w:val="es-CO"/>
        </w:rPr>
        <w:t xml:space="preserve">, que es </w:t>
      </w:r>
      <w:r w:rsidR="00A917C7" w:rsidRPr="00A917C7">
        <w:rPr>
          <w:rFonts w:ascii="Arial" w:hAnsi="Arial"/>
          <w:color w:val="000000" w:themeColor="text1"/>
          <w:sz w:val="22"/>
          <w:szCs w:val="22"/>
          <w:lang w:val="es-CO"/>
        </w:rPr>
        <w:t>la entrega de los productos agropecuarios al comprador de conformidad con el contrato u orden de compra</w:t>
      </w:r>
      <w:r w:rsidR="003A454F" w:rsidRPr="00A917C7">
        <w:rPr>
          <w:rFonts w:ascii="Arial" w:hAnsi="Arial"/>
          <w:color w:val="000000" w:themeColor="text1"/>
          <w:sz w:val="22"/>
          <w:szCs w:val="22"/>
          <w:lang w:val="es-CO"/>
        </w:rPr>
        <w:t>.</w:t>
      </w:r>
      <w:r w:rsidR="003A454F">
        <w:rPr>
          <w:rFonts w:ascii="Arial" w:hAnsi="Arial"/>
          <w:color w:val="000000" w:themeColor="text1"/>
          <w:sz w:val="22"/>
          <w:szCs w:val="22"/>
          <w:lang w:val="es-CO"/>
        </w:rPr>
        <w:t xml:space="preserve">  </w:t>
      </w:r>
      <w:r w:rsidR="006D2DEB">
        <w:rPr>
          <w:rFonts w:ascii="Arial" w:hAnsi="Arial"/>
          <w:color w:val="000000" w:themeColor="text1"/>
          <w:sz w:val="22"/>
          <w:szCs w:val="22"/>
          <w:lang w:val="es-CO"/>
        </w:rPr>
        <w:t xml:space="preserve"> </w:t>
      </w:r>
    </w:p>
    <w:p w:rsidR="008A4E27" w:rsidRPr="0005684F" w:rsidRDefault="008A4E27" w:rsidP="008A4E27">
      <w:pPr>
        <w:tabs>
          <w:tab w:val="left" w:pos="8503"/>
        </w:tabs>
        <w:ind w:right="-2"/>
        <w:jc w:val="both"/>
        <w:rPr>
          <w:rFonts w:ascii="Arial" w:hAnsi="Arial" w:cs="Arial"/>
          <w:i/>
          <w:color w:val="000000" w:themeColor="text1"/>
          <w:sz w:val="22"/>
          <w:szCs w:val="22"/>
          <w:lang w:val="es-CO" w:bidi="es-CO"/>
        </w:rPr>
      </w:pPr>
    </w:p>
    <w:p w:rsidR="001C1B9C" w:rsidRPr="001C1B9C" w:rsidRDefault="002F3FC5" w:rsidP="008A4E27">
      <w:pPr>
        <w:tabs>
          <w:tab w:val="left" w:pos="8503"/>
        </w:tabs>
        <w:ind w:right="-2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val="es-CO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s-CO" w:bidi="es-CO"/>
        </w:rPr>
        <w:t>Sexto</w:t>
      </w:r>
      <w:r w:rsidR="008A4E27" w:rsidRPr="0005684F">
        <w:rPr>
          <w:rFonts w:ascii="Arial" w:hAnsi="Arial" w:cs="Arial"/>
          <w:color w:val="000000" w:themeColor="text1"/>
          <w:sz w:val="22"/>
          <w:szCs w:val="22"/>
          <w:lang w:val="es-CO" w:bidi="es-CO"/>
        </w:rPr>
        <w:t xml:space="preserve">. </w:t>
      </w:r>
      <w:r w:rsidR="009A70F3">
        <w:rPr>
          <w:rFonts w:ascii="Arial" w:hAnsi="Arial" w:cs="Arial"/>
          <w:color w:val="000000" w:themeColor="text1"/>
          <w:sz w:val="22"/>
          <w:szCs w:val="22"/>
          <w:lang w:val="es-CO" w:bidi="es-CO"/>
        </w:rPr>
        <w:t xml:space="preserve">Que el </w:t>
      </w:r>
      <w:r w:rsidR="009A70F3" w:rsidRPr="0005684F">
        <w:rPr>
          <w:rFonts w:ascii="Arial" w:hAnsi="Arial"/>
          <w:color w:val="000000" w:themeColor="text1"/>
          <w:sz w:val="22"/>
          <w:szCs w:val="22"/>
          <w:lang w:val="es-CO"/>
        </w:rPr>
        <w:t xml:space="preserve">MADR </w:t>
      </w:r>
      <w:r w:rsidR="003D1120">
        <w:rPr>
          <w:rFonts w:ascii="Arial" w:hAnsi="Arial"/>
          <w:color w:val="000000" w:themeColor="text1"/>
          <w:sz w:val="22"/>
          <w:szCs w:val="22"/>
          <w:lang w:val="es-CO"/>
        </w:rPr>
        <w:t>considera</w:t>
      </w:r>
      <w:r w:rsidR="00127474">
        <w:rPr>
          <w:rFonts w:ascii="Arial" w:hAnsi="Arial"/>
          <w:color w:val="000000" w:themeColor="text1"/>
          <w:sz w:val="22"/>
          <w:szCs w:val="22"/>
          <w:lang w:val="es-CO"/>
        </w:rPr>
        <w:t xml:space="preserve"> conveniente </w:t>
      </w:r>
      <w:r w:rsidR="00A03F9B">
        <w:rPr>
          <w:rFonts w:ascii="Arial" w:hAnsi="Arial"/>
          <w:color w:val="000000" w:themeColor="text1"/>
          <w:sz w:val="22"/>
          <w:szCs w:val="22"/>
          <w:lang w:val="es-CO"/>
        </w:rPr>
        <w:t>que se ajuste</w:t>
      </w:r>
      <w:r w:rsidR="00127474">
        <w:rPr>
          <w:rFonts w:ascii="Arial" w:hAnsi="Arial"/>
          <w:color w:val="000000" w:themeColor="text1"/>
          <w:sz w:val="22"/>
          <w:szCs w:val="22"/>
          <w:lang w:val="es-CO"/>
        </w:rPr>
        <w:t xml:space="preserve"> </w:t>
      </w:r>
      <w:r w:rsidR="009A70F3">
        <w:rPr>
          <w:rFonts w:ascii="Arial" w:hAnsi="Arial"/>
          <w:color w:val="000000" w:themeColor="text1"/>
          <w:sz w:val="22"/>
          <w:szCs w:val="22"/>
          <w:lang w:val="es-CO"/>
        </w:rPr>
        <w:t>el literal h, del artículo 5</w:t>
      </w:r>
      <w:r w:rsidR="00C956D9">
        <w:rPr>
          <w:rFonts w:ascii="Arial" w:hAnsi="Arial"/>
          <w:color w:val="000000" w:themeColor="text1"/>
          <w:sz w:val="22"/>
          <w:szCs w:val="22"/>
          <w:lang w:val="es-CO"/>
        </w:rPr>
        <w:t>o.</w:t>
      </w:r>
      <w:r w:rsidR="009A70F3">
        <w:rPr>
          <w:rFonts w:ascii="Arial" w:hAnsi="Arial"/>
          <w:color w:val="000000" w:themeColor="text1"/>
          <w:sz w:val="22"/>
          <w:szCs w:val="22"/>
          <w:lang w:val="es-CO"/>
        </w:rPr>
        <w:t xml:space="preserve"> de la Resolución No 12 de 2018</w:t>
      </w:r>
      <w:r w:rsidR="009A70F3" w:rsidRPr="0005684F">
        <w:rPr>
          <w:rFonts w:ascii="Arial" w:hAnsi="Arial" w:cs="Arial"/>
          <w:color w:val="000000" w:themeColor="text1"/>
          <w:kern w:val="3"/>
          <w:sz w:val="22"/>
          <w:szCs w:val="22"/>
          <w:lang w:val="es-CO"/>
        </w:rPr>
        <w:t>,</w:t>
      </w:r>
      <w:r w:rsidR="009A70F3">
        <w:rPr>
          <w:rFonts w:ascii="Arial" w:hAnsi="Arial" w:cs="Arial"/>
          <w:color w:val="000000" w:themeColor="text1"/>
          <w:kern w:val="3"/>
          <w:sz w:val="22"/>
          <w:szCs w:val="22"/>
          <w:lang w:val="es-CO"/>
        </w:rPr>
        <w:t xml:space="preserve"> </w:t>
      </w:r>
      <w:r w:rsidR="00C956D9">
        <w:rPr>
          <w:rFonts w:ascii="Arial" w:hAnsi="Arial" w:cs="Arial"/>
          <w:color w:val="000000" w:themeColor="text1"/>
          <w:kern w:val="3"/>
          <w:sz w:val="22"/>
          <w:szCs w:val="22"/>
          <w:lang w:val="es-CO"/>
        </w:rPr>
        <w:t xml:space="preserve">en el sentido de </w:t>
      </w:r>
      <w:r w:rsidR="00E1611F">
        <w:rPr>
          <w:rFonts w:ascii="Arial" w:hAnsi="Arial" w:cs="Arial"/>
          <w:color w:val="000000" w:themeColor="text1"/>
          <w:kern w:val="3"/>
          <w:sz w:val="22"/>
          <w:szCs w:val="22"/>
          <w:lang w:val="es-CO"/>
        </w:rPr>
        <w:t>precisar</w:t>
      </w:r>
      <w:r w:rsidR="00C956D9">
        <w:rPr>
          <w:rFonts w:ascii="Arial" w:hAnsi="Arial" w:cs="Arial"/>
          <w:color w:val="000000" w:themeColor="text1"/>
          <w:kern w:val="3"/>
          <w:sz w:val="22"/>
          <w:szCs w:val="22"/>
          <w:lang w:val="es-CO"/>
        </w:rPr>
        <w:t xml:space="preserve"> que </w:t>
      </w:r>
      <w:r w:rsidR="001C1B9C">
        <w:rPr>
          <w:rFonts w:ascii="Arial" w:hAnsi="Arial" w:cs="Arial"/>
          <w:color w:val="000000" w:themeColor="text1"/>
          <w:kern w:val="3"/>
          <w:sz w:val="22"/>
          <w:szCs w:val="22"/>
          <w:lang w:val="es-CO"/>
        </w:rPr>
        <w:t xml:space="preserve">en el evento </w:t>
      </w:r>
      <w:r w:rsidR="000C7B59">
        <w:rPr>
          <w:rFonts w:ascii="Arial" w:hAnsi="Arial" w:cs="Arial"/>
          <w:color w:val="000000" w:themeColor="text1"/>
          <w:kern w:val="3"/>
          <w:sz w:val="22"/>
          <w:szCs w:val="22"/>
          <w:lang w:val="es-CO"/>
        </w:rPr>
        <w:t xml:space="preserve">que la Unidad de Planificación Rural Agropecuaria – UPRA haya determinado la </w:t>
      </w:r>
      <w:r w:rsidR="001C1B9C">
        <w:rPr>
          <w:rFonts w:ascii="Arial" w:hAnsi="Arial" w:cs="Arial"/>
          <w:color w:val="000000" w:themeColor="text1"/>
          <w:kern w:val="3"/>
          <w:sz w:val="22"/>
          <w:szCs w:val="22"/>
          <w:lang w:val="es-CO"/>
        </w:rPr>
        <w:t>aptitud para cultivo o para el desarrollo de actividad</w:t>
      </w:r>
      <w:r w:rsidR="00127474">
        <w:rPr>
          <w:rFonts w:ascii="Arial" w:hAnsi="Arial" w:cs="Arial"/>
          <w:color w:val="000000" w:themeColor="text1"/>
          <w:kern w:val="3"/>
          <w:sz w:val="22"/>
          <w:szCs w:val="22"/>
          <w:lang w:val="es-CO"/>
        </w:rPr>
        <w:t>es agropecuarias</w:t>
      </w:r>
      <w:r w:rsidR="001C1B9C">
        <w:rPr>
          <w:rFonts w:ascii="Arial" w:hAnsi="Arial" w:cs="Arial"/>
          <w:color w:val="000000" w:themeColor="text1"/>
          <w:kern w:val="3"/>
          <w:sz w:val="22"/>
          <w:szCs w:val="22"/>
          <w:lang w:val="es-CO"/>
        </w:rPr>
        <w:t xml:space="preserve">, </w:t>
      </w:r>
      <w:r w:rsidR="00E1611F">
        <w:rPr>
          <w:rFonts w:ascii="Arial" w:hAnsi="Arial" w:cs="Arial"/>
          <w:color w:val="000000" w:themeColor="text1"/>
          <w:kern w:val="3"/>
          <w:sz w:val="22"/>
          <w:szCs w:val="22"/>
          <w:lang w:val="es-CO"/>
        </w:rPr>
        <w:t>solo podrá ser</w:t>
      </w:r>
      <w:r w:rsidR="001C1B9C">
        <w:rPr>
          <w:rFonts w:ascii="Arial" w:hAnsi="Arial" w:cs="Arial"/>
          <w:color w:val="000000" w:themeColor="text1"/>
          <w:kern w:val="3"/>
          <w:sz w:val="22"/>
          <w:szCs w:val="22"/>
          <w:lang w:val="es-CO"/>
        </w:rPr>
        <w:t xml:space="preserve"> sujeto de subsidio </w:t>
      </w:r>
      <w:r w:rsidR="00C956D9">
        <w:rPr>
          <w:rFonts w:ascii="Arial" w:hAnsi="Arial" w:cs="Arial"/>
          <w:color w:val="000000" w:themeColor="text1"/>
          <w:kern w:val="3"/>
          <w:sz w:val="22"/>
          <w:szCs w:val="22"/>
          <w:lang w:val="es-CO"/>
        </w:rPr>
        <w:t xml:space="preserve">las inversiones que se realicen dentro </w:t>
      </w:r>
      <w:r w:rsidR="001C1B9C">
        <w:rPr>
          <w:rFonts w:ascii="Arial" w:hAnsi="Arial" w:cs="Arial"/>
          <w:color w:val="000000" w:themeColor="text1"/>
          <w:kern w:val="3"/>
          <w:sz w:val="22"/>
          <w:szCs w:val="22"/>
          <w:lang w:val="es-CO"/>
        </w:rPr>
        <w:t xml:space="preserve">de </w:t>
      </w:r>
      <w:r w:rsidR="005B5183">
        <w:rPr>
          <w:rFonts w:ascii="Arial" w:hAnsi="Arial" w:cs="Arial"/>
          <w:color w:val="000000" w:themeColor="text1"/>
          <w:kern w:val="3"/>
          <w:sz w:val="22"/>
          <w:szCs w:val="22"/>
          <w:lang w:val="es-CO"/>
        </w:rPr>
        <w:t xml:space="preserve">la </w:t>
      </w:r>
      <w:r w:rsidR="00FF14AF">
        <w:rPr>
          <w:rFonts w:ascii="Arial" w:hAnsi="Arial" w:cs="Arial"/>
          <w:color w:val="000000" w:themeColor="text1"/>
          <w:kern w:val="3"/>
          <w:sz w:val="22"/>
          <w:szCs w:val="22"/>
          <w:lang w:val="es-CO"/>
        </w:rPr>
        <w:t>zonificación</w:t>
      </w:r>
      <w:r w:rsidR="001C1B9C">
        <w:rPr>
          <w:rFonts w:ascii="Arial" w:hAnsi="Arial" w:cs="Arial"/>
          <w:b/>
          <w:color w:val="000000" w:themeColor="text1"/>
          <w:sz w:val="22"/>
          <w:szCs w:val="22"/>
          <w:lang w:val="es-CO" w:bidi="es-CO"/>
        </w:rPr>
        <w:t>.</w:t>
      </w:r>
    </w:p>
    <w:p w:rsidR="008A4E27" w:rsidRPr="0005684F" w:rsidRDefault="008A4E27" w:rsidP="008A4E27">
      <w:pPr>
        <w:tabs>
          <w:tab w:val="left" w:pos="8503"/>
        </w:tabs>
        <w:ind w:right="-2"/>
        <w:jc w:val="both"/>
        <w:rPr>
          <w:rFonts w:ascii="Arial" w:hAnsi="Arial" w:cs="Arial"/>
          <w:b/>
          <w:color w:val="000000" w:themeColor="text1"/>
          <w:sz w:val="22"/>
          <w:szCs w:val="22"/>
          <w:lang w:val="es-CO" w:bidi="es-CO"/>
        </w:rPr>
      </w:pPr>
    </w:p>
    <w:p w:rsidR="003940FE" w:rsidRDefault="002F3FC5" w:rsidP="008A4E27">
      <w:pPr>
        <w:tabs>
          <w:tab w:val="left" w:pos="8503"/>
        </w:tabs>
        <w:ind w:right="-2"/>
        <w:jc w:val="both"/>
        <w:rPr>
          <w:rFonts w:ascii="Arial" w:hAnsi="Arial" w:cs="Arial"/>
          <w:color w:val="000000" w:themeColor="text1"/>
          <w:sz w:val="22"/>
          <w:szCs w:val="22"/>
          <w:lang w:val="es-CO" w:bidi="es-CO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s-CO" w:bidi="es-CO"/>
        </w:rPr>
        <w:t>S</w:t>
      </w:r>
      <w:r w:rsidR="001F5514">
        <w:rPr>
          <w:rFonts w:ascii="Arial" w:hAnsi="Arial" w:cs="Arial"/>
          <w:b/>
          <w:color w:val="000000" w:themeColor="text1"/>
          <w:sz w:val="22"/>
          <w:szCs w:val="22"/>
          <w:lang w:val="es-CO" w:bidi="es-CO"/>
        </w:rPr>
        <w:t>é</w:t>
      </w:r>
      <w:r>
        <w:rPr>
          <w:rFonts w:ascii="Arial" w:hAnsi="Arial" w:cs="Arial"/>
          <w:b/>
          <w:color w:val="000000" w:themeColor="text1"/>
          <w:sz w:val="22"/>
          <w:szCs w:val="22"/>
          <w:lang w:val="es-CO" w:bidi="es-CO"/>
        </w:rPr>
        <w:t>ptimo</w:t>
      </w:r>
      <w:r w:rsidR="008A4E27" w:rsidRPr="0005684F">
        <w:rPr>
          <w:rFonts w:ascii="Arial" w:hAnsi="Arial" w:cs="Arial"/>
          <w:color w:val="000000" w:themeColor="text1"/>
          <w:sz w:val="22"/>
          <w:szCs w:val="22"/>
          <w:lang w:val="es-CO" w:bidi="es-CO"/>
        </w:rPr>
        <w:t xml:space="preserve"> </w:t>
      </w:r>
      <w:r w:rsidR="009A70F3" w:rsidRPr="0005684F">
        <w:rPr>
          <w:rFonts w:ascii="Arial" w:hAnsi="Arial" w:cs="Arial"/>
          <w:color w:val="000000" w:themeColor="text1"/>
          <w:sz w:val="22"/>
          <w:szCs w:val="22"/>
          <w:lang w:val="es-CO" w:bidi="es-CO"/>
        </w:rPr>
        <w:t xml:space="preserve">Que los demás términos y condiciones previstos en la Resolución No. </w:t>
      </w:r>
      <w:r w:rsidR="00C04379">
        <w:rPr>
          <w:rFonts w:ascii="Arial" w:hAnsi="Arial" w:cs="Arial"/>
          <w:color w:val="000000" w:themeColor="text1"/>
          <w:sz w:val="22"/>
          <w:szCs w:val="22"/>
          <w:lang w:val="es-CO" w:bidi="es-CO"/>
        </w:rPr>
        <w:t>12 de 2018</w:t>
      </w:r>
      <w:r w:rsidR="00F308E1">
        <w:rPr>
          <w:rFonts w:ascii="Arial" w:hAnsi="Arial" w:cs="Arial"/>
          <w:color w:val="000000" w:themeColor="text1"/>
          <w:sz w:val="22"/>
          <w:szCs w:val="22"/>
          <w:lang w:val="es-CO" w:bidi="es-CO"/>
        </w:rPr>
        <w:t>, permanecerán inalterada</w:t>
      </w:r>
      <w:r w:rsidR="009A70F3" w:rsidRPr="0005684F">
        <w:rPr>
          <w:rFonts w:ascii="Arial" w:hAnsi="Arial" w:cs="Arial"/>
          <w:color w:val="000000" w:themeColor="text1"/>
          <w:sz w:val="22"/>
          <w:szCs w:val="22"/>
          <w:lang w:val="es-CO" w:bidi="es-CO"/>
        </w:rPr>
        <w:t>s conservando su vigor y efecto, en cuanto no sean contrarios con lo pretendido y establecido en la presente resolución.</w:t>
      </w:r>
    </w:p>
    <w:p w:rsidR="003940FE" w:rsidRDefault="003940FE" w:rsidP="008A4E27">
      <w:pPr>
        <w:tabs>
          <w:tab w:val="left" w:pos="8503"/>
        </w:tabs>
        <w:ind w:right="-2"/>
        <w:jc w:val="both"/>
        <w:rPr>
          <w:rFonts w:ascii="Arial" w:hAnsi="Arial" w:cs="Arial"/>
          <w:color w:val="000000" w:themeColor="text1"/>
          <w:sz w:val="22"/>
          <w:szCs w:val="22"/>
          <w:lang w:val="es-CO" w:bidi="es-CO"/>
        </w:rPr>
      </w:pPr>
    </w:p>
    <w:p w:rsidR="008A4E27" w:rsidRPr="0005684F" w:rsidRDefault="003940FE" w:rsidP="008A4E27">
      <w:pPr>
        <w:tabs>
          <w:tab w:val="left" w:pos="8503"/>
        </w:tabs>
        <w:ind w:right="-2"/>
        <w:jc w:val="both"/>
        <w:rPr>
          <w:rFonts w:ascii="Arial" w:hAnsi="Arial" w:cs="Arial"/>
          <w:color w:val="000000" w:themeColor="text1"/>
          <w:sz w:val="22"/>
          <w:szCs w:val="22"/>
          <w:lang w:val="es-CO" w:bidi="es-CO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s-CO" w:bidi="es-CO"/>
        </w:rPr>
        <w:t>Octavo</w:t>
      </w:r>
      <w:r w:rsidRPr="0005684F">
        <w:rPr>
          <w:rFonts w:ascii="Arial" w:hAnsi="Arial" w:cs="Arial"/>
          <w:b/>
          <w:color w:val="000000" w:themeColor="text1"/>
          <w:sz w:val="22"/>
          <w:szCs w:val="22"/>
          <w:lang w:val="es-CO" w:bidi="es-CO"/>
        </w:rPr>
        <w:t>.</w:t>
      </w:r>
      <w:r w:rsidRPr="0005684F">
        <w:rPr>
          <w:rFonts w:ascii="Arial" w:hAnsi="Arial" w:cs="Arial"/>
          <w:color w:val="000000" w:themeColor="text1"/>
          <w:sz w:val="22"/>
          <w:szCs w:val="22"/>
          <w:lang w:val="es-CO" w:bidi="es-CO"/>
        </w:rPr>
        <w:t xml:space="preserve"> </w:t>
      </w:r>
      <w:r w:rsidR="008A4E27" w:rsidRPr="0005684F">
        <w:rPr>
          <w:rFonts w:ascii="Arial" w:hAnsi="Arial" w:cs="Arial"/>
          <w:color w:val="000000" w:themeColor="text1"/>
          <w:sz w:val="22"/>
          <w:szCs w:val="22"/>
          <w:lang w:val="es-CO" w:bidi="es-CO"/>
        </w:rPr>
        <w:t>Que el proyecto de resolución “</w:t>
      </w:r>
      <w:r w:rsidR="00BF7E32" w:rsidRPr="0005684F">
        <w:rPr>
          <w:rFonts w:ascii="Arial" w:hAnsi="Arial" w:cs="Arial"/>
          <w:color w:val="000000" w:themeColor="text1"/>
          <w:sz w:val="22"/>
          <w:szCs w:val="22"/>
          <w:lang w:val="es-CO"/>
        </w:rPr>
        <w:t>Por la cual se modifica la Resolución No. 12 de 2018</w:t>
      </w:r>
      <w:r w:rsidR="00612F72">
        <w:rPr>
          <w:rFonts w:ascii="Arial" w:hAnsi="Arial" w:cs="Arial"/>
          <w:color w:val="000000" w:themeColor="text1"/>
          <w:sz w:val="22"/>
          <w:szCs w:val="22"/>
          <w:lang w:val="es-CO"/>
        </w:rPr>
        <w:t>”</w:t>
      </w:r>
      <w:r w:rsidR="008A4E27" w:rsidRPr="0005684F">
        <w:rPr>
          <w:rFonts w:ascii="Arial" w:hAnsi="Arial" w:cs="Arial"/>
          <w:color w:val="000000" w:themeColor="text1"/>
          <w:sz w:val="22"/>
          <w:szCs w:val="22"/>
          <w:lang w:val="es-CO" w:bidi="es-CO"/>
        </w:rPr>
        <w:t>, estuvo publicado en la página web de FINAGRO para comentarios.</w:t>
      </w:r>
    </w:p>
    <w:p w:rsidR="008A4E27" w:rsidRPr="0005684F" w:rsidRDefault="008A4E27" w:rsidP="008A4E27">
      <w:pPr>
        <w:tabs>
          <w:tab w:val="left" w:pos="8503"/>
        </w:tabs>
        <w:ind w:right="-2"/>
        <w:jc w:val="both"/>
        <w:rPr>
          <w:rFonts w:ascii="Arial" w:hAnsi="Arial" w:cs="Arial"/>
          <w:color w:val="000000" w:themeColor="text1"/>
          <w:sz w:val="22"/>
          <w:szCs w:val="22"/>
          <w:lang w:val="es-CO" w:bidi="es-CO"/>
        </w:rPr>
      </w:pPr>
    </w:p>
    <w:p w:rsidR="008A4E27" w:rsidRPr="0005684F" w:rsidRDefault="003940FE" w:rsidP="008A4E27">
      <w:pPr>
        <w:tabs>
          <w:tab w:val="left" w:pos="8503"/>
        </w:tabs>
        <w:ind w:right="-2"/>
        <w:jc w:val="both"/>
        <w:rPr>
          <w:rFonts w:ascii="Arial" w:hAnsi="Arial" w:cs="Arial"/>
          <w:color w:val="000000" w:themeColor="text1"/>
          <w:sz w:val="22"/>
          <w:szCs w:val="22"/>
          <w:lang w:val="es-CO" w:bidi="es-CO"/>
        </w:rPr>
      </w:pPr>
      <w:r w:rsidRPr="003940FE">
        <w:rPr>
          <w:rFonts w:ascii="Arial" w:hAnsi="Arial" w:cs="Arial"/>
          <w:b/>
          <w:color w:val="000000" w:themeColor="text1"/>
          <w:sz w:val="22"/>
          <w:szCs w:val="22"/>
          <w:lang w:val="es-CO" w:bidi="es-CO"/>
        </w:rPr>
        <w:t xml:space="preserve">Noveno. </w:t>
      </w:r>
      <w:r w:rsidR="008A4E27" w:rsidRPr="0005684F">
        <w:rPr>
          <w:rFonts w:ascii="Arial" w:hAnsi="Arial" w:cs="Arial"/>
          <w:color w:val="000000" w:themeColor="text1"/>
          <w:sz w:val="22"/>
          <w:szCs w:val="22"/>
          <w:lang w:val="es-CO" w:bidi="es-CO"/>
        </w:rPr>
        <w:t>Que el documento con la justificación jurídica y técnica de la presente resolución fue presentado para consideración de la CNCA y discutido en la reunión llevada a cabo el día veintisiete (27) de febrero de dos mil diecinueve (2019).</w:t>
      </w:r>
    </w:p>
    <w:p w:rsidR="00714DC2" w:rsidRPr="0005684F" w:rsidRDefault="00714DC2">
      <w:pPr>
        <w:rPr>
          <w:color w:val="000000" w:themeColor="text1"/>
        </w:rPr>
      </w:pPr>
    </w:p>
    <w:p w:rsidR="00714DC2" w:rsidRPr="0005684F" w:rsidRDefault="00714DC2" w:rsidP="00714DC2">
      <w:pPr>
        <w:tabs>
          <w:tab w:val="left" w:pos="8503"/>
        </w:tabs>
        <w:ind w:right="-2"/>
        <w:jc w:val="both"/>
        <w:rPr>
          <w:rFonts w:ascii="Arial" w:hAnsi="Arial" w:cs="Arial"/>
          <w:color w:val="000000" w:themeColor="text1"/>
          <w:sz w:val="22"/>
          <w:szCs w:val="22"/>
          <w:lang w:val="es-CO" w:bidi="es-CO"/>
        </w:rPr>
      </w:pPr>
      <w:r w:rsidRPr="0005684F">
        <w:rPr>
          <w:rFonts w:ascii="Arial" w:hAnsi="Arial" w:cs="Arial"/>
          <w:color w:val="000000" w:themeColor="text1"/>
          <w:sz w:val="22"/>
          <w:szCs w:val="22"/>
          <w:lang w:val="es-CO" w:bidi="es-CO"/>
        </w:rPr>
        <w:t>En mérito de lo anterior,</w:t>
      </w:r>
    </w:p>
    <w:p w:rsidR="00714DC2" w:rsidRPr="0005684F" w:rsidRDefault="00714DC2" w:rsidP="00714DC2">
      <w:pPr>
        <w:pStyle w:val="c5"/>
        <w:tabs>
          <w:tab w:val="left" w:pos="1479"/>
        </w:tabs>
        <w:spacing w:line="240" w:lineRule="auto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  <w:r w:rsidRPr="0005684F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RESUELVE</w:t>
      </w:r>
    </w:p>
    <w:p w:rsidR="00714DC2" w:rsidRPr="0005684F" w:rsidRDefault="00714DC2" w:rsidP="00714DC2">
      <w:pPr>
        <w:pStyle w:val="p2"/>
        <w:spacing w:line="0" w:lineRule="atLeast"/>
        <w:ind w:left="0"/>
        <w:jc w:val="center"/>
        <w:rPr>
          <w:rFonts w:ascii="Arial" w:hAnsi="Arial" w:cs="Arial"/>
          <w:color w:val="000000" w:themeColor="text1"/>
          <w:sz w:val="22"/>
          <w:szCs w:val="22"/>
          <w:lang w:val="es-CO"/>
        </w:rPr>
      </w:pPr>
    </w:p>
    <w:p w:rsidR="002A5F3D" w:rsidRPr="002A5F3D" w:rsidRDefault="002A5F3D" w:rsidP="002A5F3D">
      <w:pPr>
        <w:widowControl w:val="0"/>
        <w:autoSpaceDE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CO" w:eastAsia="es-CO" w:bidi="es-CO"/>
        </w:rPr>
      </w:pPr>
      <w:r w:rsidRPr="002A5F3D">
        <w:rPr>
          <w:rFonts w:ascii="Arial" w:eastAsia="Arial" w:hAnsi="Arial" w:cs="Arial"/>
          <w:b/>
          <w:color w:val="000000" w:themeColor="text1"/>
          <w:sz w:val="22"/>
          <w:szCs w:val="22"/>
          <w:lang w:val="es-CO" w:eastAsia="es-CO" w:bidi="es-CO"/>
        </w:rPr>
        <w:t>Artículo 1o.</w:t>
      </w:r>
      <w:r w:rsidRPr="002A5F3D">
        <w:rPr>
          <w:rFonts w:ascii="Arial" w:eastAsia="Arial" w:hAnsi="Arial" w:cs="Arial"/>
          <w:color w:val="000000" w:themeColor="text1"/>
          <w:sz w:val="22"/>
          <w:szCs w:val="22"/>
          <w:lang w:val="es-CO" w:eastAsia="es-CO" w:bidi="es-CO"/>
        </w:rPr>
        <w:t xml:space="preserve"> Modificar el artículo 7o. de la Resolución No. 12 de 2018 de la Comisión Nacional de Crédito Agropecuario -CNCA, el cual quedará así:</w:t>
      </w:r>
    </w:p>
    <w:p w:rsidR="002A5F3D" w:rsidRPr="002A5F3D" w:rsidRDefault="002A5F3D" w:rsidP="002A5F3D">
      <w:pPr>
        <w:widowControl w:val="0"/>
        <w:autoSpaceDE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CO" w:eastAsia="es-CO" w:bidi="es-CO"/>
        </w:rPr>
      </w:pPr>
    </w:p>
    <w:p w:rsidR="002A5F3D" w:rsidRPr="002A5F3D" w:rsidRDefault="002A5F3D" w:rsidP="002A5F3D">
      <w:pPr>
        <w:widowControl w:val="0"/>
        <w:tabs>
          <w:tab w:val="left" w:pos="284"/>
        </w:tabs>
        <w:autoSpaceDE w:val="0"/>
        <w:autoSpaceDN w:val="0"/>
        <w:spacing w:before="1"/>
        <w:ind w:right="81"/>
        <w:jc w:val="both"/>
        <w:rPr>
          <w:rFonts w:ascii="Arial" w:eastAsia="Arial" w:hAnsi="Arial" w:cs="Arial"/>
          <w:i/>
          <w:sz w:val="22"/>
          <w:szCs w:val="22"/>
          <w:lang w:val="es-CO" w:eastAsia="es-CO" w:bidi="es-CO"/>
        </w:rPr>
      </w:pPr>
      <w:bookmarkStart w:id="0" w:name="_Hlk531946705"/>
      <w:r w:rsidRPr="002A5F3D">
        <w:rPr>
          <w:rFonts w:ascii="Arial" w:eastAsia="Arial" w:hAnsi="Arial" w:cs="Arial"/>
          <w:b/>
          <w:i/>
          <w:color w:val="000000" w:themeColor="text1"/>
          <w:sz w:val="22"/>
          <w:szCs w:val="22"/>
          <w:lang w:val="es-CO" w:eastAsia="es-CO" w:bidi="es-CO"/>
        </w:rPr>
        <w:t xml:space="preserve">“Artículo 7o. Línea Especial de Crédito </w:t>
      </w:r>
      <w:bookmarkEnd w:id="0"/>
      <w:r w:rsidRPr="002A5F3D">
        <w:rPr>
          <w:rFonts w:ascii="Arial" w:eastAsia="Arial" w:hAnsi="Arial" w:cs="Arial"/>
          <w:b/>
          <w:i/>
          <w:color w:val="000000" w:themeColor="text1"/>
          <w:sz w:val="22"/>
          <w:szCs w:val="22"/>
          <w:lang w:val="es-CO" w:eastAsia="es-CO" w:bidi="es-CO"/>
        </w:rPr>
        <w:t xml:space="preserve">- Agricultura por </w:t>
      </w:r>
      <w:r w:rsidR="002E658A" w:rsidRPr="002A5F3D">
        <w:rPr>
          <w:rFonts w:ascii="Arial" w:eastAsia="Arial" w:hAnsi="Arial" w:cs="Arial"/>
          <w:b/>
          <w:i/>
          <w:color w:val="000000" w:themeColor="text1"/>
          <w:sz w:val="22"/>
          <w:szCs w:val="22"/>
          <w:lang w:val="es-CO" w:eastAsia="es-CO" w:bidi="es-CO"/>
        </w:rPr>
        <w:t>Contrato</w:t>
      </w:r>
      <w:r w:rsidRPr="002A5F3D"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t xml:space="preserve">. La Línea Especial de Crédito “Agricultura por Contrato”, es una línea </w:t>
      </w:r>
      <w:r w:rsidRPr="002A5F3D">
        <w:rPr>
          <w:rFonts w:ascii="Arial" w:eastAsia="Arial" w:hAnsi="Arial" w:cs="Arial"/>
          <w:i/>
          <w:sz w:val="22"/>
          <w:szCs w:val="22"/>
          <w:lang w:val="es-CO" w:eastAsia="es-CO" w:bidi="es-CO"/>
        </w:rPr>
        <w:t>para atender necesidades de capital de trabajo, que tendrá las siguientes condiciones:</w:t>
      </w:r>
    </w:p>
    <w:p w:rsidR="002A5F3D" w:rsidRPr="002A5F3D" w:rsidRDefault="002A5F3D" w:rsidP="002A5F3D">
      <w:pPr>
        <w:widowControl w:val="0"/>
        <w:autoSpaceDE w:val="0"/>
        <w:autoSpaceDN w:val="0"/>
        <w:ind w:right="81"/>
        <w:jc w:val="both"/>
        <w:rPr>
          <w:rFonts w:ascii="Arial" w:eastAsia="Arial" w:hAnsi="Arial" w:cs="Arial"/>
          <w:b/>
          <w:i/>
          <w:sz w:val="22"/>
          <w:szCs w:val="22"/>
          <w:lang w:val="es-CO" w:eastAsia="es-CO" w:bidi="es-CO"/>
        </w:rPr>
      </w:pPr>
    </w:p>
    <w:p w:rsidR="002A5F3D" w:rsidRPr="002A5F3D" w:rsidRDefault="002A5F3D" w:rsidP="002A5F3D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spacing w:before="77" w:line="0" w:lineRule="atLeast"/>
        <w:ind w:left="284" w:right="81" w:hanging="284"/>
        <w:jc w:val="both"/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</w:pPr>
      <w:r w:rsidRPr="002A5F3D">
        <w:rPr>
          <w:rFonts w:ascii="Arial" w:eastAsia="Arial" w:hAnsi="Arial" w:cs="Arial"/>
          <w:i/>
          <w:sz w:val="22"/>
          <w:szCs w:val="22"/>
          <w:lang w:val="es-CO" w:eastAsia="es-CO" w:bidi="es-CO"/>
        </w:rPr>
        <w:t>Beneficiarios: Podrán acceder a esta línea de crédito los</w:t>
      </w:r>
      <w:r w:rsidRPr="002A5F3D"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t xml:space="preserve"> Pequeños y Medianos Productores</w:t>
      </w:r>
      <w:r w:rsidRPr="002A5F3D">
        <w:rPr>
          <w:rFonts w:ascii="Arial" w:eastAsia="Arial" w:hAnsi="Arial" w:cs="Arial"/>
          <w:i/>
          <w:sz w:val="22"/>
          <w:szCs w:val="22"/>
          <w:lang w:val="es-CO" w:eastAsia="es-CO" w:bidi="es-CO"/>
        </w:rPr>
        <w:t>, persona natural o jurídica, según la clasificación vigente</w:t>
      </w:r>
      <w:r w:rsidRPr="002A5F3D"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t>, que tramiten un crédito para las siguientes actividades:</w:t>
      </w:r>
    </w:p>
    <w:p w:rsidR="002A5F3D" w:rsidRPr="002A5F3D" w:rsidRDefault="002A5F3D" w:rsidP="002A5F3D">
      <w:pPr>
        <w:widowControl w:val="0"/>
        <w:autoSpaceDE w:val="0"/>
        <w:autoSpaceDN w:val="0"/>
        <w:jc w:val="both"/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</w:pPr>
    </w:p>
    <w:p w:rsidR="002A5F3D" w:rsidRPr="002A5F3D" w:rsidRDefault="002A5F3D" w:rsidP="002A5F3D">
      <w:pPr>
        <w:widowControl w:val="0"/>
        <w:tabs>
          <w:tab w:val="left" w:pos="284"/>
          <w:tab w:val="left" w:pos="426"/>
        </w:tabs>
        <w:autoSpaceDE w:val="0"/>
        <w:autoSpaceDN w:val="0"/>
        <w:spacing w:before="77"/>
        <w:ind w:left="284" w:right="81" w:firstLine="142"/>
        <w:jc w:val="both"/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</w:pPr>
      <w:r w:rsidRPr="002A5F3D"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t>i.  Actividades rurales</w:t>
      </w:r>
    </w:p>
    <w:p w:rsidR="002A5F3D" w:rsidRPr="002A5F3D" w:rsidRDefault="002A5F3D" w:rsidP="002A5F3D">
      <w:pPr>
        <w:widowControl w:val="0"/>
        <w:tabs>
          <w:tab w:val="left" w:pos="284"/>
          <w:tab w:val="left" w:pos="426"/>
        </w:tabs>
        <w:autoSpaceDE w:val="0"/>
        <w:autoSpaceDN w:val="0"/>
        <w:spacing w:before="77"/>
        <w:ind w:left="284" w:right="81" w:firstLine="142"/>
        <w:jc w:val="both"/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</w:pPr>
      <w:r w:rsidRPr="002A5F3D"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t>ii. Producción</w:t>
      </w:r>
    </w:p>
    <w:p w:rsidR="002A5F3D" w:rsidRPr="002A5F3D" w:rsidRDefault="002A5F3D" w:rsidP="002A5F3D">
      <w:pPr>
        <w:widowControl w:val="0"/>
        <w:tabs>
          <w:tab w:val="left" w:pos="284"/>
          <w:tab w:val="left" w:pos="426"/>
        </w:tabs>
        <w:autoSpaceDE w:val="0"/>
        <w:autoSpaceDN w:val="0"/>
        <w:spacing w:before="77"/>
        <w:ind w:left="284" w:right="81" w:firstLine="142"/>
        <w:jc w:val="both"/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</w:pPr>
      <w:r w:rsidRPr="002A5F3D"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t>iii. Sostenimiento</w:t>
      </w:r>
    </w:p>
    <w:p w:rsidR="002A5F3D" w:rsidRPr="002A5F3D" w:rsidRDefault="002A5F3D" w:rsidP="002A5F3D">
      <w:pPr>
        <w:widowControl w:val="0"/>
        <w:tabs>
          <w:tab w:val="left" w:pos="284"/>
          <w:tab w:val="left" w:pos="426"/>
        </w:tabs>
        <w:autoSpaceDE w:val="0"/>
        <w:autoSpaceDN w:val="0"/>
        <w:spacing w:before="77"/>
        <w:ind w:left="284" w:right="81" w:firstLine="142"/>
        <w:jc w:val="both"/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</w:pPr>
      <w:r w:rsidRPr="002A5F3D"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t>iv. Comercialización</w:t>
      </w:r>
    </w:p>
    <w:p w:rsidR="002A5F3D" w:rsidRPr="002A5F3D" w:rsidRDefault="002A5F3D" w:rsidP="002A5F3D">
      <w:pPr>
        <w:widowControl w:val="0"/>
        <w:tabs>
          <w:tab w:val="left" w:pos="284"/>
          <w:tab w:val="left" w:pos="426"/>
        </w:tabs>
        <w:autoSpaceDE w:val="0"/>
        <w:autoSpaceDN w:val="0"/>
        <w:spacing w:before="77"/>
        <w:ind w:left="284" w:right="81"/>
        <w:jc w:val="both"/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</w:pPr>
    </w:p>
    <w:p w:rsidR="002A5F3D" w:rsidRPr="002A5F3D" w:rsidRDefault="002A5F3D" w:rsidP="002A5F3D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spacing w:before="77" w:line="0" w:lineRule="atLeast"/>
        <w:ind w:left="284" w:right="81" w:hanging="284"/>
        <w:jc w:val="both"/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</w:pPr>
      <w:r w:rsidRPr="002A5F3D"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t>Plazo del crédito: Será acorde al ciclo productivo de la actividad, más sesenta (60) días calendario, sin que supere un (1) año.</w:t>
      </w:r>
    </w:p>
    <w:p w:rsidR="002A5F3D" w:rsidRPr="002A5F3D" w:rsidRDefault="002A5F3D" w:rsidP="002A5F3D">
      <w:pPr>
        <w:widowControl w:val="0"/>
        <w:tabs>
          <w:tab w:val="left" w:pos="284"/>
          <w:tab w:val="left" w:pos="426"/>
        </w:tabs>
        <w:autoSpaceDE w:val="0"/>
        <w:autoSpaceDN w:val="0"/>
        <w:spacing w:before="77" w:line="0" w:lineRule="atLeast"/>
        <w:ind w:left="284" w:right="81"/>
        <w:jc w:val="both"/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</w:pPr>
    </w:p>
    <w:p w:rsidR="002A5F3D" w:rsidRPr="002A5F3D" w:rsidRDefault="002A5F3D" w:rsidP="002A5F3D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spacing w:before="77"/>
        <w:ind w:left="284" w:right="81" w:hanging="294"/>
        <w:jc w:val="both"/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</w:pPr>
      <w:r w:rsidRPr="002A5F3D"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t xml:space="preserve">Requisito especial: </w:t>
      </w:r>
      <w:r w:rsidRPr="002A5F3D">
        <w:rPr>
          <w:rFonts w:ascii="Arial" w:eastAsia="Arial" w:hAnsi="Arial" w:cs="Arial"/>
          <w:i/>
          <w:sz w:val="22"/>
          <w:szCs w:val="22"/>
          <w:lang w:val="es-CO" w:eastAsia="es-CO" w:bidi="es-CO"/>
        </w:rPr>
        <w:t>Para ser beneficiario de la presente línea, el</w:t>
      </w:r>
      <w:r w:rsidRPr="002A5F3D"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t xml:space="preserve"> productor deberá acreditar ante el Intermediario Financiero la suscripción de un contrato u orden de compra. Sin perjuicio de los elementos establecidos en el artículo 1501 del Código Civil, y los demás requisitos y validaciones conforme la política de administración de garantías del Intermediario Financiero, el contrato u orden de compra deberá </w:t>
      </w:r>
      <w:r w:rsidRPr="002A5F3D"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lastRenderedPageBreak/>
        <w:t xml:space="preserve">contemplar como mínimo lo siguiente: </w:t>
      </w:r>
    </w:p>
    <w:p w:rsidR="002A5F3D" w:rsidRPr="002A5F3D" w:rsidRDefault="002A5F3D" w:rsidP="002A5F3D">
      <w:pPr>
        <w:widowControl w:val="0"/>
        <w:autoSpaceDE w:val="0"/>
        <w:autoSpaceDN w:val="0"/>
        <w:spacing w:line="0" w:lineRule="atLeast"/>
        <w:ind w:left="567" w:hanging="567"/>
        <w:jc w:val="both"/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</w:pPr>
    </w:p>
    <w:p w:rsidR="002A5F3D" w:rsidRPr="002A5F3D" w:rsidRDefault="002A5F3D" w:rsidP="002A5F3D">
      <w:pPr>
        <w:widowControl w:val="0"/>
        <w:autoSpaceDE w:val="0"/>
        <w:autoSpaceDN w:val="0"/>
        <w:ind w:left="624" w:hanging="340"/>
        <w:jc w:val="both"/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</w:pPr>
      <w:r w:rsidRPr="002A5F3D"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t>i.   El plazo para el cumplimiento de las obligaciones derivadas del mencionado contrato u orden de compra que garantizan el pago de la obligación crediticia, no podrá ser superior al plazo del crédito.</w:t>
      </w:r>
    </w:p>
    <w:p w:rsidR="002A5F3D" w:rsidRPr="002A5F3D" w:rsidRDefault="002A5F3D" w:rsidP="002A5F3D">
      <w:pPr>
        <w:widowControl w:val="0"/>
        <w:autoSpaceDE w:val="0"/>
        <w:autoSpaceDN w:val="0"/>
        <w:ind w:left="624" w:hanging="340"/>
        <w:jc w:val="both"/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</w:pPr>
    </w:p>
    <w:p w:rsidR="002A5F3D" w:rsidRPr="002A5F3D" w:rsidRDefault="002A5F3D" w:rsidP="002A5F3D">
      <w:pPr>
        <w:widowControl w:val="0"/>
        <w:autoSpaceDE w:val="0"/>
        <w:autoSpaceDN w:val="0"/>
        <w:ind w:left="624" w:hanging="340"/>
        <w:jc w:val="both"/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</w:pPr>
      <w:r w:rsidRPr="002A5F3D"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t>ii.  El objeto del contrato u orden de compra deberá ser la comercialización, compra y/o suministro de productos agropecuarios futuros con un tercero.</w:t>
      </w:r>
    </w:p>
    <w:p w:rsidR="002A5F3D" w:rsidRPr="002A5F3D" w:rsidRDefault="002A5F3D" w:rsidP="002A5F3D">
      <w:pPr>
        <w:widowControl w:val="0"/>
        <w:autoSpaceDE w:val="0"/>
        <w:autoSpaceDN w:val="0"/>
        <w:ind w:left="624" w:hanging="340"/>
        <w:jc w:val="both"/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</w:pPr>
    </w:p>
    <w:p w:rsidR="002A5F3D" w:rsidRPr="002A5F3D" w:rsidRDefault="002A5F3D" w:rsidP="002A5F3D">
      <w:pPr>
        <w:widowControl w:val="0"/>
        <w:autoSpaceDE w:val="0"/>
        <w:autoSpaceDN w:val="0"/>
        <w:ind w:left="624" w:hanging="340"/>
        <w:jc w:val="both"/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</w:pPr>
      <w:r w:rsidRPr="002A5F3D"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t xml:space="preserve">iii. El contrato u orden de compra deberá tener como parte compradora a </w:t>
      </w:r>
      <w:proofErr w:type="spellStart"/>
      <w:r w:rsidRPr="002A5F3D"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t>precooperativas</w:t>
      </w:r>
      <w:proofErr w:type="spellEnd"/>
      <w:r w:rsidRPr="002A5F3D"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t>, cooperativas, asociaciones mutuales, asociaciones de productores, sociedades comerciales, patrimonios autónomos o personas naturales con establecimiento de comercio.</w:t>
      </w:r>
    </w:p>
    <w:p w:rsidR="002A5F3D" w:rsidRPr="002A5F3D" w:rsidRDefault="002A5F3D" w:rsidP="002A5F3D">
      <w:pPr>
        <w:widowControl w:val="0"/>
        <w:autoSpaceDE w:val="0"/>
        <w:autoSpaceDN w:val="0"/>
        <w:ind w:left="284"/>
        <w:jc w:val="both"/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</w:pPr>
    </w:p>
    <w:p w:rsidR="002A5F3D" w:rsidRPr="002A5F3D" w:rsidRDefault="002A5F3D" w:rsidP="002A5F3D">
      <w:pPr>
        <w:widowControl w:val="0"/>
        <w:autoSpaceDE w:val="0"/>
        <w:autoSpaceDN w:val="0"/>
        <w:ind w:left="624" w:hanging="340"/>
        <w:jc w:val="both"/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</w:pPr>
      <w:r w:rsidRPr="002A5F3D"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t>iv.  La vinculación como beneficiario del pago al Intermediario Financiero o ceder a su favor los derechos económicos del contrato.</w:t>
      </w:r>
    </w:p>
    <w:p w:rsidR="002A5F3D" w:rsidRPr="002A5F3D" w:rsidRDefault="002A5F3D" w:rsidP="002A5F3D">
      <w:pPr>
        <w:widowControl w:val="0"/>
        <w:autoSpaceDE w:val="0"/>
        <w:autoSpaceDN w:val="0"/>
        <w:ind w:left="284"/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</w:pPr>
    </w:p>
    <w:p w:rsidR="002A5F3D" w:rsidRPr="002A5F3D" w:rsidRDefault="002A5F3D" w:rsidP="002A5F3D">
      <w:pPr>
        <w:widowControl w:val="0"/>
        <w:autoSpaceDE w:val="0"/>
        <w:autoSpaceDN w:val="0"/>
        <w:ind w:left="624" w:hanging="340"/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</w:pPr>
      <w:r w:rsidRPr="002A5F3D"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t>v.  El precio o un sistema de cálculo del precio, así como la cantidad o un sistema de determinación de la cantidad.</w:t>
      </w:r>
    </w:p>
    <w:p w:rsidR="002A5F3D" w:rsidRPr="002A5F3D" w:rsidRDefault="002A5F3D" w:rsidP="002A5F3D">
      <w:pPr>
        <w:widowControl w:val="0"/>
        <w:autoSpaceDE w:val="0"/>
        <w:autoSpaceDN w:val="0"/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</w:pPr>
    </w:p>
    <w:p w:rsidR="002A5F3D" w:rsidRPr="002A5F3D" w:rsidRDefault="002A5F3D" w:rsidP="002A5F3D">
      <w:pPr>
        <w:widowControl w:val="0"/>
        <w:numPr>
          <w:ilvl w:val="0"/>
          <w:numId w:val="1"/>
        </w:numPr>
        <w:tabs>
          <w:tab w:val="left" w:pos="284"/>
          <w:tab w:val="left" w:pos="360"/>
          <w:tab w:val="left" w:pos="426"/>
        </w:tabs>
        <w:autoSpaceDE w:val="0"/>
        <w:autoSpaceDN w:val="0"/>
        <w:spacing w:before="77"/>
        <w:ind w:left="284" w:right="81" w:hanging="284"/>
        <w:jc w:val="both"/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</w:pPr>
      <w:r w:rsidRPr="002A5F3D"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t>Tasa de Interés, tasa de redescuento y subsidio a la tasa de interés:</w:t>
      </w:r>
    </w:p>
    <w:p w:rsidR="002A5F3D" w:rsidRPr="002A5F3D" w:rsidRDefault="002A5F3D" w:rsidP="002A5F3D">
      <w:pPr>
        <w:widowControl w:val="0"/>
        <w:tabs>
          <w:tab w:val="left" w:pos="360"/>
        </w:tabs>
        <w:autoSpaceDE w:val="0"/>
        <w:autoSpaceDN w:val="0"/>
        <w:spacing w:line="0" w:lineRule="atLeast"/>
        <w:ind w:left="284" w:hanging="284"/>
        <w:jc w:val="both"/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</w:pPr>
    </w:p>
    <w:tbl>
      <w:tblPr>
        <w:tblStyle w:val="Tabladecuadrcula4-nfasis641"/>
        <w:tblW w:w="8159" w:type="dxa"/>
        <w:tblInd w:w="704" w:type="dxa"/>
        <w:tblLook w:val="04A0" w:firstRow="1" w:lastRow="0" w:firstColumn="1" w:lastColumn="0" w:noHBand="0" w:noVBand="1"/>
      </w:tblPr>
      <w:tblGrid>
        <w:gridCol w:w="2716"/>
        <w:gridCol w:w="1929"/>
        <w:gridCol w:w="2210"/>
        <w:gridCol w:w="1304"/>
      </w:tblGrid>
      <w:tr w:rsidR="002A5F3D" w:rsidRPr="002A5F3D" w:rsidTr="003B4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vAlign w:val="center"/>
          </w:tcPr>
          <w:p w:rsidR="002A5F3D" w:rsidRPr="002A5F3D" w:rsidRDefault="002A5F3D" w:rsidP="002A5F3D">
            <w:pPr>
              <w:jc w:val="center"/>
              <w:rPr>
                <w:rFonts w:ascii="Arial" w:eastAsia="Arial" w:hAnsi="Arial" w:cs="Arial"/>
                <w:i/>
                <w:color w:val="000000" w:themeColor="text1"/>
                <w:sz w:val="18"/>
                <w:lang w:val="es-ES_tradnl" w:eastAsia="es-CO" w:bidi="es-CO"/>
              </w:rPr>
            </w:pPr>
            <w:r w:rsidRPr="002A5F3D">
              <w:rPr>
                <w:rFonts w:ascii="Arial" w:eastAsia="Arial" w:hAnsi="Arial" w:cs="Arial"/>
                <w:i/>
                <w:color w:val="000000" w:themeColor="text1"/>
                <w:sz w:val="18"/>
                <w:lang w:val="es-ES_tradnl" w:eastAsia="es-CO" w:bidi="es-CO"/>
              </w:rPr>
              <w:t xml:space="preserve">TIPO DE PRODUCTOR </w:t>
            </w:r>
          </w:p>
        </w:tc>
        <w:tc>
          <w:tcPr>
            <w:tcW w:w="1929" w:type="dxa"/>
            <w:vAlign w:val="center"/>
          </w:tcPr>
          <w:p w:rsidR="002A5F3D" w:rsidRPr="002A5F3D" w:rsidRDefault="002A5F3D" w:rsidP="002A5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000000" w:themeColor="text1"/>
                <w:sz w:val="18"/>
                <w:lang w:val="es-ES_tradnl" w:eastAsia="es-CO" w:bidi="es-CO"/>
              </w:rPr>
            </w:pPr>
            <w:r w:rsidRPr="002A5F3D">
              <w:rPr>
                <w:rFonts w:ascii="Arial" w:eastAsia="Arial" w:hAnsi="Arial" w:cs="Arial"/>
                <w:i/>
                <w:color w:val="000000" w:themeColor="text1"/>
                <w:sz w:val="18"/>
                <w:lang w:val="es-ES_tradnl" w:eastAsia="es-CO" w:bidi="es-CO"/>
              </w:rPr>
              <w:t>TASA REDESCUENTO</w:t>
            </w:r>
          </w:p>
        </w:tc>
        <w:tc>
          <w:tcPr>
            <w:tcW w:w="2210" w:type="dxa"/>
            <w:vAlign w:val="center"/>
          </w:tcPr>
          <w:p w:rsidR="002A5F3D" w:rsidRPr="002A5F3D" w:rsidRDefault="002A5F3D" w:rsidP="002A5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000000" w:themeColor="text1"/>
                <w:sz w:val="18"/>
                <w:lang w:val="es-ES_tradnl" w:eastAsia="es-CO" w:bidi="es-CO"/>
              </w:rPr>
            </w:pPr>
            <w:r w:rsidRPr="002A5F3D">
              <w:rPr>
                <w:rFonts w:ascii="Arial" w:eastAsia="Arial" w:hAnsi="Arial" w:cs="Arial"/>
                <w:i/>
                <w:color w:val="000000" w:themeColor="text1"/>
                <w:sz w:val="18"/>
                <w:lang w:val="es-ES_tradnl" w:eastAsia="es-CO" w:bidi="es-CO"/>
              </w:rPr>
              <w:t>TASA INTERÉS</w:t>
            </w:r>
          </w:p>
        </w:tc>
        <w:tc>
          <w:tcPr>
            <w:tcW w:w="1304" w:type="dxa"/>
            <w:vAlign w:val="center"/>
          </w:tcPr>
          <w:p w:rsidR="002A5F3D" w:rsidRPr="002A5F3D" w:rsidRDefault="002A5F3D" w:rsidP="002A5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000000" w:themeColor="text1"/>
                <w:sz w:val="18"/>
                <w:lang w:val="es-ES_tradnl" w:eastAsia="es-CO" w:bidi="es-CO"/>
              </w:rPr>
            </w:pPr>
            <w:r w:rsidRPr="002A5F3D">
              <w:rPr>
                <w:rFonts w:ascii="Arial" w:eastAsia="Arial" w:hAnsi="Arial" w:cs="Arial"/>
                <w:i/>
                <w:color w:val="000000" w:themeColor="text1"/>
                <w:sz w:val="18"/>
                <w:lang w:val="es-ES_tradnl" w:eastAsia="es-CO" w:bidi="es-CO"/>
              </w:rPr>
              <w:t>SUBSIDIO</w:t>
            </w:r>
          </w:p>
        </w:tc>
      </w:tr>
      <w:tr w:rsidR="002A5F3D" w:rsidRPr="002A5F3D" w:rsidTr="003B4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vAlign w:val="center"/>
          </w:tcPr>
          <w:p w:rsidR="002A5F3D" w:rsidRPr="002A5F3D" w:rsidRDefault="002A5F3D" w:rsidP="002A5F3D">
            <w:pPr>
              <w:rPr>
                <w:rFonts w:ascii="Arial" w:eastAsia="Arial" w:hAnsi="Arial" w:cs="Arial"/>
                <w:i/>
                <w:color w:val="000000" w:themeColor="text1"/>
                <w:sz w:val="18"/>
                <w:lang w:val="es-ES_tradnl" w:eastAsia="es-CO" w:bidi="es-CO"/>
              </w:rPr>
            </w:pPr>
            <w:r w:rsidRPr="002A5F3D">
              <w:rPr>
                <w:rFonts w:ascii="Arial" w:eastAsia="Arial" w:hAnsi="Arial" w:cs="Arial"/>
                <w:i/>
                <w:color w:val="000000" w:themeColor="text1"/>
                <w:sz w:val="18"/>
                <w:lang w:val="es-ES_tradnl" w:eastAsia="es-CO" w:bidi="es-CO"/>
              </w:rPr>
              <w:t>Pequeño Productor</w:t>
            </w:r>
          </w:p>
        </w:tc>
        <w:tc>
          <w:tcPr>
            <w:tcW w:w="1929" w:type="dxa"/>
          </w:tcPr>
          <w:p w:rsidR="002A5F3D" w:rsidRPr="002A5F3D" w:rsidRDefault="002A5F3D" w:rsidP="002A5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000000" w:themeColor="text1"/>
                <w:sz w:val="18"/>
                <w:lang w:val="es-ES_tradnl" w:eastAsia="es-CO" w:bidi="es-CO"/>
              </w:rPr>
            </w:pPr>
            <w:r w:rsidRPr="002A5F3D">
              <w:rPr>
                <w:rFonts w:ascii="Arial" w:eastAsia="Arial" w:hAnsi="Arial" w:cs="Arial"/>
                <w:i/>
                <w:color w:val="000000" w:themeColor="text1"/>
                <w:sz w:val="18"/>
                <w:lang w:val="es-ES_tradnl" w:eastAsia="es-CO" w:bidi="es-CO"/>
              </w:rPr>
              <w:t xml:space="preserve">DTF - 2.5% </w:t>
            </w:r>
            <w:proofErr w:type="spellStart"/>
            <w:r w:rsidRPr="002A5F3D">
              <w:rPr>
                <w:rFonts w:ascii="Arial" w:eastAsia="Arial" w:hAnsi="Arial" w:cs="Arial"/>
                <w:i/>
                <w:color w:val="000000" w:themeColor="text1"/>
                <w:sz w:val="18"/>
                <w:lang w:val="es-ES_tradnl" w:eastAsia="es-CO" w:bidi="es-CO"/>
              </w:rPr>
              <w:t>e.a</w:t>
            </w:r>
            <w:proofErr w:type="spellEnd"/>
            <w:r w:rsidRPr="002A5F3D">
              <w:rPr>
                <w:rFonts w:ascii="Arial" w:eastAsia="Arial" w:hAnsi="Arial" w:cs="Arial"/>
                <w:i/>
                <w:color w:val="000000" w:themeColor="text1"/>
                <w:sz w:val="18"/>
                <w:lang w:val="es-ES_tradnl" w:eastAsia="es-CO" w:bidi="es-CO"/>
              </w:rPr>
              <w:t>.</w:t>
            </w:r>
          </w:p>
        </w:tc>
        <w:tc>
          <w:tcPr>
            <w:tcW w:w="2210" w:type="dxa"/>
          </w:tcPr>
          <w:p w:rsidR="002A5F3D" w:rsidRPr="002A5F3D" w:rsidRDefault="002A5F3D" w:rsidP="002A5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000000" w:themeColor="text1"/>
                <w:sz w:val="18"/>
                <w:lang w:val="es-ES_tradnl" w:eastAsia="es-CO" w:bidi="es-CO"/>
              </w:rPr>
            </w:pPr>
            <w:r w:rsidRPr="002A5F3D">
              <w:rPr>
                <w:rFonts w:ascii="Arial" w:eastAsia="Arial" w:hAnsi="Arial" w:cs="Arial"/>
                <w:i/>
                <w:color w:val="000000" w:themeColor="text1"/>
                <w:sz w:val="18"/>
                <w:lang w:val="es-ES_tradnl" w:eastAsia="es-CO" w:bidi="es-CO"/>
              </w:rPr>
              <w:t xml:space="preserve">Hasta DTF -1% </w:t>
            </w:r>
            <w:proofErr w:type="spellStart"/>
            <w:r w:rsidRPr="002A5F3D">
              <w:rPr>
                <w:rFonts w:ascii="Arial" w:eastAsia="Arial" w:hAnsi="Arial" w:cs="Arial"/>
                <w:i/>
                <w:color w:val="000000" w:themeColor="text1"/>
                <w:sz w:val="18"/>
                <w:lang w:val="es-ES_tradnl" w:eastAsia="es-CO" w:bidi="es-CO"/>
              </w:rPr>
              <w:t>e.a</w:t>
            </w:r>
            <w:proofErr w:type="spellEnd"/>
            <w:r w:rsidRPr="002A5F3D">
              <w:rPr>
                <w:rFonts w:ascii="Arial" w:eastAsia="Arial" w:hAnsi="Arial" w:cs="Arial"/>
                <w:i/>
                <w:color w:val="000000" w:themeColor="text1"/>
                <w:sz w:val="18"/>
                <w:lang w:val="es-ES_tradnl" w:eastAsia="es-CO" w:bidi="es-CO"/>
              </w:rPr>
              <w:t>.</w:t>
            </w:r>
          </w:p>
        </w:tc>
        <w:tc>
          <w:tcPr>
            <w:tcW w:w="1304" w:type="dxa"/>
          </w:tcPr>
          <w:p w:rsidR="002A5F3D" w:rsidRPr="002A5F3D" w:rsidRDefault="002A5F3D" w:rsidP="002A5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000000" w:themeColor="text1"/>
                <w:sz w:val="18"/>
                <w:lang w:val="es-ES_tradnl" w:eastAsia="es-CO" w:bidi="es-CO"/>
              </w:rPr>
            </w:pPr>
            <w:r w:rsidRPr="002A5F3D">
              <w:rPr>
                <w:rFonts w:ascii="Arial" w:eastAsia="Arial" w:hAnsi="Arial" w:cs="Arial"/>
                <w:i/>
                <w:color w:val="000000" w:themeColor="text1"/>
                <w:sz w:val="18"/>
                <w:lang w:val="es-ES_tradnl" w:eastAsia="es-CO" w:bidi="es-CO"/>
              </w:rPr>
              <w:t xml:space="preserve">7% </w:t>
            </w:r>
            <w:proofErr w:type="spellStart"/>
            <w:r w:rsidRPr="002A5F3D">
              <w:rPr>
                <w:rFonts w:ascii="Arial" w:eastAsia="Arial" w:hAnsi="Arial" w:cs="Arial"/>
                <w:i/>
                <w:color w:val="000000" w:themeColor="text1"/>
                <w:sz w:val="18"/>
                <w:lang w:val="es-ES_tradnl" w:eastAsia="es-CO" w:bidi="es-CO"/>
              </w:rPr>
              <w:t>e.a</w:t>
            </w:r>
            <w:proofErr w:type="spellEnd"/>
            <w:r w:rsidRPr="002A5F3D">
              <w:rPr>
                <w:rFonts w:ascii="Arial" w:eastAsia="Arial" w:hAnsi="Arial" w:cs="Arial"/>
                <w:i/>
                <w:color w:val="000000" w:themeColor="text1"/>
                <w:sz w:val="18"/>
                <w:lang w:val="es-ES_tradnl" w:eastAsia="es-CO" w:bidi="es-CO"/>
              </w:rPr>
              <w:t xml:space="preserve">. </w:t>
            </w:r>
          </w:p>
        </w:tc>
      </w:tr>
      <w:tr w:rsidR="002A5F3D" w:rsidRPr="002A5F3D" w:rsidTr="003B4808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vAlign w:val="center"/>
          </w:tcPr>
          <w:p w:rsidR="002A5F3D" w:rsidRPr="002A5F3D" w:rsidRDefault="002A5F3D" w:rsidP="002A5F3D">
            <w:pPr>
              <w:rPr>
                <w:rFonts w:ascii="Arial" w:eastAsia="Arial" w:hAnsi="Arial" w:cs="Arial"/>
                <w:i/>
                <w:color w:val="000000" w:themeColor="text1"/>
                <w:sz w:val="18"/>
                <w:lang w:val="es-ES_tradnl" w:eastAsia="es-CO" w:bidi="es-CO"/>
              </w:rPr>
            </w:pPr>
            <w:r w:rsidRPr="002A5F3D">
              <w:rPr>
                <w:rFonts w:ascii="Arial" w:eastAsia="Arial" w:hAnsi="Arial" w:cs="Arial"/>
                <w:i/>
                <w:color w:val="000000" w:themeColor="text1"/>
                <w:sz w:val="18"/>
                <w:lang w:val="es-ES_tradnl" w:eastAsia="es-CO" w:bidi="es-CO"/>
              </w:rPr>
              <w:t>Mediano Productor</w:t>
            </w:r>
          </w:p>
        </w:tc>
        <w:tc>
          <w:tcPr>
            <w:tcW w:w="1929" w:type="dxa"/>
          </w:tcPr>
          <w:p w:rsidR="002A5F3D" w:rsidRPr="002A5F3D" w:rsidRDefault="002A5F3D" w:rsidP="002A5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000000" w:themeColor="text1"/>
                <w:sz w:val="18"/>
                <w:lang w:val="es-ES_tradnl" w:eastAsia="es-CO" w:bidi="es-CO"/>
              </w:rPr>
            </w:pPr>
            <w:r w:rsidRPr="002A5F3D">
              <w:rPr>
                <w:rFonts w:ascii="Arial" w:eastAsia="Arial" w:hAnsi="Arial" w:cs="Arial"/>
                <w:i/>
                <w:color w:val="000000" w:themeColor="text1"/>
                <w:sz w:val="18"/>
                <w:lang w:val="es-ES_tradnl" w:eastAsia="es-CO" w:bidi="es-CO"/>
              </w:rPr>
              <w:t xml:space="preserve">DTF + 1% </w:t>
            </w:r>
            <w:proofErr w:type="spellStart"/>
            <w:r w:rsidRPr="002A5F3D">
              <w:rPr>
                <w:rFonts w:ascii="Arial" w:eastAsia="Arial" w:hAnsi="Arial" w:cs="Arial"/>
                <w:i/>
                <w:color w:val="000000" w:themeColor="text1"/>
                <w:sz w:val="18"/>
                <w:lang w:val="es-ES_tradnl" w:eastAsia="es-CO" w:bidi="es-CO"/>
              </w:rPr>
              <w:t>e.a</w:t>
            </w:r>
            <w:proofErr w:type="spellEnd"/>
            <w:r w:rsidRPr="002A5F3D">
              <w:rPr>
                <w:rFonts w:ascii="Arial" w:eastAsia="Arial" w:hAnsi="Arial" w:cs="Arial"/>
                <w:i/>
                <w:color w:val="000000" w:themeColor="text1"/>
                <w:sz w:val="18"/>
                <w:lang w:val="es-ES_tradnl" w:eastAsia="es-CO" w:bidi="es-CO"/>
              </w:rPr>
              <w:t xml:space="preserve">. </w:t>
            </w:r>
          </w:p>
        </w:tc>
        <w:tc>
          <w:tcPr>
            <w:tcW w:w="2210" w:type="dxa"/>
          </w:tcPr>
          <w:p w:rsidR="002A5F3D" w:rsidRPr="002A5F3D" w:rsidRDefault="002A5F3D" w:rsidP="002A5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000000" w:themeColor="text1"/>
                <w:sz w:val="18"/>
                <w:lang w:val="es-ES_tradnl" w:eastAsia="es-CO" w:bidi="es-CO"/>
              </w:rPr>
            </w:pPr>
            <w:r w:rsidRPr="002A5F3D">
              <w:rPr>
                <w:rFonts w:ascii="Arial" w:eastAsia="Arial" w:hAnsi="Arial" w:cs="Arial"/>
                <w:i/>
                <w:color w:val="000000" w:themeColor="text1"/>
                <w:sz w:val="18"/>
                <w:lang w:val="es-ES_tradnl" w:eastAsia="es-CO" w:bidi="es-CO"/>
              </w:rPr>
              <w:t xml:space="preserve">Hasta DTF + 1% </w:t>
            </w:r>
            <w:proofErr w:type="spellStart"/>
            <w:r w:rsidRPr="002A5F3D">
              <w:rPr>
                <w:rFonts w:ascii="Arial" w:eastAsia="Arial" w:hAnsi="Arial" w:cs="Arial"/>
                <w:i/>
                <w:color w:val="000000" w:themeColor="text1"/>
                <w:sz w:val="18"/>
                <w:lang w:val="es-ES_tradnl" w:eastAsia="es-CO" w:bidi="es-CO"/>
              </w:rPr>
              <w:t>e.a</w:t>
            </w:r>
            <w:proofErr w:type="spellEnd"/>
            <w:r w:rsidRPr="002A5F3D">
              <w:rPr>
                <w:rFonts w:ascii="Arial" w:eastAsia="Arial" w:hAnsi="Arial" w:cs="Arial"/>
                <w:i/>
                <w:color w:val="000000" w:themeColor="text1"/>
                <w:sz w:val="18"/>
                <w:lang w:val="es-ES_tradnl" w:eastAsia="es-CO" w:bidi="es-CO"/>
              </w:rPr>
              <w:t>.</w:t>
            </w:r>
          </w:p>
        </w:tc>
        <w:tc>
          <w:tcPr>
            <w:tcW w:w="1304" w:type="dxa"/>
          </w:tcPr>
          <w:p w:rsidR="002A5F3D" w:rsidRPr="002A5F3D" w:rsidRDefault="002A5F3D" w:rsidP="002A5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000000" w:themeColor="text1"/>
                <w:sz w:val="18"/>
                <w:lang w:val="es-ES_tradnl" w:eastAsia="es-CO" w:bidi="es-CO"/>
              </w:rPr>
            </w:pPr>
            <w:r w:rsidRPr="002A5F3D">
              <w:rPr>
                <w:rFonts w:ascii="Arial" w:eastAsia="Arial" w:hAnsi="Arial" w:cs="Arial"/>
                <w:i/>
                <w:color w:val="000000" w:themeColor="text1"/>
                <w:sz w:val="18"/>
                <w:lang w:val="es-ES_tradnl" w:eastAsia="es-CO" w:bidi="es-CO"/>
              </w:rPr>
              <w:t xml:space="preserve">6% </w:t>
            </w:r>
            <w:proofErr w:type="spellStart"/>
            <w:r w:rsidRPr="002A5F3D">
              <w:rPr>
                <w:rFonts w:ascii="Arial" w:eastAsia="Arial" w:hAnsi="Arial" w:cs="Arial"/>
                <w:i/>
                <w:color w:val="000000" w:themeColor="text1"/>
                <w:sz w:val="18"/>
                <w:lang w:val="es-ES_tradnl" w:eastAsia="es-CO" w:bidi="es-CO"/>
              </w:rPr>
              <w:t>e.a</w:t>
            </w:r>
            <w:proofErr w:type="spellEnd"/>
            <w:r w:rsidRPr="002A5F3D">
              <w:rPr>
                <w:rFonts w:ascii="Arial" w:eastAsia="Arial" w:hAnsi="Arial" w:cs="Arial"/>
                <w:i/>
                <w:color w:val="000000" w:themeColor="text1"/>
                <w:sz w:val="18"/>
                <w:lang w:val="es-ES_tradnl" w:eastAsia="es-CO" w:bidi="es-CO"/>
              </w:rPr>
              <w:t>.</w:t>
            </w:r>
          </w:p>
        </w:tc>
      </w:tr>
    </w:tbl>
    <w:p w:rsidR="002A5F3D" w:rsidRDefault="002A5F3D" w:rsidP="002A5F3D">
      <w:pPr>
        <w:widowControl w:val="0"/>
        <w:autoSpaceDE w:val="0"/>
        <w:autoSpaceDN w:val="0"/>
        <w:spacing w:line="0" w:lineRule="atLeast"/>
        <w:ind w:left="993" w:hanging="284"/>
        <w:jc w:val="both"/>
        <w:rPr>
          <w:rFonts w:ascii="Arial" w:eastAsia="Arial" w:hAnsi="Arial" w:cs="Arial"/>
          <w:i/>
          <w:color w:val="000000" w:themeColor="text1"/>
          <w:sz w:val="20"/>
          <w:szCs w:val="22"/>
          <w:lang w:val="es-CO" w:eastAsia="es-CO" w:bidi="es-CO"/>
        </w:rPr>
      </w:pPr>
      <w:r w:rsidRPr="002A5F3D">
        <w:rPr>
          <w:rFonts w:ascii="Arial" w:eastAsia="Arial" w:hAnsi="Arial" w:cs="Arial"/>
          <w:i/>
          <w:color w:val="000000" w:themeColor="text1"/>
          <w:sz w:val="20"/>
          <w:szCs w:val="22"/>
          <w:lang w:val="es-CO" w:eastAsia="es-CO" w:bidi="es-CO"/>
        </w:rPr>
        <w:t>Estas operaciones sólo podrán tramitarse mediante redescuento ante FINAGRO.</w:t>
      </w:r>
    </w:p>
    <w:p w:rsidR="006D2DEB" w:rsidRDefault="006D2DEB" w:rsidP="002A5F3D">
      <w:pPr>
        <w:widowControl w:val="0"/>
        <w:autoSpaceDE w:val="0"/>
        <w:autoSpaceDN w:val="0"/>
        <w:spacing w:line="0" w:lineRule="atLeast"/>
        <w:ind w:left="993" w:hanging="284"/>
        <w:jc w:val="both"/>
        <w:rPr>
          <w:rFonts w:ascii="Arial" w:eastAsia="Arial" w:hAnsi="Arial" w:cs="Arial"/>
          <w:i/>
          <w:color w:val="000000" w:themeColor="text1"/>
          <w:sz w:val="20"/>
          <w:szCs w:val="22"/>
          <w:lang w:val="es-CO" w:eastAsia="es-CO" w:bidi="es-CO"/>
        </w:rPr>
      </w:pPr>
    </w:p>
    <w:p w:rsidR="006D2DEB" w:rsidRDefault="006D2DEB" w:rsidP="006D2DEB">
      <w:pPr>
        <w:suppressAutoHyphens/>
        <w:ind w:left="284" w:right="51"/>
        <w:jc w:val="both"/>
        <w:rPr>
          <w:rFonts w:ascii="Arial" w:hAnsi="Arial" w:cs="Arial"/>
          <w:bCs/>
          <w:spacing w:val="-3"/>
          <w:sz w:val="22"/>
          <w:szCs w:val="22"/>
          <w:lang w:val="es-CO"/>
        </w:rPr>
      </w:pPr>
      <w:r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De conformidad con el artículo 2o. de la Resolución No. 8 de 2018, </w:t>
      </w:r>
      <w:r w:rsidRPr="00146A0C">
        <w:rPr>
          <w:rFonts w:ascii="Arial" w:hAnsi="Arial" w:cs="Arial"/>
          <w:bCs/>
          <w:spacing w:val="-3"/>
          <w:sz w:val="22"/>
          <w:szCs w:val="22"/>
          <w:lang w:val="es-CO"/>
        </w:rPr>
        <w:t>FINAGRO señalará la equivalencia de tasas a IBR aplicable a los incentivos o subsidios relacionados exclusivamente con el crédito establecidos por la CNCA.</w:t>
      </w:r>
    </w:p>
    <w:p w:rsidR="002A5F3D" w:rsidRPr="002A5F3D" w:rsidRDefault="002A5F3D" w:rsidP="002A5F3D">
      <w:pPr>
        <w:widowControl w:val="0"/>
        <w:autoSpaceDE w:val="0"/>
        <w:autoSpaceDN w:val="0"/>
        <w:spacing w:line="0" w:lineRule="atLeast"/>
        <w:jc w:val="both"/>
        <w:rPr>
          <w:rFonts w:ascii="Arial" w:eastAsia="Arial" w:hAnsi="Arial" w:cs="Arial"/>
          <w:i/>
          <w:color w:val="000000" w:themeColor="text1"/>
          <w:sz w:val="20"/>
          <w:szCs w:val="22"/>
          <w:lang w:val="es-CO" w:eastAsia="es-CO" w:bidi="es-CO"/>
        </w:rPr>
      </w:pPr>
    </w:p>
    <w:p w:rsidR="0083298C" w:rsidRPr="002A5F3D" w:rsidRDefault="0083298C" w:rsidP="008329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spacing w:before="77"/>
        <w:ind w:left="284" w:right="81" w:hanging="294"/>
        <w:jc w:val="both"/>
        <w:rPr>
          <w:rFonts w:ascii="Arial" w:eastAsia="Arial" w:hAnsi="Arial" w:cs="Arial"/>
          <w:i/>
          <w:sz w:val="22"/>
          <w:szCs w:val="22"/>
          <w:lang w:val="es-CO" w:eastAsia="es-CO" w:bidi="es-CO"/>
        </w:rPr>
      </w:pPr>
      <w:r w:rsidRPr="002A5F3D">
        <w:rPr>
          <w:rFonts w:ascii="Arial" w:eastAsia="Arial" w:hAnsi="Arial" w:cs="Arial"/>
          <w:i/>
          <w:sz w:val="22"/>
          <w:szCs w:val="22"/>
          <w:lang w:val="es-CO" w:eastAsia="es-CO" w:bidi="es-CO"/>
        </w:rPr>
        <w:t xml:space="preserve">Otorgamiento del Subsidio. Tendrán derecho al subsidio establecido en la presente línea, aquellos créditos registrados en FINAGRO, que cuenten con el </w:t>
      </w:r>
      <w:r>
        <w:rPr>
          <w:rFonts w:ascii="Arial" w:eastAsia="Arial" w:hAnsi="Arial" w:cs="Arial"/>
          <w:i/>
          <w:sz w:val="22"/>
          <w:szCs w:val="22"/>
          <w:lang w:val="es-CO" w:eastAsia="es-CO" w:bidi="es-CO"/>
        </w:rPr>
        <w:t>informe</w:t>
      </w:r>
      <w:r w:rsidRPr="002A5F3D">
        <w:rPr>
          <w:rFonts w:ascii="Arial" w:eastAsia="Arial" w:hAnsi="Arial" w:cs="Arial"/>
          <w:i/>
          <w:sz w:val="22"/>
          <w:szCs w:val="22"/>
          <w:lang w:val="es-CO" w:eastAsia="es-CO" w:bidi="es-CO"/>
        </w:rPr>
        <w:t xml:space="preserve"> del Intermediario Financiero d</w:t>
      </w:r>
      <w:r w:rsidRPr="002A5F3D">
        <w:rPr>
          <w:rFonts w:ascii="Arial" w:eastAsia="Arial" w:hAnsi="Arial" w:cs="Arial"/>
          <w:i/>
          <w:sz w:val="22"/>
          <w:szCs w:val="22"/>
          <w:lang w:eastAsia="es-CO" w:bidi="es-CO"/>
        </w:rPr>
        <w:t xml:space="preserve">el </w:t>
      </w:r>
      <w:r w:rsidRPr="002A5F3D">
        <w:rPr>
          <w:rFonts w:ascii="Arial" w:eastAsia="Arial" w:hAnsi="Arial" w:cs="Arial"/>
          <w:i/>
          <w:sz w:val="22"/>
          <w:szCs w:val="22"/>
          <w:lang w:val="es-CO" w:eastAsia="es-CO" w:bidi="es-CO"/>
        </w:rPr>
        <w:t>cumplimiento de la entrega de los productos agropecuarios de conformidad con el contrato u orden de compra</w:t>
      </w:r>
      <w:r>
        <w:rPr>
          <w:rFonts w:ascii="Arial" w:eastAsia="Arial" w:hAnsi="Arial" w:cs="Arial"/>
          <w:i/>
          <w:sz w:val="22"/>
          <w:szCs w:val="22"/>
          <w:lang w:val="es-CO" w:eastAsia="es-CO" w:bidi="es-CO"/>
        </w:rPr>
        <w:t xml:space="preserve"> </w:t>
      </w:r>
      <w:r w:rsidRPr="0083298C">
        <w:rPr>
          <w:rFonts w:ascii="Arial" w:eastAsia="Arial" w:hAnsi="Arial" w:cs="Arial"/>
          <w:i/>
          <w:color w:val="000000" w:themeColor="text1"/>
          <w:sz w:val="22"/>
          <w:szCs w:val="22"/>
          <w:highlight w:val="yellow"/>
          <w:lang w:eastAsia="es-CO" w:bidi="es-CO"/>
        </w:rPr>
        <w:t>o mediante el pago que realice el comprador por cuenta del productor</w:t>
      </w:r>
      <w:r w:rsidRPr="002A5F3D">
        <w:rPr>
          <w:rFonts w:ascii="Arial" w:eastAsia="Arial" w:hAnsi="Arial" w:cs="Arial"/>
          <w:i/>
          <w:sz w:val="22"/>
          <w:szCs w:val="22"/>
          <w:lang w:val="es-CO" w:eastAsia="es-CO" w:bidi="es-CO"/>
        </w:rPr>
        <w:t>.</w:t>
      </w:r>
    </w:p>
    <w:p w:rsidR="002A5F3D" w:rsidRPr="002A5F3D" w:rsidRDefault="002A5F3D" w:rsidP="002A5F3D">
      <w:pPr>
        <w:widowControl w:val="0"/>
        <w:autoSpaceDE w:val="0"/>
        <w:autoSpaceDN w:val="0"/>
        <w:spacing w:line="0" w:lineRule="atLeast"/>
        <w:ind w:left="284" w:hanging="284"/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</w:pPr>
    </w:p>
    <w:p w:rsidR="002A5F3D" w:rsidRPr="002A5F3D" w:rsidRDefault="002A5F3D" w:rsidP="002A5F3D">
      <w:pPr>
        <w:widowControl w:val="0"/>
        <w:numPr>
          <w:ilvl w:val="0"/>
          <w:numId w:val="1"/>
        </w:numPr>
        <w:tabs>
          <w:tab w:val="left" w:pos="284"/>
          <w:tab w:val="left" w:pos="360"/>
          <w:tab w:val="left" w:pos="426"/>
        </w:tabs>
        <w:autoSpaceDE w:val="0"/>
        <w:autoSpaceDN w:val="0"/>
        <w:spacing w:before="77"/>
        <w:ind w:left="284" w:right="81" w:hanging="284"/>
        <w:jc w:val="both"/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</w:pPr>
      <w:r w:rsidRPr="002A5F3D"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t>Garantía FAG: Estos créditos podrán acceder a las garantías del Fondo Agropecuario de Garantías – FAG, con cobertura de hasta el 50% para Pequeño Productor y de hasta el 40% para Mediano Productor.</w:t>
      </w:r>
    </w:p>
    <w:p w:rsidR="002A5F3D" w:rsidRPr="002A5F3D" w:rsidRDefault="002A5F3D" w:rsidP="002A5F3D">
      <w:pPr>
        <w:widowControl w:val="0"/>
        <w:autoSpaceDE w:val="0"/>
        <w:autoSpaceDN w:val="0"/>
        <w:ind w:left="902" w:hanging="360"/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</w:pPr>
    </w:p>
    <w:p w:rsidR="0083298C" w:rsidRPr="002A5F3D" w:rsidRDefault="0083298C" w:rsidP="0083298C">
      <w:pPr>
        <w:widowControl w:val="0"/>
        <w:numPr>
          <w:ilvl w:val="0"/>
          <w:numId w:val="1"/>
        </w:numPr>
        <w:autoSpaceDE w:val="0"/>
        <w:autoSpaceDN w:val="0"/>
        <w:ind w:left="284"/>
        <w:jc w:val="both"/>
        <w:rPr>
          <w:rFonts w:ascii="Arial" w:eastAsia="Arial" w:hAnsi="Arial" w:cs="Arial"/>
          <w:i/>
          <w:color w:val="000000" w:themeColor="text1"/>
          <w:sz w:val="22"/>
          <w:szCs w:val="22"/>
          <w:lang w:eastAsia="es-CO" w:bidi="es-CO"/>
        </w:rPr>
      </w:pPr>
      <w:r w:rsidRPr="002A5F3D"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t xml:space="preserve">Control y seguimiento: El control y seguimiento </w:t>
      </w:r>
      <w:r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t xml:space="preserve">de la presente línea </w:t>
      </w:r>
      <w:r w:rsidRPr="002A5F3D"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t xml:space="preserve">se entenderá surtido con la información que se suministre al Intermediario Financiero </w:t>
      </w:r>
      <w:r w:rsidRPr="002A5F3D">
        <w:rPr>
          <w:rFonts w:ascii="Arial" w:eastAsia="Arial" w:hAnsi="Arial" w:cs="Arial"/>
          <w:i/>
          <w:color w:val="000000" w:themeColor="text1"/>
          <w:sz w:val="22"/>
          <w:szCs w:val="22"/>
          <w:lang w:eastAsia="es-CO" w:bidi="es-CO"/>
        </w:rPr>
        <w:t>en relación con la entrega de los productos agropecuarios de conformidad con el contrato u orden de compra</w:t>
      </w:r>
      <w:r>
        <w:rPr>
          <w:rFonts w:ascii="Arial" w:eastAsia="Arial" w:hAnsi="Arial" w:cs="Arial"/>
          <w:i/>
          <w:color w:val="000000" w:themeColor="text1"/>
          <w:sz w:val="22"/>
          <w:szCs w:val="22"/>
          <w:lang w:eastAsia="es-CO" w:bidi="es-CO"/>
        </w:rPr>
        <w:t xml:space="preserve"> </w:t>
      </w:r>
      <w:r w:rsidRPr="0083298C">
        <w:rPr>
          <w:rFonts w:ascii="Arial" w:eastAsia="Arial" w:hAnsi="Arial" w:cs="Arial"/>
          <w:i/>
          <w:color w:val="000000" w:themeColor="text1"/>
          <w:sz w:val="22"/>
          <w:szCs w:val="22"/>
          <w:highlight w:val="yellow"/>
          <w:lang w:eastAsia="es-CO" w:bidi="es-CO"/>
        </w:rPr>
        <w:t>o mediante el pago que realice el comprador por cuenta del productor.”</w:t>
      </w:r>
    </w:p>
    <w:p w:rsidR="002A5F3D" w:rsidRPr="0083298C" w:rsidRDefault="002A5F3D" w:rsidP="002A5F3D">
      <w:pPr>
        <w:widowControl w:val="0"/>
        <w:autoSpaceDE w:val="0"/>
        <w:autoSpaceDN w:val="0"/>
        <w:ind w:left="902" w:hanging="360"/>
        <w:rPr>
          <w:rFonts w:ascii="Arial" w:eastAsia="Arial" w:hAnsi="Arial" w:cs="Arial"/>
          <w:color w:val="000000" w:themeColor="text1"/>
          <w:sz w:val="22"/>
          <w:szCs w:val="22"/>
          <w:highlight w:val="yellow"/>
          <w:lang w:eastAsia="es-CO" w:bidi="es-CO"/>
        </w:rPr>
      </w:pPr>
    </w:p>
    <w:p w:rsidR="00440D3A" w:rsidRPr="002A5F3D" w:rsidRDefault="002A5F3D" w:rsidP="00440D3A">
      <w:pPr>
        <w:widowControl w:val="0"/>
        <w:autoSpaceDE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CO" w:eastAsia="es-CO" w:bidi="es-CO"/>
        </w:rPr>
      </w:pPr>
      <w:r w:rsidRPr="002A5F3D">
        <w:rPr>
          <w:rFonts w:ascii="Arial" w:eastAsia="Arial" w:hAnsi="Arial" w:cs="Arial"/>
          <w:b/>
          <w:sz w:val="22"/>
          <w:szCs w:val="22"/>
          <w:lang w:val="es-CO" w:eastAsia="es-CO" w:bidi="es-CO"/>
        </w:rPr>
        <w:t>Artículo 2o.</w:t>
      </w:r>
      <w:r w:rsidRPr="002A5F3D">
        <w:rPr>
          <w:rFonts w:ascii="Arial" w:eastAsia="Arial" w:hAnsi="Arial" w:cs="Arial"/>
          <w:sz w:val="22"/>
          <w:szCs w:val="22"/>
          <w:lang w:val="es-CO" w:eastAsia="es-CO" w:bidi="es-CO"/>
        </w:rPr>
        <w:t xml:space="preserve"> </w:t>
      </w:r>
      <w:r w:rsidR="00440D3A">
        <w:rPr>
          <w:rFonts w:ascii="Arial" w:eastAsia="Arial" w:hAnsi="Arial" w:cs="Arial"/>
          <w:color w:val="000000" w:themeColor="text1"/>
          <w:sz w:val="22"/>
          <w:szCs w:val="22"/>
          <w:lang w:val="es-CO" w:eastAsia="es-CO" w:bidi="es-CO"/>
        </w:rPr>
        <w:t>Modificar el literal h del artí</w:t>
      </w:r>
      <w:bookmarkStart w:id="1" w:name="_GoBack"/>
      <w:bookmarkEnd w:id="1"/>
      <w:r w:rsidR="00440D3A">
        <w:rPr>
          <w:rFonts w:ascii="Arial" w:eastAsia="Arial" w:hAnsi="Arial" w:cs="Arial"/>
          <w:color w:val="000000" w:themeColor="text1"/>
          <w:sz w:val="22"/>
          <w:szCs w:val="22"/>
          <w:lang w:val="es-CO" w:eastAsia="es-CO" w:bidi="es-CO"/>
        </w:rPr>
        <w:t>culo 5</w:t>
      </w:r>
      <w:r w:rsidR="00440D3A" w:rsidRPr="002A5F3D">
        <w:rPr>
          <w:rFonts w:ascii="Arial" w:eastAsia="Arial" w:hAnsi="Arial" w:cs="Arial"/>
          <w:color w:val="000000" w:themeColor="text1"/>
          <w:sz w:val="22"/>
          <w:szCs w:val="22"/>
          <w:lang w:val="es-CO" w:eastAsia="es-CO" w:bidi="es-CO"/>
        </w:rPr>
        <w:t>o. de la Resolución No. 12 de 2018 de la CNCA, el cual quedará así:</w:t>
      </w:r>
    </w:p>
    <w:p w:rsidR="00440D3A" w:rsidRPr="002A5F3D" w:rsidRDefault="00440D3A" w:rsidP="00440D3A">
      <w:pPr>
        <w:widowControl w:val="0"/>
        <w:autoSpaceDE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CO" w:eastAsia="es-CO" w:bidi="es-CO"/>
        </w:rPr>
      </w:pPr>
    </w:p>
    <w:p w:rsidR="00440D3A" w:rsidRPr="00657B0B" w:rsidRDefault="00440D3A" w:rsidP="00440D3A">
      <w:pPr>
        <w:widowControl w:val="0"/>
        <w:tabs>
          <w:tab w:val="left" w:pos="284"/>
        </w:tabs>
        <w:autoSpaceDE w:val="0"/>
        <w:autoSpaceDN w:val="0"/>
        <w:spacing w:before="1"/>
        <w:ind w:right="81"/>
        <w:jc w:val="both"/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</w:pPr>
      <w:r w:rsidRPr="00657B0B"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lastRenderedPageBreak/>
        <w:t xml:space="preserve">“(…) </w:t>
      </w:r>
    </w:p>
    <w:p w:rsidR="00440D3A" w:rsidRPr="00657B0B" w:rsidRDefault="00440D3A" w:rsidP="00440D3A">
      <w:pPr>
        <w:widowControl w:val="0"/>
        <w:tabs>
          <w:tab w:val="left" w:pos="284"/>
        </w:tabs>
        <w:autoSpaceDE w:val="0"/>
        <w:autoSpaceDN w:val="0"/>
        <w:spacing w:before="1" w:line="120" w:lineRule="auto"/>
        <w:ind w:right="79"/>
        <w:jc w:val="both"/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</w:pPr>
    </w:p>
    <w:p w:rsidR="00440D3A" w:rsidRDefault="00440D3A" w:rsidP="00E8742A">
      <w:pPr>
        <w:widowControl w:val="0"/>
        <w:autoSpaceDE w:val="0"/>
        <w:autoSpaceDN w:val="0"/>
        <w:spacing w:before="1"/>
        <w:ind w:left="284" w:right="81" w:hanging="284"/>
        <w:jc w:val="both"/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</w:pPr>
      <w:r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t>h</w:t>
      </w:r>
      <w:r w:rsidRPr="00657B0B"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t>.</w:t>
      </w:r>
      <w:r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t xml:space="preserve"> </w:t>
      </w:r>
      <w:r w:rsidRPr="000D67F7"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t xml:space="preserve">En caso de que la UPRA haya determinado la aptitud </w:t>
      </w:r>
      <w:r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t>de</w:t>
      </w:r>
      <w:r w:rsidRPr="000D67F7"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t xml:space="preserve"> un cultivo o actividad </w:t>
      </w:r>
      <w:r w:rsidR="00957D83"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t xml:space="preserve">agropecuaria </w:t>
      </w:r>
      <w:r w:rsidRPr="000D67F7"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t>por medio del Sistema de Información para la Planificación Rural Agropecuaria – SIPRA, solo serán sujeto de subsidio las inversiones que se realicen dentro de la zonificación</w:t>
      </w:r>
      <w:r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t xml:space="preserve"> establecida. </w:t>
      </w:r>
    </w:p>
    <w:p w:rsidR="00440D3A" w:rsidRPr="00657B0B" w:rsidRDefault="00440D3A" w:rsidP="00440D3A">
      <w:pPr>
        <w:widowControl w:val="0"/>
        <w:tabs>
          <w:tab w:val="left" w:pos="284"/>
        </w:tabs>
        <w:autoSpaceDE w:val="0"/>
        <w:autoSpaceDN w:val="0"/>
        <w:spacing w:before="1" w:line="120" w:lineRule="auto"/>
        <w:ind w:right="79"/>
        <w:jc w:val="both"/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</w:pPr>
    </w:p>
    <w:p w:rsidR="00440D3A" w:rsidRPr="002A5F3D" w:rsidRDefault="00440D3A" w:rsidP="00440D3A">
      <w:pPr>
        <w:widowControl w:val="0"/>
        <w:tabs>
          <w:tab w:val="left" w:pos="284"/>
        </w:tabs>
        <w:autoSpaceDE w:val="0"/>
        <w:autoSpaceDN w:val="0"/>
        <w:spacing w:before="1"/>
        <w:ind w:right="81"/>
        <w:jc w:val="both"/>
        <w:rPr>
          <w:rFonts w:ascii="Arial" w:eastAsia="Arial" w:hAnsi="Arial" w:cs="Arial"/>
          <w:i/>
          <w:color w:val="000000" w:themeColor="text1"/>
          <w:sz w:val="22"/>
          <w:szCs w:val="22"/>
          <w:lang w:eastAsia="es-CO" w:bidi="es-CO"/>
        </w:rPr>
      </w:pPr>
      <w:r w:rsidRPr="00657B0B">
        <w:rPr>
          <w:rFonts w:ascii="Arial" w:eastAsia="Arial" w:hAnsi="Arial" w:cs="Arial"/>
          <w:i/>
          <w:color w:val="000000" w:themeColor="text1"/>
          <w:sz w:val="22"/>
          <w:szCs w:val="22"/>
          <w:lang w:val="es-CO" w:eastAsia="es-CO" w:bidi="es-CO"/>
        </w:rPr>
        <w:t>(…)</w:t>
      </w:r>
      <w:r w:rsidRPr="002A5F3D">
        <w:rPr>
          <w:rFonts w:ascii="Arial" w:eastAsia="Arial" w:hAnsi="Arial" w:cs="Arial"/>
          <w:i/>
          <w:color w:val="000000" w:themeColor="text1"/>
          <w:sz w:val="22"/>
          <w:szCs w:val="22"/>
          <w:lang w:eastAsia="es-CO" w:bidi="es-CO"/>
        </w:rPr>
        <w:t>”</w:t>
      </w:r>
    </w:p>
    <w:p w:rsidR="002A5F3D" w:rsidRPr="002A5F3D" w:rsidRDefault="002A5F3D" w:rsidP="002A5F3D">
      <w:pPr>
        <w:widowControl w:val="0"/>
        <w:autoSpaceDE w:val="0"/>
        <w:autoSpaceDN w:val="0"/>
        <w:ind w:right="81"/>
        <w:rPr>
          <w:rFonts w:ascii="Arial" w:eastAsia="Arial" w:hAnsi="Arial" w:cs="Arial"/>
          <w:sz w:val="22"/>
          <w:szCs w:val="22"/>
          <w:lang w:val="es-CO" w:eastAsia="es-CO" w:bidi="es-CO"/>
        </w:rPr>
      </w:pPr>
    </w:p>
    <w:p w:rsidR="009D452B" w:rsidRPr="002A5F3D" w:rsidRDefault="002A5F3D" w:rsidP="009D452B">
      <w:pPr>
        <w:widowControl w:val="0"/>
        <w:autoSpaceDE w:val="0"/>
        <w:autoSpaceDN w:val="0"/>
        <w:ind w:right="81"/>
        <w:jc w:val="both"/>
        <w:rPr>
          <w:rFonts w:ascii="Arial" w:eastAsia="Arial" w:hAnsi="Arial" w:cs="Arial"/>
          <w:i/>
          <w:sz w:val="22"/>
          <w:szCs w:val="22"/>
          <w:lang w:val="es-CO" w:eastAsia="es-CO" w:bidi="es-CO"/>
        </w:rPr>
      </w:pPr>
      <w:r w:rsidRPr="002A5F3D">
        <w:rPr>
          <w:rFonts w:ascii="Arial" w:eastAsia="Arial" w:hAnsi="Arial" w:cs="Arial"/>
          <w:b/>
          <w:sz w:val="22"/>
          <w:szCs w:val="22"/>
          <w:lang w:val="es-CO" w:eastAsia="es-CO" w:bidi="es-CO"/>
        </w:rPr>
        <w:t xml:space="preserve">Artículo 3o. </w:t>
      </w:r>
      <w:r w:rsidR="009D452B" w:rsidRPr="002A5F3D">
        <w:rPr>
          <w:rFonts w:ascii="Arial" w:eastAsia="Arial" w:hAnsi="Arial" w:cs="Arial"/>
          <w:sz w:val="22"/>
          <w:szCs w:val="22"/>
          <w:lang w:val="es-CO" w:eastAsia="es-CO" w:bidi="es-CO"/>
        </w:rPr>
        <w:t>FINAGRO adoptará los procedimientos y medidas necesarias para el desarrollo de la presente resolución para lo cual expedirá la circular reglamentaria</w:t>
      </w:r>
      <w:r w:rsidR="009D452B" w:rsidRPr="002A5F3D">
        <w:rPr>
          <w:rFonts w:ascii="Arial" w:eastAsia="Arial" w:hAnsi="Arial" w:cs="Arial"/>
          <w:spacing w:val="-5"/>
          <w:sz w:val="22"/>
          <w:szCs w:val="22"/>
          <w:lang w:val="es-CO" w:eastAsia="es-CO" w:bidi="es-CO"/>
        </w:rPr>
        <w:t xml:space="preserve"> </w:t>
      </w:r>
      <w:r w:rsidR="009D452B" w:rsidRPr="002A5F3D">
        <w:rPr>
          <w:rFonts w:ascii="Arial" w:eastAsia="Arial" w:hAnsi="Arial" w:cs="Arial"/>
          <w:sz w:val="22"/>
          <w:szCs w:val="22"/>
          <w:lang w:val="es-CO" w:eastAsia="es-CO" w:bidi="es-CO"/>
        </w:rPr>
        <w:t>correspondiente.</w:t>
      </w:r>
    </w:p>
    <w:p w:rsidR="009D452B" w:rsidRDefault="009D452B" w:rsidP="002A5F3D">
      <w:pPr>
        <w:widowControl w:val="0"/>
        <w:autoSpaceDE w:val="0"/>
        <w:autoSpaceDN w:val="0"/>
        <w:ind w:right="81"/>
        <w:jc w:val="both"/>
        <w:rPr>
          <w:rFonts w:ascii="Arial" w:eastAsia="Arial" w:hAnsi="Arial" w:cs="Arial"/>
          <w:b/>
          <w:sz w:val="22"/>
          <w:szCs w:val="22"/>
          <w:lang w:val="es-CO" w:eastAsia="es-CO" w:bidi="es-CO"/>
        </w:rPr>
      </w:pPr>
    </w:p>
    <w:p w:rsidR="002A5F3D" w:rsidRPr="002A5F3D" w:rsidRDefault="009D452B" w:rsidP="002A5F3D">
      <w:pPr>
        <w:widowControl w:val="0"/>
        <w:autoSpaceDE w:val="0"/>
        <w:autoSpaceDN w:val="0"/>
        <w:ind w:right="81"/>
        <w:jc w:val="both"/>
        <w:rPr>
          <w:rFonts w:ascii="Arial" w:eastAsia="Arial" w:hAnsi="Arial" w:cs="Arial"/>
          <w:sz w:val="22"/>
          <w:szCs w:val="22"/>
          <w:lang w:val="es-CO" w:eastAsia="es-CO" w:bidi="es-CO"/>
        </w:rPr>
      </w:pPr>
      <w:r w:rsidRPr="002A5F3D">
        <w:rPr>
          <w:rFonts w:ascii="Arial" w:eastAsia="Arial" w:hAnsi="Arial" w:cs="Arial"/>
          <w:b/>
          <w:sz w:val="22"/>
          <w:szCs w:val="22"/>
          <w:lang w:val="es-CO" w:eastAsia="es-CO" w:bidi="es-CO"/>
        </w:rPr>
        <w:t xml:space="preserve">Artículo </w:t>
      </w:r>
      <w:r>
        <w:rPr>
          <w:rFonts w:ascii="Arial" w:eastAsia="Arial" w:hAnsi="Arial" w:cs="Arial"/>
          <w:b/>
          <w:sz w:val="22"/>
          <w:szCs w:val="22"/>
          <w:lang w:val="es-CO" w:eastAsia="es-CO" w:bidi="es-CO"/>
        </w:rPr>
        <w:t>4</w:t>
      </w:r>
      <w:r w:rsidRPr="002A5F3D">
        <w:rPr>
          <w:rFonts w:ascii="Arial" w:eastAsia="Arial" w:hAnsi="Arial" w:cs="Arial"/>
          <w:b/>
          <w:sz w:val="22"/>
          <w:szCs w:val="22"/>
          <w:lang w:val="es-CO" w:eastAsia="es-CO" w:bidi="es-CO"/>
        </w:rPr>
        <w:t xml:space="preserve">o. </w:t>
      </w:r>
      <w:r w:rsidR="002A5F3D" w:rsidRPr="002A5F3D">
        <w:rPr>
          <w:rFonts w:ascii="Arial" w:eastAsia="Arial" w:hAnsi="Arial" w:cs="Arial"/>
          <w:sz w:val="22"/>
          <w:szCs w:val="22"/>
          <w:lang w:val="es-CO" w:eastAsia="es-CO" w:bidi="es-CO"/>
        </w:rPr>
        <w:t xml:space="preserve">La presente resolución rige a partir de la fecha de su publicación en el Diario Oficial, y sus efectos aplicarán a partir de la fecha en que FINAGRO disponga de los recursos presupuestales. </w:t>
      </w:r>
    </w:p>
    <w:p w:rsidR="002A5F3D" w:rsidRPr="002A5F3D" w:rsidRDefault="002A5F3D" w:rsidP="002A5F3D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CO" w:eastAsia="es-CO" w:bidi="es-CO"/>
        </w:rPr>
      </w:pPr>
    </w:p>
    <w:p w:rsidR="002A5F3D" w:rsidRPr="002A5F3D" w:rsidRDefault="002A5F3D" w:rsidP="002A5F3D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CO" w:eastAsia="es-CO" w:bidi="es-CO"/>
        </w:rPr>
      </w:pPr>
      <w:r w:rsidRPr="002A5F3D">
        <w:rPr>
          <w:rFonts w:ascii="Arial" w:eastAsia="Arial" w:hAnsi="Arial" w:cs="Arial"/>
          <w:color w:val="000000" w:themeColor="text1"/>
          <w:sz w:val="22"/>
          <w:szCs w:val="22"/>
          <w:lang w:val="es-CO" w:eastAsia="es-CO" w:bidi="es-CO"/>
        </w:rPr>
        <w:t xml:space="preserve">Dada en Bogotá D.C., a los </w:t>
      </w:r>
      <w:r w:rsidR="002265E8">
        <w:rPr>
          <w:rFonts w:ascii="Arial" w:eastAsia="Arial" w:hAnsi="Arial" w:cs="Arial"/>
          <w:color w:val="000000" w:themeColor="text1"/>
          <w:sz w:val="22"/>
          <w:szCs w:val="22"/>
          <w:lang w:val="es-CO" w:eastAsia="es-CO" w:bidi="es-CO"/>
        </w:rPr>
        <w:t>_________</w:t>
      </w:r>
    </w:p>
    <w:p w:rsidR="002A5F3D" w:rsidRPr="002A5F3D" w:rsidRDefault="002A5F3D" w:rsidP="002A5F3D">
      <w:pPr>
        <w:widowControl w:val="0"/>
        <w:autoSpaceDE w:val="0"/>
        <w:autoSpaceDN w:val="0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es-CO" w:eastAsia="en-US" w:bidi="es-CO"/>
        </w:rPr>
      </w:pPr>
    </w:p>
    <w:p w:rsidR="002A5F3D" w:rsidRPr="002A5F3D" w:rsidRDefault="002A5F3D" w:rsidP="002A5F3D">
      <w:pPr>
        <w:widowControl w:val="0"/>
        <w:autoSpaceDE w:val="0"/>
        <w:autoSpaceDN w:val="0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es-CO" w:eastAsia="en-US" w:bidi="es-CO"/>
        </w:rPr>
      </w:pPr>
    </w:p>
    <w:p w:rsidR="002A5F3D" w:rsidRPr="002A5F3D" w:rsidRDefault="002A5F3D" w:rsidP="002A5F3D">
      <w:pPr>
        <w:widowControl w:val="0"/>
        <w:autoSpaceDE w:val="0"/>
        <w:autoSpaceDN w:val="0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es-CO" w:eastAsia="en-US" w:bidi="es-CO"/>
        </w:rPr>
      </w:pPr>
    </w:p>
    <w:p w:rsidR="002A5F3D" w:rsidRPr="002A5F3D" w:rsidRDefault="002A5F3D" w:rsidP="002A5F3D">
      <w:pPr>
        <w:widowControl w:val="0"/>
        <w:autoSpaceDE w:val="0"/>
        <w:autoSpaceDN w:val="0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es-CO" w:eastAsia="en-US" w:bidi="es-CO"/>
        </w:rPr>
      </w:pPr>
    </w:p>
    <w:p w:rsidR="002A5F3D" w:rsidRPr="002A5F3D" w:rsidRDefault="002A5F3D" w:rsidP="002A5F3D">
      <w:pPr>
        <w:widowControl w:val="0"/>
        <w:autoSpaceDE w:val="0"/>
        <w:autoSpaceDN w:val="0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es-CO" w:eastAsia="en-US" w:bidi="es-CO"/>
        </w:rPr>
      </w:pPr>
      <w:r w:rsidRPr="002A5F3D">
        <w:rPr>
          <w:rFonts w:ascii="Arial" w:eastAsiaTheme="minorHAnsi" w:hAnsi="Arial" w:cs="Arial"/>
          <w:b/>
          <w:color w:val="000000" w:themeColor="text1"/>
          <w:sz w:val="22"/>
          <w:szCs w:val="22"/>
          <w:lang w:val="es-CO" w:eastAsia="en-US" w:bidi="es-CO"/>
        </w:rPr>
        <w:t>ANDRÉS VALENCIA</w:t>
      </w:r>
      <w:r w:rsidRPr="002A5F3D">
        <w:rPr>
          <w:rFonts w:ascii="Arial" w:eastAsiaTheme="minorHAnsi" w:hAnsi="Arial" w:cs="Arial"/>
          <w:b/>
          <w:color w:val="000000" w:themeColor="text1"/>
          <w:sz w:val="22"/>
          <w:szCs w:val="22"/>
          <w:lang w:val="es-CO" w:eastAsia="en-US" w:bidi="es-CO"/>
        </w:rPr>
        <w:tab/>
        <w:t xml:space="preserve"> PINZÓN</w:t>
      </w:r>
      <w:r w:rsidRPr="002A5F3D">
        <w:rPr>
          <w:rFonts w:ascii="Arial" w:eastAsiaTheme="minorHAnsi" w:hAnsi="Arial" w:cs="Arial"/>
          <w:b/>
          <w:color w:val="000000" w:themeColor="text1"/>
          <w:sz w:val="22"/>
          <w:szCs w:val="22"/>
          <w:lang w:val="es-CO" w:eastAsia="en-US" w:bidi="es-CO"/>
        </w:rPr>
        <w:tab/>
      </w:r>
      <w:r w:rsidRPr="002A5F3D">
        <w:rPr>
          <w:rFonts w:ascii="Arial" w:eastAsiaTheme="minorHAnsi" w:hAnsi="Arial" w:cs="Arial"/>
          <w:b/>
          <w:color w:val="000000" w:themeColor="text1"/>
          <w:sz w:val="22"/>
          <w:szCs w:val="22"/>
          <w:lang w:val="es-CO" w:eastAsia="en-US" w:bidi="es-CO"/>
        </w:rPr>
        <w:tab/>
      </w:r>
      <w:r w:rsidRPr="002A5F3D">
        <w:rPr>
          <w:rFonts w:ascii="Arial" w:eastAsiaTheme="minorHAnsi" w:hAnsi="Arial" w:cs="Arial"/>
          <w:b/>
          <w:color w:val="000000" w:themeColor="text1"/>
          <w:sz w:val="22"/>
          <w:szCs w:val="22"/>
          <w:lang w:val="es-CO" w:eastAsia="en-US" w:bidi="es-CO"/>
        </w:rPr>
        <w:tab/>
        <w:t>CLAUDIA ACOSTA ECHEVERRÍA</w:t>
      </w:r>
    </w:p>
    <w:p w:rsidR="002A5F3D" w:rsidRPr="002A5F3D" w:rsidRDefault="00440D3A" w:rsidP="00440D3A">
      <w:pPr>
        <w:widowControl w:val="0"/>
        <w:autoSpaceDE w:val="0"/>
        <w:autoSpaceDN w:val="0"/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 w:bidi="es-CO"/>
        </w:rPr>
      </w:pPr>
      <w:r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 w:bidi="es-CO"/>
        </w:rPr>
        <w:t xml:space="preserve">           Presidente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 w:bidi="es-CO"/>
        </w:rPr>
        <w:tab/>
      </w:r>
      <w:r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 w:bidi="es-CO"/>
        </w:rPr>
        <w:tab/>
      </w:r>
      <w:r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 w:bidi="es-CO"/>
        </w:rPr>
        <w:tab/>
      </w:r>
      <w:r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 w:bidi="es-CO"/>
        </w:rPr>
        <w:tab/>
      </w:r>
      <w:r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 w:bidi="es-CO"/>
        </w:rPr>
        <w:tab/>
        <w:t xml:space="preserve">          </w:t>
      </w:r>
      <w:r w:rsidR="002A5F3D" w:rsidRPr="002A5F3D"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 w:bidi="es-CO"/>
        </w:rPr>
        <w:t>Secretaria Técnica (E)</w:t>
      </w:r>
    </w:p>
    <w:sectPr w:rsidR="002A5F3D" w:rsidRPr="002A5F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90EDA"/>
    <w:multiLevelType w:val="hybridMultilevel"/>
    <w:tmpl w:val="BE041C88"/>
    <w:lvl w:ilvl="0" w:tplc="D7A2E418">
      <w:start w:val="1"/>
      <w:numFmt w:val="low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27"/>
    <w:rsid w:val="00001ED9"/>
    <w:rsid w:val="0001002B"/>
    <w:rsid w:val="00022E39"/>
    <w:rsid w:val="00027CC4"/>
    <w:rsid w:val="0005684F"/>
    <w:rsid w:val="00061363"/>
    <w:rsid w:val="00083E4E"/>
    <w:rsid w:val="000C1206"/>
    <w:rsid w:val="000C2AC1"/>
    <w:rsid w:val="000C7B59"/>
    <w:rsid w:val="000E2DDB"/>
    <w:rsid w:val="000E515F"/>
    <w:rsid w:val="00103F9F"/>
    <w:rsid w:val="00107A3F"/>
    <w:rsid w:val="00110419"/>
    <w:rsid w:val="00116101"/>
    <w:rsid w:val="00127474"/>
    <w:rsid w:val="00140BB7"/>
    <w:rsid w:val="00143851"/>
    <w:rsid w:val="0016140B"/>
    <w:rsid w:val="00193B36"/>
    <w:rsid w:val="001B48C1"/>
    <w:rsid w:val="001C1B9C"/>
    <w:rsid w:val="001E70FC"/>
    <w:rsid w:val="001E74B6"/>
    <w:rsid w:val="001F5514"/>
    <w:rsid w:val="001F63A5"/>
    <w:rsid w:val="0021278B"/>
    <w:rsid w:val="002265E8"/>
    <w:rsid w:val="00236B80"/>
    <w:rsid w:val="00251434"/>
    <w:rsid w:val="0025664A"/>
    <w:rsid w:val="0026451E"/>
    <w:rsid w:val="0026578B"/>
    <w:rsid w:val="0027469E"/>
    <w:rsid w:val="00283406"/>
    <w:rsid w:val="00283664"/>
    <w:rsid w:val="00284F24"/>
    <w:rsid w:val="002A5F3D"/>
    <w:rsid w:val="002C2B98"/>
    <w:rsid w:val="002E3878"/>
    <w:rsid w:val="002E658A"/>
    <w:rsid w:val="002F3FC5"/>
    <w:rsid w:val="002F416D"/>
    <w:rsid w:val="003176CF"/>
    <w:rsid w:val="0032107C"/>
    <w:rsid w:val="003241CD"/>
    <w:rsid w:val="003344B6"/>
    <w:rsid w:val="00346B12"/>
    <w:rsid w:val="00362A19"/>
    <w:rsid w:val="00375EF3"/>
    <w:rsid w:val="00381583"/>
    <w:rsid w:val="0038216F"/>
    <w:rsid w:val="003940FE"/>
    <w:rsid w:val="003A2DDC"/>
    <w:rsid w:val="003A454F"/>
    <w:rsid w:val="003D1120"/>
    <w:rsid w:val="003D426B"/>
    <w:rsid w:val="003F34B9"/>
    <w:rsid w:val="0040087C"/>
    <w:rsid w:val="004145CE"/>
    <w:rsid w:val="004210D3"/>
    <w:rsid w:val="00422A39"/>
    <w:rsid w:val="004236DE"/>
    <w:rsid w:val="00440D3A"/>
    <w:rsid w:val="004508FC"/>
    <w:rsid w:val="00451E55"/>
    <w:rsid w:val="00464E9D"/>
    <w:rsid w:val="0046588C"/>
    <w:rsid w:val="00474626"/>
    <w:rsid w:val="00492605"/>
    <w:rsid w:val="004960F7"/>
    <w:rsid w:val="004A4FA5"/>
    <w:rsid w:val="004A5EEF"/>
    <w:rsid w:val="004B45C1"/>
    <w:rsid w:val="004B5467"/>
    <w:rsid w:val="004D585D"/>
    <w:rsid w:val="004E4202"/>
    <w:rsid w:val="004F33F8"/>
    <w:rsid w:val="00524188"/>
    <w:rsid w:val="005536C5"/>
    <w:rsid w:val="00564619"/>
    <w:rsid w:val="005701FC"/>
    <w:rsid w:val="00593FFD"/>
    <w:rsid w:val="005B0A9C"/>
    <w:rsid w:val="005B5183"/>
    <w:rsid w:val="005D25E1"/>
    <w:rsid w:val="005D49C1"/>
    <w:rsid w:val="005F4A97"/>
    <w:rsid w:val="005F54AA"/>
    <w:rsid w:val="00612F72"/>
    <w:rsid w:val="006513B2"/>
    <w:rsid w:val="00673EBD"/>
    <w:rsid w:val="006B2E1A"/>
    <w:rsid w:val="006B3F0D"/>
    <w:rsid w:val="006B615B"/>
    <w:rsid w:val="006C7C81"/>
    <w:rsid w:val="006D2DEB"/>
    <w:rsid w:val="006D4606"/>
    <w:rsid w:val="006F47DF"/>
    <w:rsid w:val="00712736"/>
    <w:rsid w:val="00714DC2"/>
    <w:rsid w:val="007221D5"/>
    <w:rsid w:val="00760F0B"/>
    <w:rsid w:val="007667A4"/>
    <w:rsid w:val="00777F50"/>
    <w:rsid w:val="00790368"/>
    <w:rsid w:val="007915D6"/>
    <w:rsid w:val="007C3EF0"/>
    <w:rsid w:val="007D31EA"/>
    <w:rsid w:val="007E2719"/>
    <w:rsid w:val="007F27C4"/>
    <w:rsid w:val="008156C4"/>
    <w:rsid w:val="0083298C"/>
    <w:rsid w:val="00835CB8"/>
    <w:rsid w:val="00836C04"/>
    <w:rsid w:val="00871866"/>
    <w:rsid w:val="0088573F"/>
    <w:rsid w:val="00892EBB"/>
    <w:rsid w:val="008A4E27"/>
    <w:rsid w:val="008A4E51"/>
    <w:rsid w:val="008D4E19"/>
    <w:rsid w:val="008E71F7"/>
    <w:rsid w:val="00901A40"/>
    <w:rsid w:val="009049E4"/>
    <w:rsid w:val="0091079B"/>
    <w:rsid w:val="0092466D"/>
    <w:rsid w:val="00925D35"/>
    <w:rsid w:val="0093556B"/>
    <w:rsid w:val="00957D83"/>
    <w:rsid w:val="009A4702"/>
    <w:rsid w:val="009A70F3"/>
    <w:rsid w:val="009B05BB"/>
    <w:rsid w:val="009B30EA"/>
    <w:rsid w:val="009D3E7A"/>
    <w:rsid w:val="009D452B"/>
    <w:rsid w:val="009E55C7"/>
    <w:rsid w:val="009E626E"/>
    <w:rsid w:val="009F7B78"/>
    <w:rsid w:val="00A03F9B"/>
    <w:rsid w:val="00A51709"/>
    <w:rsid w:val="00A739F4"/>
    <w:rsid w:val="00A8174B"/>
    <w:rsid w:val="00A917C7"/>
    <w:rsid w:val="00A95DFE"/>
    <w:rsid w:val="00AD0409"/>
    <w:rsid w:val="00AE3002"/>
    <w:rsid w:val="00B318BA"/>
    <w:rsid w:val="00B319A8"/>
    <w:rsid w:val="00B33A06"/>
    <w:rsid w:val="00B36715"/>
    <w:rsid w:val="00B4699A"/>
    <w:rsid w:val="00B54552"/>
    <w:rsid w:val="00B606A3"/>
    <w:rsid w:val="00B71036"/>
    <w:rsid w:val="00B916FB"/>
    <w:rsid w:val="00B9309E"/>
    <w:rsid w:val="00BA30EC"/>
    <w:rsid w:val="00BA770E"/>
    <w:rsid w:val="00BB4453"/>
    <w:rsid w:val="00BB55C4"/>
    <w:rsid w:val="00BB76CC"/>
    <w:rsid w:val="00BF04C4"/>
    <w:rsid w:val="00BF7E32"/>
    <w:rsid w:val="00C03F30"/>
    <w:rsid w:val="00C04379"/>
    <w:rsid w:val="00C107B3"/>
    <w:rsid w:val="00C112DA"/>
    <w:rsid w:val="00C12467"/>
    <w:rsid w:val="00C22B74"/>
    <w:rsid w:val="00C237C2"/>
    <w:rsid w:val="00C364C0"/>
    <w:rsid w:val="00C8708B"/>
    <w:rsid w:val="00C956D9"/>
    <w:rsid w:val="00CC4E45"/>
    <w:rsid w:val="00CD0865"/>
    <w:rsid w:val="00CD1842"/>
    <w:rsid w:val="00CD76CA"/>
    <w:rsid w:val="00CE0EA7"/>
    <w:rsid w:val="00CE659A"/>
    <w:rsid w:val="00CF3328"/>
    <w:rsid w:val="00CF64B3"/>
    <w:rsid w:val="00D10493"/>
    <w:rsid w:val="00D26622"/>
    <w:rsid w:val="00D31F23"/>
    <w:rsid w:val="00D47464"/>
    <w:rsid w:val="00D62039"/>
    <w:rsid w:val="00D641B1"/>
    <w:rsid w:val="00D70507"/>
    <w:rsid w:val="00D7436D"/>
    <w:rsid w:val="00D94A44"/>
    <w:rsid w:val="00D95310"/>
    <w:rsid w:val="00DA6A94"/>
    <w:rsid w:val="00DB06A6"/>
    <w:rsid w:val="00DB5BDB"/>
    <w:rsid w:val="00E11A49"/>
    <w:rsid w:val="00E157C4"/>
    <w:rsid w:val="00E1611F"/>
    <w:rsid w:val="00E4610C"/>
    <w:rsid w:val="00E57D66"/>
    <w:rsid w:val="00E83176"/>
    <w:rsid w:val="00E8742A"/>
    <w:rsid w:val="00E90161"/>
    <w:rsid w:val="00E90FB2"/>
    <w:rsid w:val="00EC3BF8"/>
    <w:rsid w:val="00F11BFA"/>
    <w:rsid w:val="00F308E1"/>
    <w:rsid w:val="00F36968"/>
    <w:rsid w:val="00F37B94"/>
    <w:rsid w:val="00F416C9"/>
    <w:rsid w:val="00F51CF6"/>
    <w:rsid w:val="00F93EC7"/>
    <w:rsid w:val="00FC706D"/>
    <w:rsid w:val="00FD02EC"/>
    <w:rsid w:val="00FD4295"/>
    <w:rsid w:val="00FE3EA9"/>
    <w:rsid w:val="00FE72FE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38371E"/>
  <w15:chartTrackingRefBased/>
  <w15:docId w15:val="{E44900A6-DB86-44DD-8CA2-2106F692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4E27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A4702"/>
    <w:pPr>
      <w:spacing w:after="0" w:line="240" w:lineRule="auto"/>
      <w:jc w:val="both"/>
    </w:pPr>
    <w:rPr>
      <w:rFonts w:ascii="Arial" w:hAnsi="Arial" w:cs="Times New Roman"/>
      <w:szCs w:val="24"/>
      <w:lang w:eastAsia="es-ES"/>
    </w:rPr>
  </w:style>
  <w:style w:type="paragraph" w:customStyle="1" w:styleId="c5">
    <w:name w:val="c5"/>
    <w:basedOn w:val="Normal"/>
    <w:rsid w:val="008A4E27"/>
    <w:pPr>
      <w:autoSpaceDE w:val="0"/>
      <w:autoSpaceDN w:val="0"/>
      <w:spacing w:line="240" w:lineRule="atLeast"/>
      <w:jc w:val="center"/>
    </w:pPr>
  </w:style>
  <w:style w:type="paragraph" w:customStyle="1" w:styleId="c4">
    <w:name w:val="c4"/>
    <w:basedOn w:val="Normal"/>
    <w:rsid w:val="008A4E27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6">
    <w:name w:val="p6"/>
    <w:basedOn w:val="Normal"/>
    <w:rsid w:val="008A4E27"/>
    <w:pPr>
      <w:widowControl w:val="0"/>
      <w:tabs>
        <w:tab w:val="left" w:pos="1479"/>
      </w:tabs>
      <w:autoSpaceDE w:val="0"/>
      <w:autoSpaceDN w:val="0"/>
      <w:adjustRightInd w:val="0"/>
      <w:spacing w:line="266" w:lineRule="atLeast"/>
      <w:ind w:left="555"/>
      <w:jc w:val="both"/>
    </w:pPr>
    <w:rPr>
      <w:lang w:val="en-US"/>
    </w:rPr>
  </w:style>
  <w:style w:type="paragraph" w:customStyle="1" w:styleId="p2">
    <w:name w:val="p2"/>
    <w:basedOn w:val="Normal"/>
    <w:rsid w:val="00714DC2"/>
    <w:pPr>
      <w:widowControl w:val="0"/>
      <w:tabs>
        <w:tab w:val="left" w:pos="170"/>
      </w:tabs>
      <w:autoSpaceDE w:val="0"/>
      <w:autoSpaceDN w:val="0"/>
      <w:adjustRightInd w:val="0"/>
      <w:spacing w:line="240" w:lineRule="atLeast"/>
      <w:ind w:left="754"/>
      <w:jc w:val="both"/>
    </w:pPr>
    <w:rPr>
      <w:lang w:val="en-US"/>
    </w:rPr>
  </w:style>
  <w:style w:type="table" w:customStyle="1" w:styleId="Tabladecuadrcula4-nfasis64">
    <w:name w:val="Tabla de cuadrícula 4 - Énfasis 64"/>
    <w:basedOn w:val="Tablanormal"/>
    <w:next w:val="Tabladecuadrcula4-nfasis6"/>
    <w:uiPriority w:val="49"/>
    <w:rsid w:val="00901A40"/>
    <w:pPr>
      <w:spacing w:after="0" w:line="240" w:lineRule="auto"/>
    </w:pPr>
    <w:rPr>
      <w:rFonts w:eastAsia="Calibri"/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adecuadrcula4-nfasis6">
    <w:name w:val="Grid Table 4 Accent 6"/>
    <w:basedOn w:val="Tablanormal"/>
    <w:uiPriority w:val="49"/>
    <w:rsid w:val="00901A4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9049E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D76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76C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76CA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76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76CA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76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6CA"/>
    <w:rPr>
      <w:rFonts w:ascii="Segoe UI" w:hAnsi="Segoe UI" w:cs="Segoe UI"/>
      <w:sz w:val="18"/>
      <w:szCs w:val="18"/>
      <w:lang w:val="es-ES" w:eastAsia="es-ES"/>
    </w:rPr>
  </w:style>
  <w:style w:type="table" w:customStyle="1" w:styleId="Tabladecuadrcula4-nfasis641">
    <w:name w:val="Tabla de cuadrícula 4 - Énfasis 641"/>
    <w:basedOn w:val="Tablanormal"/>
    <w:next w:val="Tabladecuadrcula4-nfasis6"/>
    <w:uiPriority w:val="49"/>
    <w:rsid w:val="002A5F3D"/>
    <w:pPr>
      <w:spacing w:after="0" w:line="240" w:lineRule="auto"/>
    </w:pPr>
    <w:rPr>
      <w:rFonts w:eastAsia="Calibri"/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FE771-ED7F-46EE-9224-C052CB42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1291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Alfredo Benitez Lozano</dc:creator>
  <cp:keywords/>
  <dc:description/>
  <cp:lastModifiedBy>Maria Fernanda Guerra Charry</cp:lastModifiedBy>
  <cp:revision>6</cp:revision>
  <dcterms:created xsi:type="dcterms:W3CDTF">2019-02-19T01:53:00Z</dcterms:created>
  <dcterms:modified xsi:type="dcterms:W3CDTF">2019-02-20T21:07:00Z</dcterms:modified>
</cp:coreProperties>
</file>