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58" w:rsidRPr="001858E0" w:rsidRDefault="00281858" w:rsidP="00781CA1">
      <w:pPr>
        <w:spacing w:after="0" w:line="0" w:lineRule="atLeast"/>
        <w:jc w:val="center"/>
        <w:rPr>
          <w:rFonts w:ascii="Arial" w:hAnsi="Arial" w:cs="Arial"/>
          <w:b/>
          <w:bCs/>
          <w:snapToGrid w:val="0"/>
        </w:rPr>
      </w:pPr>
      <w:r w:rsidRPr="001858E0">
        <w:rPr>
          <w:rFonts w:ascii="Arial" w:hAnsi="Arial" w:cs="Arial"/>
          <w:b/>
          <w:bCs/>
          <w:snapToGrid w:val="0"/>
        </w:rPr>
        <w:t xml:space="preserve">PROYECTO </w:t>
      </w:r>
    </w:p>
    <w:p w:rsidR="00281858" w:rsidRPr="001858E0" w:rsidRDefault="00281858" w:rsidP="00781CA1">
      <w:pPr>
        <w:spacing w:after="0" w:line="0" w:lineRule="atLeast"/>
        <w:jc w:val="center"/>
        <w:rPr>
          <w:rFonts w:ascii="Arial" w:hAnsi="Arial" w:cs="Arial"/>
          <w:b/>
          <w:bCs/>
          <w:snapToGrid w:val="0"/>
        </w:rPr>
      </w:pPr>
    </w:p>
    <w:p w:rsidR="0034619A" w:rsidRPr="001858E0" w:rsidRDefault="0034619A" w:rsidP="00781CA1">
      <w:pPr>
        <w:spacing w:after="0" w:line="0" w:lineRule="atLeast"/>
        <w:jc w:val="center"/>
        <w:rPr>
          <w:rFonts w:ascii="Arial" w:hAnsi="Arial" w:cs="Arial"/>
          <w:b/>
          <w:bCs/>
          <w:snapToGrid w:val="0"/>
        </w:rPr>
      </w:pPr>
      <w:r w:rsidRPr="001858E0">
        <w:rPr>
          <w:rFonts w:ascii="Arial" w:hAnsi="Arial" w:cs="Arial"/>
          <w:b/>
          <w:bCs/>
          <w:snapToGrid w:val="0"/>
        </w:rPr>
        <w:t>REPÚBLICA DE COLOMBIA</w:t>
      </w:r>
    </w:p>
    <w:p w:rsidR="0034619A" w:rsidRPr="001858E0" w:rsidRDefault="0034619A" w:rsidP="001913F7">
      <w:pPr>
        <w:spacing w:after="0" w:line="0" w:lineRule="atLeast"/>
        <w:jc w:val="center"/>
        <w:rPr>
          <w:rFonts w:ascii="Arial" w:hAnsi="Arial" w:cs="Arial"/>
          <w:b/>
          <w:bCs/>
          <w:snapToGrid w:val="0"/>
        </w:rPr>
      </w:pPr>
    </w:p>
    <w:p w:rsidR="0034619A" w:rsidRPr="001858E0" w:rsidRDefault="0034619A" w:rsidP="001913F7">
      <w:pPr>
        <w:spacing w:after="0" w:line="0" w:lineRule="atLeast"/>
        <w:jc w:val="center"/>
        <w:rPr>
          <w:rFonts w:ascii="Arial" w:hAnsi="Arial" w:cs="Arial"/>
          <w:b/>
          <w:bCs/>
          <w:snapToGrid w:val="0"/>
        </w:rPr>
      </w:pPr>
      <w:r w:rsidRPr="001858E0">
        <w:rPr>
          <w:rFonts w:ascii="Arial" w:hAnsi="Arial" w:cs="Arial"/>
          <w:b/>
          <w:bCs/>
          <w:snapToGrid w:val="0"/>
        </w:rPr>
        <w:t>COMISIÓN NACIONAL DE CRÉDITO AGROPECUARIO</w:t>
      </w:r>
    </w:p>
    <w:p w:rsidR="0034619A" w:rsidRPr="001858E0" w:rsidRDefault="0034619A" w:rsidP="001913F7">
      <w:pPr>
        <w:spacing w:after="0" w:line="0" w:lineRule="atLeast"/>
        <w:jc w:val="center"/>
        <w:rPr>
          <w:rFonts w:ascii="Arial" w:hAnsi="Arial" w:cs="Arial"/>
          <w:b/>
          <w:bCs/>
          <w:snapToGrid w:val="0"/>
        </w:rPr>
      </w:pPr>
    </w:p>
    <w:p w:rsidR="0034619A" w:rsidRPr="001858E0" w:rsidRDefault="0034619A" w:rsidP="001913F7">
      <w:pPr>
        <w:spacing w:after="0" w:line="0" w:lineRule="atLeast"/>
        <w:jc w:val="center"/>
        <w:rPr>
          <w:rFonts w:ascii="Arial" w:hAnsi="Arial" w:cs="Arial"/>
          <w:b/>
          <w:bCs/>
          <w:snapToGrid w:val="0"/>
        </w:rPr>
      </w:pPr>
      <w:r w:rsidRPr="001858E0">
        <w:rPr>
          <w:rFonts w:ascii="Arial" w:hAnsi="Arial" w:cs="Arial"/>
          <w:b/>
          <w:bCs/>
          <w:snapToGrid w:val="0"/>
        </w:rPr>
        <w:t xml:space="preserve">RESOLUCIÓN No. </w:t>
      </w:r>
      <w:r w:rsidR="00F25226" w:rsidRPr="001858E0">
        <w:rPr>
          <w:rFonts w:ascii="Arial" w:hAnsi="Arial" w:cs="Arial"/>
          <w:b/>
          <w:bCs/>
          <w:snapToGrid w:val="0"/>
        </w:rPr>
        <w:t>__</w:t>
      </w:r>
      <w:r w:rsidRPr="001858E0">
        <w:rPr>
          <w:rFonts w:ascii="Arial" w:hAnsi="Arial" w:cs="Arial"/>
          <w:b/>
          <w:bCs/>
          <w:snapToGrid w:val="0"/>
        </w:rPr>
        <w:t xml:space="preserve"> DE 201</w:t>
      </w:r>
      <w:r w:rsidR="00CD0AD5" w:rsidRPr="001858E0">
        <w:rPr>
          <w:rFonts w:ascii="Arial" w:hAnsi="Arial" w:cs="Arial"/>
          <w:b/>
          <w:bCs/>
          <w:snapToGrid w:val="0"/>
        </w:rPr>
        <w:t>8</w:t>
      </w:r>
    </w:p>
    <w:p w:rsidR="0034619A" w:rsidRPr="001858E0" w:rsidRDefault="0034619A" w:rsidP="001913F7">
      <w:pPr>
        <w:spacing w:after="0" w:line="0" w:lineRule="atLeast"/>
        <w:jc w:val="center"/>
        <w:rPr>
          <w:rFonts w:ascii="Arial" w:hAnsi="Arial" w:cs="Arial"/>
          <w:b/>
          <w:bCs/>
          <w:snapToGrid w:val="0"/>
        </w:rPr>
      </w:pPr>
    </w:p>
    <w:p w:rsidR="0034619A" w:rsidRPr="001858E0" w:rsidRDefault="0034619A" w:rsidP="001913F7">
      <w:pPr>
        <w:spacing w:after="0" w:line="0" w:lineRule="atLeast"/>
        <w:jc w:val="center"/>
        <w:rPr>
          <w:rFonts w:ascii="Arial" w:hAnsi="Arial" w:cs="Arial"/>
          <w:snapToGrid w:val="0"/>
        </w:rPr>
      </w:pPr>
      <w:r w:rsidRPr="001858E0">
        <w:rPr>
          <w:rFonts w:ascii="Arial" w:hAnsi="Arial" w:cs="Arial"/>
          <w:snapToGrid w:val="0"/>
        </w:rPr>
        <w:t xml:space="preserve">“Por la cual se aprueban el Plan Anual de Garantías para </w:t>
      </w:r>
      <w:r w:rsidR="00305E7E" w:rsidRPr="001858E0">
        <w:rPr>
          <w:rFonts w:ascii="Arial" w:hAnsi="Arial" w:cs="Arial"/>
          <w:snapToGrid w:val="0"/>
        </w:rPr>
        <w:t xml:space="preserve">el año </w:t>
      </w:r>
      <w:r w:rsidRPr="001858E0">
        <w:rPr>
          <w:rFonts w:ascii="Arial" w:hAnsi="Arial" w:cs="Arial"/>
          <w:snapToGrid w:val="0"/>
        </w:rPr>
        <w:t>201</w:t>
      </w:r>
      <w:r w:rsidR="001A4A9F" w:rsidRPr="001858E0">
        <w:rPr>
          <w:rFonts w:ascii="Arial" w:hAnsi="Arial" w:cs="Arial"/>
          <w:snapToGrid w:val="0"/>
        </w:rPr>
        <w:t>9</w:t>
      </w:r>
      <w:r w:rsidRPr="001858E0">
        <w:rPr>
          <w:rFonts w:ascii="Arial" w:hAnsi="Arial" w:cs="Arial"/>
          <w:snapToGrid w:val="0"/>
        </w:rPr>
        <w:t xml:space="preserve"> </w:t>
      </w:r>
      <w:r w:rsidR="001A4A9F" w:rsidRPr="001858E0">
        <w:rPr>
          <w:rFonts w:ascii="Arial" w:hAnsi="Arial" w:cs="Arial"/>
          <w:snapToGrid w:val="0"/>
        </w:rPr>
        <w:t xml:space="preserve">y </w:t>
      </w:r>
      <w:r w:rsidRPr="001858E0">
        <w:rPr>
          <w:rFonts w:ascii="Arial" w:hAnsi="Arial" w:cs="Arial"/>
          <w:snapToGrid w:val="0"/>
        </w:rPr>
        <w:t>el esquema de provisiones y reservas,</w:t>
      </w:r>
      <w:r w:rsidR="00777F9D" w:rsidRPr="001858E0">
        <w:rPr>
          <w:rFonts w:ascii="Arial" w:hAnsi="Arial" w:cs="Arial"/>
          <w:snapToGrid w:val="0"/>
        </w:rPr>
        <w:t xml:space="preserve"> y se modifica la reglamentación de</w:t>
      </w:r>
      <w:r w:rsidRPr="001858E0">
        <w:rPr>
          <w:rFonts w:ascii="Arial" w:hAnsi="Arial" w:cs="Arial"/>
          <w:snapToGrid w:val="0"/>
        </w:rPr>
        <w:t>l Fondo Agropecuario de Garantías – FAG”</w:t>
      </w:r>
    </w:p>
    <w:p w:rsidR="0034619A" w:rsidRPr="001858E0" w:rsidRDefault="0034619A" w:rsidP="00AA22AF">
      <w:pPr>
        <w:spacing w:after="0" w:line="0" w:lineRule="atLeast"/>
        <w:jc w:val="center"/>
        <w:rPr>
          <w:rFonts w:ascii="Arial" w:hAnsi="Arial" w:cs="Arial"/>
          <w:snapToGrid w:val="0"/>
        </w:rPr>
      </w:pPr>
    </w:p>
    <w:p w:rsidR="0034619A" w:rsidRPr="001858E0" w:rsidRDefault="0034619A" w:rsidP="007E2229">
      <w:pPr>
        <w:pStyle w:val="Textoindependiente"/>
        <w:spacing w:after="0" w:line="0" w:lineRule="atLeast"/>
        <w:ind w:right="51"/>
        <w:jc w:val="center"/>
        <w:rPr>
          <w:rFonts w:ascii="Arial" w:hAnsi="Arial" w:cs="Arial"/>
          <w:b/>
          <w:bCs/>
        </w:rPr>
      </w:pPr>
      <w:r w:rsidRPr="001858E0">
        <w:rPr>
          <w:rFonts w:ascii="Arial" w:hAnsi="Arial" w:cs="Arial"/>
          <w:b/>
          <w:bCs/>
        </w:rPr>
        <w:t>LA COMISIÓN NACIONAL DE CRÉDITO AGROPECUARIO</w:t>
      </w:r>
    </w:p>
    <w:p w:rsidR="0034619A" w:rsidRPr="001858E0" w:rsidRDefault="0034619A" w:rsidP="0091211B">
      <w:pPr>
        <w:spacing w:after="0" w:line="0" w:lineRule="atLeast"/>
        <w:jc w:val="both"/>
        <w:rPr>
          <w:rFonts w:ascii="Arial" w:hAnsi="Arial" w:cs="Arial"/>
          <w:snapToGrid w:val="0"/>
        </w:rPr>
      </w:pPr>
    </w:p>
    <w:p w:rsidR="0034619A" w:rsidRPr="001858E0" w:rsidRDefault="0034619A" w:rsidP="0091211B">
      <w:pPr>
        <w:pStyle w:val="Textoindependiente2"/>
        <w:spacing w:after="0" w:line="0" w:lineRule="atLeast"/>
        <w:jc w:val="center"/>
        <w:rPr>
          <w:snapToGrid w:val="0"/>
          <w:sz w:val="22"/>
          <w:szCs w:val="22"/>
        </w:rPr>
      </w:pPr>
      <w:r w:rsidRPr="001858E0">
        <w:rPr>
          <w:snapToGrid w:val="0"/>
          <w:sz w:val="22"/>
          <w:szCs w:val="22"/>
        </w:rPr>
        <w:t xml:space="preserve">En ejercicio de las facultades conferidas </w:t>
      </w:r>
      <w:r w:rsidR="00056BB7" w:rsidRPr="001858E0">
        <w:rPr>
          <w:snapToGrid w:val="0"/>
          <w:sz w:val="22"/>
          <w:szCs w:val="22"/>
        </w:rPr>
        <w:t xml:space="preserve">por el artículo 218 del Estatuto Orgánico del Sistema Financiero modificado por el Decreto </w:t>
      </w:r>
      <w:r w:rsidR="00F25226" w:rsidRPr="001858E0">
        <w:rPr>
          <w:snapToGrid w:val="0"/>
          <w:sz w:val="22"/>
          <w:szCs w:val="22"/>
        </w:rPr>
        <w:t xml:space="preserve">Ley </w:t>
      </w:r>
      <w:r w:rsidRPr="001858E0">
        <w:rPr>
          <w:snapToGrid w:val="0"/>
          <w:sz w:val="22"/>
          <w:szCs w:val="22"/>
        </w:rPr>
        <w:t>2371 de 2015</w:t>
      </w:r>
      <w:r w:rsidR="00AA22AF" w:rsidRPr="001858E0">
        <w:rPr>
          <w:snapToGrid w:val="0"/>
          <w:sz w:val="22"/>
          <w:szCs w:val="22"/>
        </w:rPr>
        <w:t>, el Decreto 1313 de 1990</w:t>
      </w:r>
      <w:r w:rsidRPr="001858E0">
        <w:rPr>
          <w:snapToGrid w:val="0"/>
          <w:sz w:val="22"/>
          <w:szCs w:val="22"/>
        </w:rPr>
        <w:t xml:space="preserve">, y </w:t>
      </w:r>
    </w:p>
    <w:p w:rsidR="0034619A" w:rsidRPr="001858E0" w:rsidRDefault="0034619A" w:rsidP="0091211B">
      <w:pPr>
        <w:spacing w:after="0" w:line="0" w:lineRule="atLeast"/>
        <w:jc w:val="both"/>
        <w:rPr>
          <w:rFonts w:ascii="Arial" w:hAnsi="Arial" w:cs="Arial"/>
          <w:snapToGrid w:val="0"/>
        </w:rPr>
      </w:pPr>
    </w:p>
    <w:p w:rsidR="0034619A" w:rsidRPr="001858E0" w:rsidRDefault="0034619A" w:rsidP="0091211B">
      <w:pPr>
        <w:spacing w:after="0" w:line="0" w:lineRule="atLeast"/>
        <w:jc w:val="center"/>
        <w:rPr>
          <w:rFonts w:ascii="Arial" w:hAnsi="Arial" w:cs="Arial"/>
          <w:b/>
          <w:bCs/>
          <w:snapToGrid w:val="0"/>
        </w:rPr>
      </w:pPr>
      <w:r w:rsidRPr="001858E0">
        <w:rPr>
          <w:rFonts w:ascii="Arial" w:hAnsi="Arial" w:cs="Arial"/>
          <w:b/>
          <w:bCs/>
          <w:snapToGrid w:val="0"/>
        </w:rPr>
        <w:t>CONSIDERANDO</w:t>
      </w:r>
    </w:p>
    <w:p w:rsidR="0034619A" w:rsidRPr="001858E0" w:rsidRDefault="0034619A">
      <w:pPr>
        <w:spacing w:after="0" w:line="0" w:lineRule="atLeast"/>
        <w:jc w:val="center"/>
        <w:rPr>
          <w:rFonts w:ascii="Arial" w:hAnsi="Arial" w:cs="Arial"/>
          <w:b/>
          <w:bCs/>
          <w:snapToGrid w:val="0"/>
        </w:rPr>
      </w:pPr>
    </w:p>
    <w:p w:rsidR="007E2229" w:rsidRPr="001858E0" w:rsidRDefault="00F25226">
      <w:pPr>
        <w:spacing w:after="0" w:line="0" w:lineRule="atLeast"/>
        <w:jc w:val="both"/>
        <w:rPr>
          <w:rFonts w:ascii="Arial" w:hAnsi="Arial" w:cs="Arial"/>
          <w:snapToGrid w:val="0"/>
        </w:rPr>
      </w:pPr>
      <w:r w:rsidRPr="001858E0">
        <w:rPr>
          <w:rFonts w:ascii="Arial" w:hAnsi="Arial" w:cs="Arial"/>
          <w:b/>
          <w:snapToGrid w:val="0"/>
        </w:rPr>
        <w:t xml:space="preserve">Primero. </w:t>
      </w:r>
      <w:r w:rsidR="007E2229" w:rsidRPr="001858E0">
        <w:rPr>
          <w:rFonts w:ascii="Arial" w:hAnsi="Arial" w:cs="Arial"/>
          <w:snapToGrid w:val="0"/>
        </w:rPr>
        <w:t>Que</w:t>
      </w:r>
      <w:r w:rsidRPr="001858E0">
        <w:rPr>
          <w:rFonts w:ascii="Arial" w:hAnsi="Arial" w:cs="Arial"/>
          <w:snapToGrid w:val="0"/>
        </w:rPr>
        <w:t>,</w:t>
      </w:r>
      <w:r w:rsidR="007E2229" w:rsidRPr="001858E0">
        <w:rPr>
          <w:rFonts w:ascii="Arial" w:hAnsi="Arial" w:cs="Arial"/>
          <w:snapToGrid w:val="0"/>
        </w:rPr>
        <w:t xml:space="preserve"> de acuerdo con lo dispuesto en el artículo 218 del Estatuto Orgánico del Sistema Financiero</w:t>
      </w:r>
      <w:r w:rsidRPr="001858E0">
        <w:rPr>
          <w:rFonts w:ascii="Arial" w:hAnsi="Arial" w:cs="Arial"/>
          <w:snapToGrid w:val="0"/>
        </w:rPr>
        <w:t>,</w:t>
      </w:r>
      <w:r w:rsidR="007E2229" w:rsidRPr="001858E0">
        <w:rPr>
          <w:rFonts w:ascii="Arial" w:hAnsi="Arial" w:cs="Arial"/>
          <w:snapToGrid w:val="0"/>
        </w:rPr>
        <w:t xml:space="preserve"> </w:t>
      </w:r>
      <w:r w:rsidRPr="001858E0">
        <w:rPr>
          <w:rFonts w:ascii="Arial" w:hAnsi="Arial" w:cs="Arial"/>
          <w:snapToGrid w:val="0"/>
        </w:rPr>
        <w:t xml:space="preserve">modificado </w:t>
      </w:r>
      <w:r w:rsidR="007E2229" w:rsidRPr="001858E0">
        <w:rPr>
          <w:rFonts w:ascii="Arial" w:hAnsi="Arial" w:cs="Arial"/>
          <w:snapToGrid w:val="0"/>
        </w:rPr>
        <w:t>por el artículo 1 del Decreto Ley 2371 de 2015, la Comisión Nacional de Crédito Agropecuario,</w:t>
      </w:r>
      <w:r w:rsidRPr="001858E0">
        <w:rPr>
          <w:rFonts w:ascii="Arial" w:hAnsi="Arial" w:cs="Arial"/>
          <w:snapToGrid w:val="0"/>
        </w:rPr>
        <w:t xml:space="preserve"> CNCA,</w:t>
      </w:r>
      <w:r w:rsidR="007E2229" w:rsidRPr="001858E0">
        <w:rPr>
          <w:rFonts w:ascii="Arial" w:hAnsi="Arial" w:cs="Arial"/>
          <w:snapToGrid w:val="0"/>
        </w:rPr>
        <w:t xml:space="preserve"> podrá:</w:t>
      </w:r>
    </w:p>
    <w:p w:rsidR="0034619A" w:rsidRPr="001858E0" w:rsidRDefault="0034619A">
      <w:pPr>
        <w:spacing w:after="0" w:line="0" w:lineRule="atLeast"/>
        <w:jc w:val="both"/>
        <w:rPr>
          <w:rFonts w:ascii="Arial" w:hAnsi="Arial" w:cs="Arial"/>
          <w:snapToGrid w:val="0"/>
        </w:rPr>
      </w:pPr>
    </w:p>
    <w:p w:rsidR="0034619A" w:rsidRPr="001858E0" w:rsidRDefault="0034619A" w:rsidP="001913F7">
      <w:pPr>
        <w:spacing w:after="0" w:line="0" w:lineRule="atLeast"/>
        <w:jc w:val="both"/>
        <w:rPr>
          <w:rFonts w:ascii="Arial" w:hAnsi="Arial" w:cs="Arial"/>
          <w:i/>
          <w:snapToGrid w:val="0"/>
        </w:rPr>
      </w:pPr>
      <w:r w:rsidRPr="001858E0">
        <w:rPr>
          <w:rFonts w:ascii="Arial" w:hAnsi="Arial" w:cs="Arial"/>
          <w:i/>
          <w:snapToGrid w:val="0"/>
        </w:rPr>
        <w:t>“ (…)</w:t>
      </w:r>
    </w:p>
    <w:p w:rsidR="0034619A" w:rsidRPr="001858E0" w:rsidRDefault="0034619A" w:rsidP="001913F7">
      <w:pPr>
        <w:spacing w:after="0" w:line="0" w:lineRule="atLeast"/>
        <w:jc w:val="both"/>
        <w:rPr>
          <w:rFonts w:ascii="Arial" w:hAnsi="Arial" w:cs="Arial"/>
          <w:i/>
          <w:snapToGrid w:val="0"/>
        </w:rPr>
      </w:pPr>
      <w:r w:rsidRPr="001858E0">
        <w:rPr>
          <w:rFonts w:ascii="Arial" w:hAnsi="Arial" w:cs="Arial"/>
          <w:i/>
          <w:snapToGrid w:val="0"/>
        </w:rPr>
        <w:t xml:space="preserve">k. Determinar el valor de las comisiones que se cobrarán a todos sus usuarios de crédito, el monto máximo de las obligaciones a respaldar, las condiciones económicas de los beneficiarios y los demás aspectos que aseguren la operatividad del Fondo Agropecuario de Garantías. </w:t>
      </w:r>
    </w:p>
    <w:p w:rsidR="0034619A" w:rsidRPr="001858E0" w:rsidRDefault="0034619A" w:rsidP="00C13956">
      <w:pPr>
        <w:spacing w:after="0" w:line="120" w:lineRule="auto"/>
        <w:jc w:val="both"/>
        <w:rPr>
          <w:rFonts w:ascii="Arial" w:hAnsi="Arial" w:cs="Arial"/>
          <w:i/>
          <w:snapToGrid w:val="0"/>
        </w:rPr>
      </w:pPr>
    </w:p>
    <w:p w:rsidR="0034619A" w:rsidRPr="001858E0" w:rsidRDefault="0034619A" w:rsidP="001913F7">
      <w:pPr>
        <w:spacing w:after="0" w:line="0" w:lineRule="atLeast"/>
        <w:jc w:val="both"/>
        <w:rPr>
          <w:rFonts w:ascii="Arial" w:hAnsi="Arial" w:cs="Arial"/>
          <w:i/>
          <w:strike/>
          <w:snapToGrid w:val="0"/>
        </w:rPr>
      </w:pPr>
      <w:r w:rsidRPr="001858E0">
        <w:rPr>
          <w:rFonts w:ascii="Arial" w:hAnsi="Arial" w:cs="Arial"/>
          <w:i/>
          <w:snapToGrid w:val="0"/>
        </w:rPr>
        <w:t>(…)</w:t>
      </w:r>
    </w:p>
    <w:p w:rsidR="0034619A" w:rsidRPr="001858E0" w:rsidRDefault="0034619A" w:rsidP="00C13956">
      <w:pPr>
        <w:spacing w:after="0" w:line="120" w:lineRule="auto"/>
        <w:jc w:val="both"/>
        <w:rPr>
          <w:i/>
          <w:snapToGrid w:val="0"/>
        </w:rPr>
      </w:pPr>
    </w:p>
    <w:p w:rsidR="0034619A" w:rsidRPr="001858E0" w:rsidRDefault="0034619A" w:rsidP="001913F7">
      <w:pPr>
        <w:autoSpaceDE w:val="0"/>
        <w:autoSpaceDN w:val="0"/>
        <w:adjustRightInd w:val="0"/>
        <w:spacing w:after="0" w:line="240" w:lineRule="auto"/>
        <w:jc w:val="both"/>
        <w:rPr>
          <w:rFonts w:ascii="Arial" w:hAnsi="Arial" w:cs="Arial"/>
          <w:i/>
        </w:rPr>
      </w:pPr>
      <w:r w:rsidRPr="001858E0">
        <w:rPr>
          <w:rFonts w:ascii="Arial" w:hAnsi="Arial" w:cs="Arial"/>
          <w:i/>
        </w:rPr>
        <w:t>o. Establecer anualmente las condiciones generales de las garantías otorgadas a través del Fondo Agropecuario de Garantía, el monto máximo de las obligaciones a respaldar y cuando haya lugar, las condiciones en las cuales se aplica el subsidio otorgado por el Estado a las comisiones de las garantías. En todo caso, deberá asegurar la operatividad y sostenibilidad financiera del Fondo.”</w:t>
      </w:r>
    </w:p>
    <w:p w:rsidR="0034619A" w:rsidRPr="001858E0" w:rsidRDefault="0034619A" w:rsidP="0091211B">
      <w:pPr>
        <w:pStyle w:val="Cuerpo"/>
        <w:spacing w:line="0" w:lineRule="atLeast"/>
        <w:jc w:val="both"/>
        <w:rPr>
          <w:rFonts w:eastAsiaTheme="minorHAnsi"/>
          <w:snapToGrid w:val="0"/>
          <w:color w:val="0070C0"/>
          <w:sz w:val="22"/>
          <w:szCs w:val="22"/>
          <w:bdr w:val="none" w:sz="0" w:space="0" w:color="auto"/>
        </w:rPr>
      </w:pPr>
    </w:p>
    <w:p w:rsidR="006F227A" w:rsidRPr="001858E0" w:rsidRDefault="009B36B2" w:rsidP="009B3569">
      <w:pPr>
        <w:pStyle w:val="Sinespaciado"/>
        <w:jc w:val="both"/>
        <w:rPr>
          <w:rFonts w:ascii="Arial" w:hAnsi="Arial" w:cs="Arial"/>
          <w:b/>
          <w:i/>
          <w:snapToGrid w:val="0"/>
          <w:color w:val="FF0000"/>
        </w:rPr>
      </w:pPr>
      <w:r w:rsidRPr="001858E0">
        <w:rPr>
          <w:rFonts w:ascii="Arial" w:hAnsi="Arial" w:cs="Arial"/>
          <w:b/>
          <w:snapToGrid w:val="0"/>
        </w:rPr>
        <w:t>Segundo.</w:t>
      </w:r>
      <w:r w:rsidR="009B3569" w:rsidRPr="001858E0">
        <w:rPr>
          <w:rFonts w:ascii="Arial" w:hAnsi="Arial" w:cs="Arial"/>
          <w:b/>
          <w:snapToGrid w:val="0"/>
        </w:rPr>
        <w:t xml:space="preserve"> </w:t>
      </w:r>
      <w:r w:rsidR="006F227A" w:rsidRPr="001858E0">
        <w:rPr>
          <w:rFonts w:ascii="Arial" w:hAnsi="Arial" w:cs="Arial"/>
          <w:snapToGrid w:val="0"/>
        </w:rPr>
        <w:t>Que, el parágrafo 1° del numeral 2 del artículo 231 del Estatuto Orgánico del Sistema Financiero, modificado por el artículo 6 de la Ley 1731 de 2014,</w:t>
      </w:r>
      <w:r w:rsidR="00F176E7" w:rsidRPr="001858E0">
        <w:rPr>
          <w:rFonts w:ascii="Arial" w:hAnsi="Arial" w:cs="Arial"/>
          <w:snapToGrid w:val="0"/>
        </w:rPr>
        <w:t xml:space="preserve"> establece: </w:t>
      </w:r>
      <w:r w:rsidR="00F176E7" w:rsidRPr="001858E0">
        <w:rPr>
          <w:rFonts w:ascii="Arial" w:hAnsi="Arial" w:cs="Arial"/>
          <w:i/>
          <w:snapToGrid w:val="0"/>
        </w:rPr>
        <w:t>“PARÁGRAFO 1o.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sin perjuicio del otorgamiento de garantías a los medianos y grandes, de acuerdo con los lineamientos de la política agropecuaria y rural”</w:t>
      </w:r>
      <w:r w:rsidR="006F227A" w:rsidRPr="001858E0">
        <w:rPr>
          <w:rFonts w:ascii="Arial" w:hAnsi="Arial" w:cs="Arial"/>
          <w:i/>
          <w:snapToGrid w:val="0"/>
        </w:rPr>
        <w:t xml:space="preserve"> </w:t>
      </w:r>
    </w:p>
    <w:p w:rsidR="006F227A" w:rsidRPr="001858E0" w:rsidRDefault="006F227A" w:rsidP="009B3569">
      <w:pPr>
        <w:pStyle w:val="Sinespaciado"/>
        <w:jc w:val="both"/>
        <w:rPr>
          <w:rFonts w:ascii="Arial" w:hAnsi="Arial" w:cs="Arial"/>
          <w:b/>
          <w:snapToGrid w:val="0"/>
        </w:rPr>
      </w:pPr>
    </w:p>
    <w:p w:rsidR="007E3778" w:rsidRPr="001858E0" w:rsidRDefault="006F227A" w:rsidP="007E3778">
      <w:pPr>
        <w:pStyle w:val="Sinespaciado"/>
        <w:jc w:val="both"/>
        <w:rPr>
          <w:rFonts w:ascii="Arial" w:hAnsi="Arial" w:cs="Arial"/>
          <w:snapToGrid w:val="0"/>
        </w:rPr>
      </w:pPr>
      <w:r w:rsidRPr="001858E0">
        <w:rPr>
          <w:rFonts w:ascii="Arial" w:hAnsi="Arial" w:cs="Arial"/>
          <w:b/>
          <w:snapToGrid w:val="0"/>
        </w:rPr>
        <w:t>Tercero.</w:t>
      </w:r>
      <w:r w:rsidRPr="001858E0">
        <w:rPr>
          <w:rFonts w:ascii="Arial" w:hAnsi="Arial" w:cs="Arial"/>
          <w:snapToGrid w:val="0"/>
        </w:rPr>
        <w:t xml:space="preserve"> </w:t>
      </w:r>
      <w:r w:rsidR="009B3569" w:rsidRPr="001858E0">
        <w:rPr>
          <w:rFonts w:ascii="Arial" w:hAnsi="Arial" w:cs="Arial"/>
          <w:snapToGrid w:val="0"/>
        </w:rPr>
        <w:t xml:space="preserve">Que, el </w:t>
      </w:r>
      <w:r w:rsidR="00D34EEA" w:rsidRPr="001858E0">
        <w:rPr>
          <w:rFonts w:ascii="Arial" w:hAnsi="Arial" w:cs="Arial"/>
          <w:snapToGrid w:val="0"/>
        </w:rPr>
        <w:t xml:space="preserve">parágrafo 2° del </w:t>
      </w:r>
      <w:r w:rsidR="009B3569" w:rsidRPr="001858E0">
        <w:rPr>
          <w:rFonts w:ascii="Arial" w:hAnsi="Arial" w:cs="Arial"/>
          <w:snapToGrid w:val="0"/>
        </w:rPr>
        <w:t xml:space="preserve">numeral </w:t>
      </w:r>
      <w:r w:rsidR="00DE43B5" w:rsidRPr="001858E0">
        <w:rPr>
          <w:rFonts w:ascii="Arial" w:hAnsi="Arial" w:cs="Arial"/>
          <w:snapToGrid w:val="0"/>
        </w:rPr>
        <w:t>2</w:t>
      </w:r>
      <w:r w:rsidR="009B3569" w:rsidRPr="001858E0">
        <w:rPr>
          <w:rFonts w:ascii="Arial" w:hAnsi="Arial" w:cs="Arial"/>
          <w:snapToGrid w:val="0"/>
        </w:rPr>
        <w:t xml:space="preserve"> del artículo 231 del Estatuto </w:t>
      </w:r>
      <w:r w:rsidRPr="001858E0">
        <w:rPr>
          <w:rFonts w:ascii="Arial" w:hAnsi="Arial" w:cs="Arial"/>
          <w:snapToGrid w:val="0"/>
        </w:rPr>
        <w:t>O</w:t>
      </w:r>
      <w:r w:rsidR="009B3569" w:rsidRPr="001858E0">
        <w:rPr>
          <w:rFonts w:ascii="Arial" w:hAnsi="Arial" w:cs="Arial"/>
          <w:snapToGrid w:val="0"/>
        </w:rPr>
        <w:t xml:space="preserve">rgánico del Sistema Financiero, modificado por el artículo 6 de la Ley 1731 de 2014, </w:t>
      </w:r>
      <w:r w:rsidR="007E3778" w:rsidRPr="001858E0">
        <w:rPr>
          <w:rFonts w:ascii="Arial" w:hAnsi="Arial" w:cs="Arial"/>
          <w:snapToGrid w:val="0"/>
        </w:rPr>
        <w:t>precisa que las operaciones de financiamiento que pueden ser garantizadas por el FAG, sin limitar el uso de dichos instrumentos al crédito redescontado, cartera sustitutiva o aquella registrada en condiciones FINAGRO. En efecto el citado parágrafo señala:</w:t>
      </w:r>
    </w:p>
    <w:p w:rsidR="007E3778" w:rsidRPr="001858E0" w:rsidRDefault="007E3778" w:rsidP="007E3778">
      <w:pPr>
        <w:pStyle w:val="Sinespaciado"/>
        <w:jc w:val="both"/>
        <w:rPr>
          <w:rFonts w:ascii="Arial" w:hAnsi="Arial" w:cs="Arial"/>
          <w:snapToGrid w:val="0"/>
        </w:rPr>
      </w:pPr>
    </w:p>
    <w:p w:rsidR="007E3778" w:rsidRPr="001858E0" w:rsidRDefault="007E3778" w:rsidP="007E3778">
      <w:pPr>
        <w:pStyle w:val="Sinespaciado"/>
        <w:jc w:val="both"/>
        <w:rPr>
          <w:rFonts w:ascii="Arial" w:hAnsi="Arial" w:cs="Arial"/>
          <w:i/>
          <w:snapToGrid w:val="0"/>
        </w:rPr>
      </w:pPr>
      <w:r w:rsidRPr="001858E0">
        <w:rPr>
          <w:rFonts w:ascii="Arial" w:hAnsi="Arial" w:cs="Arial"/>
          <w:i/>
          <w:snapToGrid w:val="0"/>
        </w:rPr>
        <w:t xml:space="preserve">“(…) PARÁGRAFO 2o. Las garantías serán expedidas automáticamente con el redescuento o registro del crédito u operación financiera ante Finagro, y serán de pago automático e irrevocable cuando el intermediario cumpla con los requisitos formales exigidos en la reglamentación operativa del Fondo. Solo habrá lugar a la pérdida de validez de la garantía, a su no pago, o al reembolso al FAG del valor pagado al intermediario financiero, cuando (…)”.  </w:t>
      </w:r>
    </w:p>
    <w:p w:rsidR="007E3778" w:rsidRPr="001858E0" w:rsidRDefault="007E3778" w:rsidP="009B3569">
      <w:pPr>
        <w:pStyle w:val="Sinespaciado"/>
        <w:jc w:val="both"/>
        <w:rPr>
          <w:rFonts w:ascii="Arial" w:hAnsi="Arial" w:cs="Arial"/>
          <w:snapToGrid w:val="0"/>
        </w:rPr>
      </w:pPr>
    </w:p>
    <w:p w:rsidR="0034619A" w:rsidRPr="001858E0" w:rsidRDefault="007E141D" w:rsidP="00914115">
      <w:pPr>
        <w:pStyle w:val="Sinespaciado"/>
        <w:jc w:val="both"/>
        <w:rPr>
          <w:rFonts w:ascii="Arial" w:hAnsi="Arial" w:cs="Arial"/>
          <w:i/>
          <w:snapToGrid w:val="0"/>
        </w:rPr>
      </w:pPr>
      <w:r w:rsidRPr="001858E0">
        <w:rPr>
          <w:rFonts w:ascii="Arial" w:hAnsi="Arial" w:cs="Arial"/>
          <w:b/>
          <w:snapToGrid w:val="0"/>
        </w:rPr>
        <w:t>Cuarto</w:t>
      </w:r>
      <w:r w:rsidR="00914115" w:rsidRPr="001858E0">
        <w:rPr>
          <w:rFonts w:ascii="Arial" w:hAnsi="Arial" w:cs="Arial"/>
          <w:b/>
          <w:snapToGrid w:val="0"/>
        </w:rPr>
        <w:t>.</w:t>
      </w:r>
      <w:r w:rsidR="00914115" w:rsidRPr="001858E0">
        <w:rPr>
          <w:rFonts w:ascii="Arial" w:hAnsi="Arial" w:cs="Arial"/>
          <w:snapToGrid w:val="0"/>
        </w:rPr>
        <w:t xml:space="preserve"> </w:t>
      </w:r>
      <w:r w:rsidR="009B36B2" w:rsidRPr="001858E0">
        <w:rPr>
          <w:rFonts w:ascii="Arial" w:hAnsi="Arial" w:cs="Arial"/>
          <w:snapToGrid w:val="0"/>
        </w:rPr>
        <w:t xml:space="preserve"> </w:t>
      </w:r>
      <w:r w:rsidR="0034619A" w:rsidRPr="001858E0">
        <w:rPr>
          <w:rFonts w:ascii="Arial" w:hAnsi="Arial" w:cs="Arial"/>
          <w:snapToGrid w:val="0"/>
        </w:rPr>
        <w:t>Que</w:t>
      </w:r>
      <w:r w:rsidR="005738EF" w:rsidRPr="001858E0">
        <w:rPr>
          <w:rFonts w:ascii="Arial" w:hAnsi="Arial" w:cs="Arial"/>
          <w:snapToGrid w:val="0"/>
        </w:rPr>
        <w:t>,</w:t>
      </w:r>
      <w:r w:rsidR="0034619A" w:rsidRPr="001858E0">
        <w:rPr>
          <w:rFonts w:ascii="Arial" w:hAnsi="Arial" w:cs="Arial"/>
          <w:snapToGrid w:val="0"/>
        </w:rPr>
        <w:t xml:space="preserve"> el artículo 2.1.2.1.2 del Capítulo 1° del Título 2° del Decreto 1071 de 2015, dispone: “</w:t>
      </w:r>
      <w:r w:rsidR="0034619A" w:rsidRPr="001858E0">
        <w:rPr>
          <w:rFonts w:ascii="Arial" w:hAnsi="Arial" w:cs="Arial"/>
          <w:i/>
          <w:snapToGrid w:val="0"/>
        </w:rPr>
        <w:t>Los gastos que demande la administración del FAG por parte de FINAGRO serán cubiertos con recursos del mismo Fondo Agropecuario de Garantías, de acuerdo con el monto del presupuesto de gastos de administración e inversión del mismo, que proponga la Junta Directiva de FINAGRO a la Comisión Nacional de Crédito Agropecuario, la cual le impartirá su aprobación, y se ejecutará mediante la ordenación de gastos por parte de FINAGRO”.</w:t>
      </w:r>
    </w:p>
    <w:p w:rsidR="0034619A" w:rsidRPr="001858E0" w:rsidRDefault="0034619A" w:rsidP="0091211B">
      <w:pPr>
        <w:pStyle w:val="Cuerpo"/>
        <w:spacing w:line="0" w:lineRule="atLeast"/>
        <w:jc w:val="both"/>
        <w:rPr>
          <w:rFonts w:eastAsiaTheme="minorHAnsi"/>
          <w:i/>
          <w:snapToGrid w:val="0"/>
          <w:color w:val="auto"/>
          <w:sz w:val="22"/>
          <w:szCs w:val="22"/>
          <w:bdr w:val="none" w:sz="0" w:space="0" w:color="auto"/>
        </w:rPr>
      </w:pPr>
    </w:p>
    <w:p w:rsidR="00CA71E1" w:rsidRPr="001858E0" w:rsidRDefault="007E141D">
      <w:pPr>
        <w:jc w:val="both"/>
        <w:rPr>
          <w:rFonts w:ascii="Arial" w:hAnsi="Arial" w:cs="Arial"/>
        </w:rPr>
      </w:pPr>
      <w:r w:rsidRPr="001858E0">
        <w:rPr>
          <w:rFonts w:ascii="Arial" w:hAnsi="Arial" w:cs="Arial"/>
          <w:b/>
        </w:rPr>
        <w:t>Quinto</w:t>
      </w:r>
      <w:r w:rsidR="005738EF" w:rsidRPr="001858E0">
        <w:rPr>
          <w:rFonts w:ascii="Arial" w:hAnsi="Arial" w:cs="Arial"/>
          <w:b/>
        </w:rPr>
        <w:t xml:space="preserve">. </w:t>
      </w:r>
      <w:r w:rsidR="0034619A" w:rsidRPr="001858E0">
        <w:rPr>
          <w:rFonts w:ascii="Arial" w:hAnsi="Arial" w:cs="Arial"/>
        </w:rPr>
        <w:t>Que</w:t>
      </w:r>
      <w:r w:rsidR="005738EF" w:rsidRPr="001858E0">
        <w:rPr>
          <w:rFonts w:ascii="Arial" w:hAnsi="Arial" w:cs="Arial"/>
        </w:rPr>
        <w:t>,</w:t>
      </w:r>
      <w:r w:rsidR="0034619A" w:rsidRPr="001858E0">
        <w:rPr>
          <w:rFonts w:ascii="Arial" w:hAnsi="Arial" w:cs="Arial"/>
        </w:rPr>
        <w:t xml:space="preserve"> la </w:t>
      </w:r>
      <w:r w:rsidR="00C301E5" w:rsidRPr="001858E0">
        <w:rPr>
          <w:rFonts w:ascii="Arial" w:hAnsi="Arial" w:cs="Arial"/>
        </w:rPr>
        <w:t xml:space="preserve">CNCA </w:t>
      </w:r>
      <w:r w:rsidR="00EF0EBA" w:rsidRPr="001858E0">
        <w:rPr>
          <w:rFonts w:ascii="Arial" w:hAnsi="Arial" w:cs="Arial"/>
        </w:rPr>
        <w:t xml:space="preserve">mediante </w:t>
      </w:r>
      <w:r w:rsidR="0034619A" w:rsidRPr="001858E0">
        <w:rPr>
          <w:rFonts w:ascii="Arial" w:hAnsi="Arial" w:cs="Arial"/>
        </w:rPr>
        <w:t xml:space="preserve">Resolución No. 2 de 2016 </w:t>
      </w:r>
      <w:r w:rsidR="00C301E5" w:rsidRPr="001858E0">
        <w:rPr>
          <w:rFonts w:ascii="Arial" w:hAnsi="Arial" w:cs="Arial"/>
        </w:rPr>
        <w:t xml:space="preserve">compiló </w:t>
      </w:r>
      <w:r w:rsidR="00DE2B41" w:rsidRPr="001858E0">
        <w:rPr>
          <w:rFonts w:ascii="Arial" w:hAnsi="Arial" w:cs="Arial"/>
        </w:rPr>
        <w:t>y modific</w:t>
      </w:r>
      <w:r w:rsidR="00C301E5" w:rsidRPr="001858E0">
        <w:rPr>
          <w:rFonts w:ascii="Arial" w:hAnsi="Arial" w:cs="Arial"/>
        </w:rPr>
        <w:t>ó</w:t>
      </w:r>
      <w:r w:rsidR="00DE2B41" w:rsidRPr="001858E0">
        <w:rPr>
          <w:rFonts w:ascii="Arial" w:hAnsi="Arial" w:cs="Arial"/>
        </w:rPr>
        <w:t xml:space="preserve"> la reglamentación y operatividad del FAG</w:t>
      </w:r>
      <w:r w:rsidR="004A4D57" w:rsidRPr="001858E0">
        <w:rPr>
          <w:rFonts w:ascii="Arial" w:hAnsi="Arial" w:cs="Arial"/>
        </w:rPr>
        <w:t>.</w:t>
      </w:r>
    </w:p>
    <w:p w:rsidR="0034619A" w:rsidRPr="001858E0" w:rsidRDefault="007E141D">
      <w:pPr>
        <w:pStyle w:val="Textoindependiente2"/>
        <w:spacing w:after="0" w:line="0" w:lineRule="atLeast"/>
        <w:rPr>
          <w:snapToGrid w:val="0"/>
          <w:sz w:val="22"/>
          <w:szCs w:val="22"/>
        </w:rPr>
      </w:pPr>
      <w:r w:rsidRPr="001858E0">
        <w:rPr>
          <w:b/>
          <w:snapToGrid w:val="0"/>
          <w:sz w:val="22"/>
          <w:szCs w:val="22"/>
        </w:rPr>
        <w:t>Sexto</w:t>
      </w:r>
      <w:r w:rsidR="005738EF" w:rsidRPr="001858E0">
        <w:rPr>
          <w:b/>
          <w:snapToGrid w:val="0"/>
          <w:sz w:val="22"/>
          <w:szCs w:val="22"/>
        </w:rPr>
        <w:t>.</w:t>
      </w:r>
      <w:r w:rsidR="005738EF" w:rsidRPr="001858E0">
        <w:rPr>
          <w:snapToGrid w:val="0"/>
          <w:sz w:val="22"/>
          <w:szCs w:val="22"/>
        </w:rPr>
        <w:t xml:space="preserve"> </w:t>
      </w:r>
      <w:r w:rsidR="0034619A" w:rsidRPr="001858E0">
        <w:rPr>
          <w:snapToGrid w:val="0"/>
          <w:sz w:val="22"/>
          <w:szCs w:val="22"/>
        </w:rPr>
        <w:t>Que</w:t>
      </w:r>
      <w:r w:rsidR="005738EF" w:rsidRPr="001858E0">
        <w:rPr>
          <w:snapToGrid w:val="0"/>
          <w:sz w:val="22"/>
          <w:szCs w:val="22"/>
        </w:rPr>
        <w:t>,</w:t>
      </w:r>
      <w:r w:rsidR="0034619A" w:rsidRPr="001858E0">
        <w:rPr>
          <w:snapToGrid w:val="0"/>
          <w:sz w:val="22"/>
          <w:szCs w:val="22"/>
        </w:rPr>
        <w:t xml:space="preserve"> el proyecto de presupuesto de gastos </w:t>
      </w:r>
      <w:r w:rsidR="000228A1" w:rsidRPr="001858E0">
        <w:rPr>
          <w:snapToGrid w:val="0"/>
          <w:sz w:val="22"/>
          <w:szCs w:val="22"/>
        </w:rPr>
        <w:t xml:space="preserve">de administración e inversión </w:t>
      </w:r>
      <w:r w:rsidR="0034619A" w:rsidRPr="001858E0">
        <w:rPr>
          <w:snapToGrid w:val="0"/>
          <w:sz w:val="22"/>
          <w:szCs w:val="22"/>
        </w:rPr>
        <w:t xml:space="preserve">del FAG </w:t>
      </w:r>
      <w:r w:rsidR="003219C1" w:rsidRPr="001858E0">
        <w:rPr>
          <w:snapToGrid w:val="0"/>
          <w:sz w:val="22"/>
          <w:szCs w:val="22"/>
        </w:rPr>
        <w:t xml:space="preserve">para </w:t>
      </w:r>
      <w:r w:rsidR="0034619A" w:rsidRPr="001858E0">
        <w:rPr>
          <w:snapToGrid w:val="0"/>
          <w:sz w:val="22"/>
          <w:szCs w:val="22"/>
        </w:rPr>
        <w:t xml:space="preserve">el </w:t>
      </w:r>
      <w:r w:rsidR="004A4D57" w:rsidRPr="001858E0">
        <w:rPr>
          <w:snapToGrid w:val="0"/>
          <w:sz w:val="22"/>
          <w:szCs w:val="22"/>
        </w:rPr>
        <w:t xml:space="preserve">año </w:t>
      </w:r>
      <w:r w:rsidR="0034619A" w:rsidRPr="001858E0">
        <w:rPr>
          <w:snapToGrid w:val="0"/>
          <w:sz w:val="22"/>
          <w:szCs w:val="22"/>
        </w:rPr>
        <w:t>201</w:t>
      </w:r>
      <w:r w:rsidR="001E7914" w:rsidRPr="001858E0">
        <w:rPr>
          <w:snapToGrid w:val="0"/>
          <w:sz w:val="22"/>
          <w:szCs w:val="22"/>
        </w:rPr>
        <w:t>9</w:t>
      </w:r>
      <w:r w:rsidR="0034619A" w:rsidRPr="001858E0">
        <w:rPr>
          <w:snapToGrid w:val="0"/>
          <w:sz w:val="22"/>
          <w:szCs w:val="22"/>
        </w:rPr>
        <w:t xml:space="preserve"> objeto de esta resolución, fue presentado </w:t>
      </w:r>
      <w:r w:rsidR="00233552" w:rsidRPr="001858E0">
        <w:rPr>
          <w:snapToGrid w:val="0"/>
          <w:sz w:val="22"/>
          <w:szCs w:val="22"/>
        </w:rPr>
        <w:t>por</w:t>
      </w:r>
      <w:r w:rsidR="0034619A" w:rsidRPr="001858E0">
        <w:rPr>
          <w:snapToGrid w:val="0"/>
          <w:sz w:val="22"/>
          <w:szCs w:val="22"/>
        </w:rPr>
        <w:t xml:space="preserve"> la Junta Directiva de FINAGRO el </w:t>
      </w:r>
      <w:r w:rsidR="00C301E5" w:rsidRPr="001858E0">
        <w:rPr>
          <w:snapToGrid w:val="0"/>
          <w:sz w:val="22"/>
          <w:szCs w:val="22"/>
        </w:rPr>
        <w:t>12</w:t>
      </w:r>
      <w:r w:rsidR="00CA71E1" w:rsidRPr="001858E0">
        <w:rPr>
          <w:snapToGrid w:val="0"/>
          <w:sz w:val="22"/>
          <w:szCs w:val="22"/>
        </w:rPr>
        <w:t xml:space="preserve"> </w:t>
      </w:r>
      <w:r w:rsidR="0034619A" w:rsidRPr="001858E0">
        <w:rPr>
          <w:snapToGrid w:val="0"/>
          <w:sz w:val="22"/>
          <w:szCs w:val="22"/>
        </w:rPr>
        <w:t xml:space="preserve">de </w:t>
      </w:r>
      <w:r w:rsidR="00CA71E1" w:rsidRPr="001858E0">
        <w:rPr>
          <w:snapToGrid w:val="0"/>
          <w:sz w:val="22"/>
          <w:szCs w:val="22"/>
        </w:rPr>
        <w:t xml:space="preserve">diciembre </w:t>
      </w:r>
      <w:r w:rsidR="0034619A" w:rsidRPr="001858E0">
        <w:rPr>
          <w:snapToGrid w:val="0"/>
          <w:sz w:val="22"/>
          <w:szCs w:val="22"/>
        </w:rPr>
        <w:t>de 201</w:t>
      </w:r>
      <w:r w:rsidR="001E7914" w:rsidRPr="001858E0">
        <w:rPr>
          <w:snapToGrid w:val="0"/>
          <w:sz w:val="22"/>
          <w:szCs w:val="22"/>
        </w:rPr>
        <w:t>8</w:t>
      </w:r>
      <w:r w:rsidR="00233552" w:rsidRPr="001858E0">
        <w:rPr>
          <w:snapToGrid w:val="0"/>
          <w:sz w:val="22"/>
          <w:szCs w:val="22"/>
        </w:rPr>
        <w:t xml:space="preserve">, </w:t>
      </w:r>
      <w:r w:rsidR="00C301E5" w:rsidRPr="001858E0">
        <w:rPr>
          <w:snapToGrid w:val="0"/>
          <w:sz w:val="22"/>
          <w:szCs w:val="22"/>
        </w:rPr>
        <w:t xml:space="preserve">órgano que </w:t>
      </w:r>
      <w:r w:rsidR="00233552" w:rsidRPr="001858E0">
        <w:rPr>
          <w:snapToGrid w:val="0"/>
          <w:sz w:val="22"/>
          <w:szCs w:val="22"/>
        </w:rPr>
        <w:t xml:space="preserve">decidió </w:t>
      </w:r>
      <w:r w:rsidR="00C301E5" w:rsidRPr="001858E0">
        <w:rPr>
          <w:snapToGrid w:val="0"/>
          <w:sz w:val="22"/>
          <w:szCs w:val="22"/>
        </w:rPr>
        <w:t xml:space="preserve">ponerlo </w:t>
      </w:r>
      <w:r w:rsidR="00233552" w:rsidRPr="001858E0">
        <w:rPr>
          <w:snapToGrid w:val="0"/>
          <w:sz w:val="22"/>
          <w:szCs w:val="22"/>
        </w:rPr>
        <w:t xml:space="preserve">a consideración de la </w:t>
      </w:r>
      <w:r w:rsidR="00C301E5" w:rsidRPr="001858E0">
        <w:rPr>
          <w:snapToGrid w:val="0"/>
          <w:sz w:val="22"/>
          <w:szCs w:val="22"/>
        </w:rPr>
        <w:t>CNCA para su aprobación</w:t>
      </w:r>
      <w:r w:rsidR="00233552" w:rsidRPr="001858E0">
        <w:rPr>
          <w:snapToGrid w:val="0"/>
          <w:sz w:val="22"/>
          <w:szCs w:val="22"/>
        </w:rPr>
        <w:t>.</w:t>
      </w:r>
    </w:p>
    <w:p w:rsidR="0034619A" w:rsidRPr="001858E0" w:rsidRDefault="0034619A">
      <w:pPr>
        <w:pStyle w:val="Textoindependiente2"/>
        <w:spacing w:after="0" w:line="0" w:lineRule="atLeast"/>
        <w:rPr>
          <w:snapToGrid w:val="0"/>
          <w:sz w:val="22"/>
          <w:szCs w:val="22"/>
        </w:rPr>
      </w:pPr>
    </w:p>
    <w:p w:rsidR="00C75115" w:rsidRPr="001858E0" w:rsidRDefault="006663C5">
      <w:pPr>
        <w:pStyle w:val="Textoindependiente2"/>
        <w:spacing w:after="0" w:line="0" w:lineRule="atLeast"/>
        <w:rPr>
          <w:snapToGrid w:val="0"/>
          <w:sz w:val="22"/>
          <w:szCs w:val="22"/>
        </w:rPr>
      </w:pPr>
      <w:r w:rsidRPr="001858E0">
        <w:rPr>
          <w:b/>
          <w:snapToGrid w:val="0"/>
          <w:sz w:val="22"/>
          <w:szCs w:val="22"/>
        </w:rPr>
        <w:t>Séptimo</w:t>
      </w:r>
      <w:r w:rsidR="005738EF" w:rsidRPr="001858E0">
        <w:rPr>
          <w:b/>
          <w:snapToGrid w:val="0"/>
          <w:sz w:val="22"/>
          <w:szCs w:val="22"/>
        </w:rPr>
        <w:t>.</w:t>
      </w:r>
      <w:r w:rsidR="005738EF" w:rsidRPr="001858E0">
        <w:rPr>
          <w:snapToGrid w:val="0"/>
          <w:sz w:val="22"/>
          <w:szCs w:val="22"/>
        </w:rPr>
        <w:t xml:space="preserve"> </w:t>
      </w:r>
      <w:r w:rsidR="00C75115" w:rsidRPr="001858E0">
        <w:rPr>
          <w:snapToGrid w:val="0"/>
          <w:sz w:val="22"/>
          <w:szCs w:val="22"/>
        </w:rPr>
        <w:t>Que</w:t>
      </w:r>
      <w:r w:rsidR="005738EF" w:rsidRPr="001858E0">
        <w:rPr>
          <w:snapToGrid w:val="0"/>
          <w:sz w:val="22"/>
          <w:szCs w:val="22"/>
        </w:rPr>
        <w:t>,</w:t>
      </w:r>
      <w:r w:rsidR="00C75115" w:rsidRPr="001858E0">
        <w:rPr>
          <w:snapToGrid w:val="0"/>
          <w:sz w:val="22"/>
          <w:szCs w:val="22"/>
        </w:rPr>
        <w:t xml:space="preserve"> el proyecto de resolución </w:t>
      </w:r>
      <w:r w:rsidR="00C75115" w:rsidRPr="001858E0">
        <w:rPr>
          <w:i/>
          <w:snapToGrid w:val="0"/>
          <w:sz w:val="22"/>
          <w:szCs w:val="22"/>
        </w:rPr>
        <w:t>“Por la cual se aprueban el Plan Anual de Garantías para el año 2019, y el esquema de provisiones y reservas, y se modifica la reglamentación del Fondo Agropecuario de Garantías – FAG”</w:t>
      </w:r>
      <w:r w:rsidR="00EE697B" w:rsidRPr="001858E0">
        <w:rPr>
          <w:i/>
          <w:snapToGrid w:val="0"/>
          <w:sz w:val="22"/>
          <w:szCs w:val="22"/>
        </w:rPr>
        <w:t xml:space="preserve">, </w:t>
      </w:r>
      <w:r w:rsidR="00EE697B" w:rsidRPr="001858E0">
        <w:rPr>
          <w:snapToGrid w:val="0"/>
          <w:sz w:val="22"/>
          <w:szCs w:val="22"/>
        </w:rPr>
        <w:t xml:space="preserve">estuvo publicado en la </w:t>
      </w:r>
      <w:r w:rsidR="000C6F3C" w:rsidRPr="001858E0">
        <w:rPr>
          <w:snapToGrid w:val="0"/>
          <w:sz w:val="22"/>
          <w:szCs w:val="22"/>
        </w:rPr>
        <w:t>página</w:t>
      </w:r>
      <w:r w:rsidR="00EE697B" w:rsidRPr="001858E0">
        <w:rPr>
          <w:snapToGrid w:val="0"/>
          <w:sz w:val="22"/>
          <w:szCs w:val="22"/>
        </w:rPr>
        <w:t xml:space="preserve"> web</w:t>
      </w:r>
      <w:r w:rsidR="000C6F3C" w:rsidRPr="001858E0">
        <w:rPr>
          <w:snapToGrid w:val="0"/>
          <w:sz w:val="22"/>
          <w:szCs w:val="22"/>
        </w:rPr>
        <w:t xml:space="preserve"> del Fondo para el Financiamiento del Sector Agropecuario - </w:t>
      </w:r>
      <w:r w:rsidR="007A509C" w:rsidRPr="001858E0">
        <w:rPr>
          <w:snapToGrid w:val="0"/>
          <w:sz w:val="22"/>
          <w:szCs w:val="22"/>
        </w:rPr>
        <w:t xml:space="preserve"> FINAGR</w:t>
      </w:r>
      <w:r w:rsidR="00006B03" w:rsidRPr="001858E0">
        <w:rPr>
          <w:snapToGrid w:val="0"/>
          <w:sz w:val="22"/>
          <w:szCs w:val="22"/>
        </w:rPr>
        <w:t>O.</w:t>
      </w:r>
    </w:p>
    <w:p w:rsidR="00C75115" w:rsidRPr="001858E0" w:rsidRDefault="00C75115">
      <w:pPr>
        <w:pStyle w:val="Textoindependiente2"/>
        <w:spacing w:after="0" w:line="0" w:lineRule="atLeast"/>
        <w:rPr>
          <w:snapToGrid w:val="0"/>
          <w:sz w:val="22"/>
          <w:szCs w:val="22"/>
        </w:rPr>
      </w:pPr>
    </w:p>
    <w:p w:rsidR="0034619A" w:rsidRPr="001858E0" w:rsidRDefault="006663C5">
      <w:pPr>
        <w:spacing w:after="0" w:line="0" w:lineRule="atLeast"/>
        <w:jc w:val="both"/>
        <w:rPr>
          <w:rFonts w:ascii="Arial" w:hAnsi="Arial" w:cs="Arial"/>
        </w:rPr>
      </w:pPr>
      <w:r w:rsidRPr="001858E0">
        <w:rPr>
          <w:rFonts w:ascii="Arial" w:hAnsi="Arial" w:cs="Arial"/>
          <w:b/>
        </w:rPr>
        <w:t>Octavo</w:t>
      </w:r>
      <w:r w:rsidR="00D53FE1" w:rsidRPr="001858E0">
        <w:rPr>
          <w:rFonts w:ascii="Arial" w:hAnsi="Arial" w:cs="Arial"/>
          <w:b/>
        </w:rPr>
        <w:t>.</w:t>
      </w:r>
      <w:r w:rsidR="00D53FE1" w:rsidRPr="001858E0">
        <w:rPr>
          <w:rFonts w:ascii="Arial" w:hAnsi="Arial" w:cs="Arial"/>
        </w:rPr>
        <w:t xml:space="preserve"> </w:t>
      </w:r>
      <w:r w:rsidR="0034619A" w:rsidRPr="001858E0">
        <w:rPr>
          <w:rFonts w:ascii="Arial" w:hAnsi="Arial" w:cs="Arial"/>
        </w:rPr>
        <w:t>Que</w:t>
      </w:r>
      <w:r w:rsidR="005738EF" w:rsidRPr="001858E0">
        <w:rPr>
          <w:rFonts w:ascii="Arial" w:hAnsi="Arial" w:cs="Arial"/>
        </w:rPr>
        <w:t>,</w:t>
      </w:r>
      <w:r w:rsidR="0034619A" w:rsidRPr="001858E0">
        <w:rPr>
          <w:rFonts w:ascii="Arial" w:hAnsi="Arial" w:cs="Arial"/>
        </w:rPr>
        <w:t xml:space="preserve"> </w:t>
      </w:r>
      <w:r w:rsidR="00C301E5" w:rsidRPr="001858E0">
        <w:rPr>
          <w:rFonts w:ascii="Arial" w:hAnsi="Arial" w:cs="Arial"/>
        </w:rPr>
        <w:t>el documento con</w:t>
      </w:r>
      <w:r w:rsidR="0034619A" w:rsidRPr="001858E0">
        <w:rPr>
          <w:rFonts w:ascii="Arial" w:hAnsi="Arial" w:cs="Arial"/>
        </w:rPr>
        <w:t xml:space="preserve"> la </w:t>
      </w:r>
      <w:r w:rsidR="00763D51" w:rsidRPr="001858E0">
        <w:rPr>
          <w:rFonts w:ascii="Arial" w:hAnsi="Arial" w:cs="Arial"/>
        </w:rPr>
        <w:t xml:space="preserve">justificación </w:t>
      </w:r>
      <w:r w:rsidR="00C301E5" w:rsidRPr="001858E0">
        <w:rPr>
          <w:rFonts w:ascii="Arial" w:hAnsi="Arial" w:cs="Arial"/>
        </w:rPr>
        <w:t xml:space="preserve">jurídica y </w:t>
      </w:r>
      <w:r w:rsidR="00763D51" w:rsidRPr="001858E0">
        <w:rPr>
          <w:rFonts w:ascii="Arial" w:hAnsi="Arial" w:cs="Arial"/>
        </w:rPr>
        <w:t xml:space="preserve">técnica </w:t>
      </w:r>
      <w:r w:rsidR="0034619A" w:rsidRPr="001858E0">
        <w:rPr>
          <w:rFonts w:ascii="Arial" w:hAnsi="Arial" w:cs="Arial"/>
        </w:rPr>
        <w:t xml:space="preserve">de la presente </w:t>
      </w:r>
      <w:r w:rsidR="008203E1" w:rsidRPr="001858E0">
        <w:rPr>
          <w:rFonts w:ascii="Arial" w:hAnsi="Arial" w:cs="Arial"/>
        </w:rPr>
        <w:t>resolución</w:t>
      </w:r>
      <w:r w:rsidR="0034619A" w:rsidRPr="001858E0">
        <w:rPr>
          <w:rFonts w:ascii="Arial" w:hAnsi="Arial" w:cs="Arial"/>
        </w:rPr>
        <w:t xml:space="preserve"> </w:t>
      </w:r>
      <w:r w:rsidR="00C301E5" w:rsidRPr="001858E0">
        <w:rPr>
          <w:rFonts w:ascii="Arial" w:hAnsi="Arial" w:cs="Arial"/>
        </w:rPr>
        <w:t xml:space="preserve">fue presentado para consideración </w:t>
      </w:r>
      <w:r w:rsidR="003B28DB" w:rsidRPr="001858E0">
        <w:rPr>
          <w:rFonts w:ascii="Arial" w:hAnsi="Arial" w:cs="Arial"/>
        </w:rPr>
        <w:t xml:space="preserve">de </w:t>
      </w:r>
      <w:r w:rsidR="008203E1" w:rsidRPr="001858E0">
        <w:rPr>
          <w:rFonts w:ascii="Arial" w:hAnsi="Arial" w:cs="Arial"/>
        </w:rPr>
        <w:t xml:space="preserve">la CNCA </w:t>
      </w:r>
      <w:r w:rsidR="00C301E5" w:rsidRPr="001858E0">
        <w:rPr>
          <w:rFonts w:ascii="Arial" w:hAnsi="Arial" w:cs="Arial"/>
        </w:rPr>
        <w:t>y discutido</w:t>
      </w:r>
      <w:r w:rsidR="008A157A" w:rsidRPr="001858E0">
        <w:rPr>
          <w:rFonts w:ascii="Arial" w:hAnsi="Arial" w:cs="Arial"/>
        </w:rPr>
        <w:t>,</w:t>
      </w:r>
      <w:r w:rsidR="003B28DB" w:rsidRPr="001858E0">
        <w:rPr>
          <w:rFonts w:ascii="Arial" w:hAnsi="Arial" w:cs="Arial"/>
        </w:rPr>
        <w:t xml:space="preserve"> </w:t>
      </w:r>
      <w:r w:rsidR="0034619A" w:rsidRPr="001858E0">
        <w:rPr>
          <w:rFonts w:ascii="Arial" w:hAnsi="Arial" w:cs="Arial"/>
        </w:rPr>
        <w:t xml:space="preserve">en la reunión llevada a cabo el </w:t>
      </w:r>
      <w:r w:rsidR="00763D51" w:rsidRPr="001858E0">
        <w:rPr>
          <w:rFonts w:ascii="Arial" w:hAnsi="Arial" w:cs="Arial"/>
          <w:snapToGrid w:val="0"/>
        </w:rPr>
        <w:t>14</w:t>
      </w:r>
      <w:r w:rsidR="006C3771" w:rsidRPr="001858E0">
        <w:rPr>
          <w:rFonts w:ascii="Arial" w:hAnsi="Arial" w:cs="Arial"/>
          <w:snapToGrid w:val="0"/>
        </w:rPr>
        <w:t xml:space="preserve"> </w:t>
      </w:r>
      <w:r w:rsidR="0034619A" w:rsidRPr="001858E0">
        <w:rPr>
          <w:rFonts w:ascii="Arial" w:hAnsi="Arial" w:cs="Arial"/>
        </w:rPr>
        <w:t xml:space="preserve">de </w:t>
      </w:r>
      <w:r w:rsidR="00763D51" w:rsidRPr="001858E0">
        <w:rPr>
          <w:rFonts w:ascii="Arial" w:hAnsi="Arial" w:cs="Arial"/>
          <w:snapToGrid w:val="0"/>
        </w:rPr>
        <w:t>diciembre</w:t>
      </w:r>
      <w:r w:rsidR="00763D51" w:rsidRPr="001858E0">
        <w:rPr>
          <w:rFonts w:ascii="Arial" w:hAnsi="Arial" w:cs="Arial"/>
          <w:b/>
          <w:snapToGrid w:val="0"/>
        </w:rPr>
        <w:t xml:space="preserve"> </w:t>
      </w:r>
      <w:r w:rsidR="0034619A" w:rsidRPr="001858E0">
        <w:rPr>
          <w:rFonts w:ascii="Arial" w:hAnsi="Arial" w:cs="Arial"/>
        </w:rPr>
        <w:t>de 201</w:t>
      </w:r>
      <w:r w:rsidR="001E7914" w:rsidRPr="001858E0">
        <w:rPr>
          <w:rFonts w:ascii="Arial" w:hAnsi="Arial" w:cs="Arial"/>
        </w:rPr>
        <w:t>8</w:t>
      </w:r>
      <w:r w:rsidR="0034619A" w:rsidRPr="001858E0">
        <w:rPr>
          <w:rFonts w:ascii="Arial" w:hAnsi="Arial" w:cs="Arial"/>
        </w:rPr>
        <w:t>.</w:t>
      </w:r>
    </w:p>
    <w:p w:rsidR="0034619A" w:rsidRPr="001858E0" w:rsidRDefault="0034619A">
      <w:pPr>
        <w:spacing w:after="0" w:line="0" w:lineRule="atLeast"/>
        <w:jc w:val="both"/>
        <w:rPr>
          <w:rFonts w:ascii="Arial" w:hAnsi="Arial" w:cs="Arial"/>
        </w:rPr>
      </w:pPr>
    </w:p>
    <w:p w:rsidR="0034619A" w:rsidRPr="001858E0" w:rsidRDefault="0034619A">
      <w:pPr>
        <w:spacing w:after="0" w:line="0" w:lineRule="atLeast"/>
        <w:jc w:val="both"/>
        <w:rPr>
          <w:rFonts w:ascii="Arial" w:hAnsi="Arial" w:cs="Arial"/>
        </w:rPr>
      </w:pPr>
      <w:r w:rsidRPr="001858E0">
        <w:rPr>
          <w:rFonts w:ascii="Arial" w:hAnsi="Arial" w:cs="Arial"/>
        </w:rPr>
        <w:t>En mérito de lo expuesto,</w:t>
      </w:r>
    </w:p>
    <w:p w:rsidR="0034619A" w:rsidRPr="001858E0" w:rsidRDefault="0034619A">
      <w:pPr>
        <w:pStyle w:val="Textoindependiente3"/>
        <w:spacing w:after="0" w:line="0" w:lineRule="atLeast"/>
        <w:jc w:val="center"/>
        <w:rPr>
          <w:b/>
          <w:bCs/>
          <w:snapToGrid w:val="0"/>
          <w:sz w:val="22"/>
          <w:szCs w:val="22"/>
        </w:rPr>
      </w:pPr>
      <w:r w:rsidRPr="001858E0">
        <w:rPr>
          <w:b/>
          <w:bCs/>
          <w:snapToGrid w:val="0"/>
          <w:sz w:val="22"/>
          <w:szCs w:val="22"/>
        </w:rPr>
        <w:t>RESUELVE:</w:t>
      </w:r>
    </w:p>
    <w:p w:rsidR="0034619A" w:rsidRPr="001858E0" w:rsidRDefault="0034619A">
      <w:pPr>
        <w:pStyle w:val="Textoindependiente3"/>
        <w:spacing w:after="0" w:line="0" w:lineRule="atLeast"/>
        <w:jc w:val="center"/>
        <w:rPr>
          <w:b/>
          <w:bCs/>
          <w:snapToGrid w:val="0"/>
          <w:sz w:val="22"/>
          <w:szCs w:val="22"/>
        </w:rPr>
      </w:pPr>
    </w:p>
    <w:p w:rsidR="00222AFB" w:rsidRPr="001858E0" w:rsidRDefault="00222AFB">
      <w:pPr>
        <w:pStyle w:val="Textoindependiente3"/>
        <w:spacing w:after="0" w:line="0" w:lineRule="atLeast"/>
        <w:jc w:val="center"/>
        <w:rPr>
          <w:b/>
          <w:bCs/>
          <w:snapToGrid w:val="0"/>
          <w:sz w:val="22"/>
          <w:szCs w:val="22"/>
        </w:rPr>
      </w:pPr>
      <w:r w:rsidRPr="001858E0">
        <w:rPr>
          <w:b/>
          <w:bCs/>
          <w:snapToGrid w:val="0"/>
          <w:sz w:val="22"/>
          <w:szCs w:val="22"/>
        </w:rPr>
        <w:t xml:space="preserve">CAPÍTULO PRIMERO </w:t>
      </w:r>
    </w:p>
    <w:p w:rsidR="0034619A" w:rsidRPr="001858E0" w:rsidRDefault="0034619A">
      <w:pPr>
        <w:pStyle w:val="Textoindependiente3"/>
        <w:spacing w:after="0" w:line="0" w:lineRule="atLeast"/>
        <w:jc w:val="center"/>
        <w:rPr>
          <w:b/>
          <w:snapToGrid w:val="0"/>
          <w:sz w:val="22"/>
          <w:szCs w:val="22"/>
        </w:rPr>
      </w:pPr>
      <w:r w:rsidRPr="001858E0">
        <w:rPr>
          <w:b/>
          <w:snapToGrid w:val="0"/>
          <w:sz w:val="22"/>
          <w:szCs w:val="22"/>
        </w:rPr>
        <w:t>PLAN ANUAL DE GARANTÍAS</w:t>
      </w:r>
    </w:p>
    <w:p w:rsidR="0034619A" w:rsidRPr="001858E0" w:rsidRDefault="0034619A">
      <w:pPr>
        <w:pStyle w:val="Textoindependiente3"/>
        <w:spacing w:after="0" w:line="0" w:lineRule="atLeast"/>
        <w:rPr>
          <w:snapToGrid w:val="0"/>
          <w:sz w:val="22"/>
          <w:szCs w:val="22"/>
        </w:rPr>
      </w:pPr>
    </w:p>
    <w:p w:rsidR="0034619A" w:rsidRPr="001858E0" w:rsidRDefault="0034619A">
      <w:pPr>
        <w:pStyle w:val="Textoindependiente3"/>
        <w:spacing w:after="0" w:line="0" w:lineRule="atLeast"/>
        <w:rPr>
          <w:snapToGrid w:val="0"/>
          <w:sz w:val="22"/>
          <w:szCs w:val="22"/>
        </w:rPr>
      </w:pPr>
      <w:r w:rsidRPr="001858E0">
        <w:rPr>
          <w:b/>
          <w:snapToGrid w:val="0"/>
          <w:sz w:val="22"/>
          <w:szCs w:val="22"/>
        </w:rPr>
        <w:t>Artículo 1</w:t>
      </w:r>
      <w:r w:rsidR="00024269" w:rsidRPr="001858E0">
        <w:rPr>
          <w:b/>
          <w:snapToGrid w:val="0"/>
          <w:sz w:val="22"/>
          <w:szCs w:val="22"/>
        </w:rPr>
        <w:t>o</w:t>
      </w:r>
      <w:r w:rsidRPr="001858E0">
        <w:rPr>
          <w:b/>
          <w:snapToGrid w:val="0"/>
          <w:sz w:val="22"/>
          <w:szCs w:val="22"/>
        </w:rPr>
        <w:t>.</w:t>
      </w:r>
      <w:r w:rsidRPr="001858E0">
        <w:rPr>
          <w:snapToGrid w:val="0"/>
          <w:sz w:val="22"/>
          <w:szCs w:val="22"/>
        </w:rPr>
        <w:t xml:space="preserve"> La expedición de garantías del Fondo Agropecuario de Garantías – FAG </w:t>
      </w:r>
      <w:r w:rsidR="00BA22CE" w:rsidRPr="001858E0">
        <w:rPr>
          <w:snapToGrid w:val="0"/>
          <w:sz w:val="22"/>
          <w:szCs w:val="22"/>
        </w:rPr>
        <w:t>para el</w:t>
      </w:r>
      <w:r w:rsidRPr="001858E0">
        <w:rPr>
          <w:snapToGrid w:val="0"/>
          <w:sz w:val="22"/>
          <w:szCs w:val="22"/>
        </w:rPr>
        <w:t xml:space="preserve"> </w:t>
      </w:r>
      <w:r w:rsidR="00BA22CE" w:rsidRPr="001858E0">
        <w:rPr>
          <w:snapToGrid w:val="0"/>
          <w:sz w:val="22"/>
          <w:szCs w:val="22"/>
        </w:rPr>
        <w:t xml:space="preserve">año </w:t>
      </w:r>
      <w:r w:rsidRPr="001858E0">
        <w:rPr>
          <w:snapToGrid w:val="0"/>
          <w:sz w:val="22"/>
          <w:szCs w:val="22"/>
        </w:rPr>
        <w:t>201</w:t>
      </w:r>
      <w:r w:rsidR="00287699" w:rsidRPr="001858E0">
        <w:rPr>
          <w:snapToGrid w:val="0"/>
          <w:sz w:val="22"/>
          <w:szCs w:val="22"/>
        </w:rPr>
        <w:t>9</w:t>
      </w:r>
      <w:r w:rsidR="00DA3251" w:rsidRPr="001858E0">
        <w:rPr>
          <w:snapToGrid w:val="0"/>
          <w:sz w:val="22"/>
          <w:szCs w:val="22"/>
        </w:rPr>
        <w:t>,</w:t>
      </w:r>
      <w:r w:rsidRPr="001858E0">
        <w:rPr>
          <w:snapToGrid w:val="0"/>
          <w:sz w:val="22"/>
          <w:szCs w:val="22"/>
        </w:rPr>
        <w:t xml:space="preserve"> se sujetará a las siguientes disposiciones:</w:t>
      </w:r>
    </w:p>
    <w:p w:rsidR="0034619A" w:rsidRPr="001858E0" w:rsidRDefault="0034619A">
      <w:pPr>
        <w:pStyle w:val="Textoindependiente3"/>
        <w:spacing w:after="0" w:line="0" w:lineRule="atLeast"/>
        <w:rPr>
          <w:snapToGrid w:val="0"/>
          <w:sz w:val="22"/>
          <w:szCs w:val="22"/>
        </w:rPr>
      </w:pPr>
    </w:p>
    <w:p w:rsidR="0034619A" w:rsidRPr="001858E0" w:rsidRDefault="0034619A" w:rsidP="00024269">
      <w:pPr>
        <w:pStyle w:val="Textoindependiente3"/>
        <w:numPr>
          <w:ilvl w:val="0"/>
          <w:numId w:val="5"/>
        </w:numPr>
        <w:spacing w:after="0" w:line="0" w:lineRule="atLeast"/>
        <w:ind w:left="426"/>
        <w:rPr>
          <w:rFonts w:eastAsia="Arial"/>
          <w:color w:val="000000"/>
          <w:sz w:val="22"/>
          <w:szCs w:val="22"/>
          <w:u w:color="000000"/>
          <w:bdr w:val="nil"/>
        </w:rPr>
      </w:pPr>
      <w:r w:rsidRPr="001858E0">
        <w:rPr>
          <w:b/>
          <w:snapToGrid w:val="0"/>
          <w:color w:val="000000" w:themeColor="text1"/>
          <w:sz w:val="22"/>
          <w:szCs w:val="22"/>
        </w:rPr>
        <w:t>Comisiones</w:t>
      </w:r>
      <w:r w:rsidR="00176F64" w:rsidRPr="001858E0">
        <w:rPr>
          <w:b/>
          <w:snapToGrid w:val="0"/>
          <w:color w:val="000000" w:themeColor="text1"/>
          <w:sz w:val="22"/>
          <w:szCs w:val="22"/>
        </w:rPr>
        <w:t>.</w:t>
      </w:r>
      <w:r w:rsidRPr="001858E0">
        <w:rPr>
          <w:b/>
          <w:snapToGrid w:val="0"/>
          <w:color w:val="000000" w:themeColor="text1"/>
          <w:sz w:val="22"/>
          <w:szCs w:val="22"/>
        </w:rPr>
        <w:t xml:space="preserve"> </w:t>
      </w:r>
      <w:r w:rsidRPr="001858E0">
        <w:rPr>
          <w:rFonts w:eastAsia="Arial"/>
          <w:color w:val="000000"/>
          <w:sz w:val="22"/>
          <w:szCs w:val="22"/>
          <w:u w:color="000000"/>
          <w:bdr w:val="nil"/>
        </w:rPr>
        <w:t>Los intermediarios financieros deberán pagar al FAG, sobre el monto de la garantía vigente, una comisión anual anticipada, así:</w:t>
      </w:r>
    </w:p>
    <w:p w:rsidR="0034619A" w:rsidRPr="001858E0" w:rsidRDefault="0034619A">
      <w:pPr>
        <w:pStyle w:val="Textoindependiente3"/>
        <w:spacing w:after="0" w:line="0" w:lineRule="atLeast"/>
        <w:rPr>
          <w:snapToGrid w:val="0"/>
          <w:sz w:val="22"/>
          <w:szCs w:val="22"/>
        </w:rPr>
      </w:pPr>
    </w:p>
    <w:p w:rsidR="0034619A" w:rsidRPr="001858E0" w:rsidRDefault="0034619A" w:rsidP="008A157A">
      <w:pPr>
        <w:pStyle w:val="Prrafodelista"/>
        <w:numPr>
          <w:ilvl w:val="0"/>
          <w:numId w:val="6"/>
        </w:numPr>
        <w:spacing w:line="0" w:lineRule="atLeast"/>
        <w:ind w:left="851" w:hanging="284"/>
        <w:jc w:val="both"/>
        <w:rPr>
          <w:rFonts w:ascii="Arial" w:eastAsia="Arial" w:hAnsi="Arial" w:cs="Arial"/>
        </w:rPr>
      </w:pPr>
      <w:r w:rsidRPr="001858E0">
        <w:rPr>
          <w:rFonts w:ascii="Arial" w:eastAsia="Arial" w:hAnsi="Arial" w:cs="Arial"/>
        </w:rPr>
        <w:t>En el caso de garantías que respalden créditos cuyo plazo sea inferior a un (1) año, la comisión a pagar será proporcional al plazo del crédito.</w:t>
      </w:r>
    </w:p>
    <w:p w:rsidR="00AC249A" w:rsidRPr="001858E0" w:rsidRDefault="00AC249A" w:rsidP="00AC249A">
      <w:pPr>
        <w:pStyle w:val="Prrafodelista"/>
        <w:spacing w:line="0" w:lineRule="atLeast"/>
        <w:ind w:left="851"/>
        <w:jc w:val="both"/>
        <w:rPr>
          <w:rFonts w:ascii="Arial" w:eastAsia="Arial" w:hAnsi="Arial" w:cs="Arial"/>
        </w:rPr>
      </w:pPr>
    </w:p>
    <w:p w:rsidR="00AC249A" w:rsidRPr="001858E0" w:rsidRDefault="0034619A" w:rsidP="00AC249A">
      <w:pPr>
        <w:pStyle w:val="Prrafodelista"/>
        <w:numPr>
          <w:ilvl w:val="0"/>
          <w:numId w:val="6"/>
        </w:numPr>
        <w:spacing w:line="0" w:lineRule="atLeast"/>
        <w:ind w:left="851" w:hanging="284"/>
        <w:jc w:val="both"/>
      </w:pPr>
      <w:r w:rsidRPr="001858E0">
        <w:rPr>
          <w:rFonts w:ascii="Arial" w:eastAsia="Arial" w:hAnsi="Arial" w:cs="Arial"/>
        </w:rPr>
        <w:t>En el caso de garantías que respalden créditos de duración superior a un (1) año</w:t>
      </w:r>
      <w:r w:rsidR="009C6122" w:rsidRPr="001858E0">
        <w:rPr>
          <w:rFonts w:ascii="Arial" w:eastAsia="Arial" w:hAnsi="Arial" w:cs="Arial"/>
        </w:rPr>
        <w:t>,</w:t>
      </w:r>
      <w:r w:rsidRPr="001858E0">
        <w:rPr>
          <w:rFonts w:ascii="Arial" w:eastAsia="Arial" w:hAnsi="Arial" w:cs="Arial"/>
        </w:rPr>
        <w:t xml:space="preserve"> pero cuyo plazo total no corresponda exactamente a anualidades, la comisión por las fracciones de año se cobrará de manera proporcional.</w:t>
      </w:r>
    </w:p>
    <w:p w:rsidR="00AC249A" w:rsidRPr="001858E0" w:rsidRDefault="00AC249A" w:rsidP="00AC249A">
      <w:pPr>
        <w:pStyle w:val="Prrafodelista"/>
        <w:spacing w:line="0" w:lineRule="atLeast"/>
        <w:ind w:left="851"/>
        <w:jc w:val="both"/>
      </w:pPr>
    </w:p>
    <w:p w:rsidR="0034619A" w:rsidRPr="001858E0" w:rsidRDefault="0034619A" w:rsidP="008A157A">
      <w:pPr>
        <w:pStyle w:val="Prrafodelista"/>
        <w:numPr>
          <w:ilvl w:val="0"/>
          <w:numId w:val="6"/>
        </w:numPr>
        <w:spacing w:line="0" w:lineRule="atLeast"/>
        <w:ind w:left="851" w:hanging="284"/>
        <w:jc w:val="both"/>
        <w:rPr>
          <w:rFonts w:ascii="Arial" w:eastAsia="Arial" w:hAnsi="Arial" w:cs="Arial"/>
        </w:rPr>
      </w:pPr>
      <w:r w:rsidRPr="001858E0">
        <w:rPr>
          <w:rFonts w:ascii="Arial" w:eastAsia="Arial" w:hAnsi="Arial" w:cs="Arial"/>
        </w:rPr>
        <w:t>Para garantías que respalden créditos de medianos y grandes productores, cuyo plazo supere los doce (12) meses sin exceder de veinticuatro (24), se podrá establecer por parte de FINAGRO una comisión única, con pago único anticipado.</w:t>
      </w:r>
    </w:p>
    <w:p w:rsidR="00641226" w:rsidRPr="001858E0" w:rsidRDefault="00641226" w:rsidP="00467973">
      <w:pPr>
        <w:pStyle w:val="Sinespaciado"/>
      </w:pPr>
    </w:p>
    <w:p w:rsidR="00AC249A" w:rsidRPr="001858E0" w:rsidRDefault="00641226" w:rsidP="00AC249A">
      <w:pPr>
        <w:pStyle w:val="Prrafodelista"/>
        <w:numPr>
          <w:ilvl w:val="0"/>
          <w:numId w:val="6"/>
        </w:numPr>
        <w:spacing w:line="0" w:lineRule="atLeast"/>
        <w:ind w:left="851" w:hanging="284"/>
        <w:jc w:val="both"/>
        <w:rPr>
          <w:rFonts w:ascii="Arial" w:eastAsia="Arial" w:hAnsi="Arial" w:cs="Arial"/>
        </w:rPr>
      </w:pPr>
      <w:r w:rsidRPr="001858E0">
        <w:rPr>
          <w:rFonts w:ascii="Arial" w:eastAsia="Arial" w:hAnsi="Arial" w:cs="Arial"/>
        </w:rPr>
        <w:t>Para garantías que respalden créditos bajo la modalidad de FAG en condiciones de mercado, la comisión se cobrará anual anticipada.</w:t>
      </w:r>
    </w:p>
    <w:p w:rsidR="00593AF5" w:rsidRPr="001858E0" w:rsidRDefault="00593AF5" w:rsidP="00593AF5">
      <w:pPr>
        <w:pStyle w:val="Prrafodelista"/>
        <w:spacing w:line="0" w:lineRule="atLeast"/>
        <w:ind w:left="851"/>
        <w:jc w:val="both"/>
        <w:rPr>
          <w:rFonts w:ascii="Arial" w:eastAsia="Arial" w:hAnsi="Arial" w:cs="Arial"/>
        </w:rPr>
      </w:pPr>
    </w:p>
    <w:p w:rsidR="00593AF5" w:rsidRPr="001858E0" w:rsidRDefault="0034619A" w:rsidP="00593AF5">
      <w:pPr>
        <w:pStyle w:val="Prrafodelista"/>
        <w:numPr>
          <w:ilvl w:val="0"/>
          <w:numId w:val="6"/>
        </w:numPr>
        <w:spacing w:line="0" w:lineRule="atLeast"/>
        <w:ind w:left="851" w:hanging="284"/>
        <w:jc w:val="both"/>
        <w:rPr>
          <w:rFonts w:ascii="Arial" w:eastAsia="Arial" w:hAnsi="Arial" w:cs="Arial"/>
        </w:rPr>
      </w:pPr>
      <w:r w:rsidRPr="001858E0">
        <w:rPr>
          <w:rFonts w:ascii="Arial" w:eastAsia="Arial" w:hAnsi="Arial" w:cs="Arial"/>
        </w:rPr>
        <w:t>Cuando se trate de garantías para respaldar créditos de pequeños productores, independiente del plazo del crédito, se podrá establecer comisión única, con pago único anticipado.</w:t>
      </w:r>
    </w:p>
    <w:p w:rsidR="00593AF5" w:rsidRPr="001858E0" w:rsidRDefault="00593AF5" w:rsidP="00593AF5">
      <w:pPr>
        <w:pStyle w:val="Prrafodelista"/>
        <w:rPr>
          <w:rFonts w:ascii="Arial" w:eastAsia="Arial" w:hAnsi="Arial" w:cs="Arial"/>
        </w:rPr>
      </w:pPr>
    </w:p>
    <w:p w:rsidR="0034619A" w:rsidRPr="001858E0" w:rsidRDefault="0034619A" w:rsidP="00593AF5">
      <w:pPr>
        <w:pStyle w:val="Prrafodelista"/>
        <w:numPr>
          <w:ilvl w:val="0"/>
          <w:numId w:val="6"/>
        </w:numPr>
        <w:spacing w:line="0" w:lineRule="atLeast"/>
        <w:ind w:left="851" w:hanging="284"/>
        <w:jc w:val="both"/>
        <w:rPr>
          <w:rFonts w:ascii="Arial" w:eastAsia="Arial" w:hAnsi="Arial" w:cs="Arial"/>
        </w:rPr>
      </w:pPr>
      <w:r w:rsidRPr="001858E0">
        <w:rPr>
          <w:rFonts w:ascii="Arial" w:eastAsia="Arial" w:hAnsi="Arial" w:cs="Arial"/>
        </w:rPr>
        <w:t>Para los créditos con capitalización de intereses, la comisión deberá ser anual anticipada.</w:t>
      </w:r>
    </w:p>
    <w:p w:rsidR="0034619A" w:rsidRPr="001858E0" w:rsidRDefault="0034619A" w:rsidP="00024269">
      <w:pPr>
        <w:spacing w:after="0" w:line="240" w:lineRule="auto"/>
        <w:ind w:left="426"/>
        <w:contextualSpacing/>
        <w:jc w:val="both"/>
        <w:rPr>
          <w:rFonts w:ascii="Arial" w:eastAsia="Arial" w:hAnsi="Arial" w:cs="Arial"/>
        </w:rPr>
      </w:pPr>
    </w:p>
    <w:p w:rsidR="0034619A" w:rsidRPr="001858E0" w:rsidRDefault="0034619A" w:rsidP="00467973">
      <w:pPr>
        <w:pStyle w:val="Textoindependiente3"/>
        <w:numPr>
          <w:ilvl w:val="0"/>
          <w:numId w:val="5"/>
        </w:numPr>
        <w:spacing w:after="0" w:line="0" w:lineRule="atLeast"/>
        <w:ind w:left="426"/>
        <w:rPr>
          <w:rFonts w:eastAsia="Arial"/>
          <w:b/>
        </w:rPr>
      </w:pPr>
      <w:r w:rsidRPr="001858E0">
        <w:rPr>
          <w:rFonts w:eastAsia="Arial"/>
          <w:b/>
          <w:sz w:val="22"/>
        </w:rPr>
        <w:t>El valor de las comisiones anuales serán las siguientes:</w:t>
      </w:r>
    </w:p>
    <w:p w:rsidR="0034619A" w:rsidRPr="001858E0" w:rsidRDefault="0034619A" w:rsidP="003568DA">
      <w:pPr>
        <w:spacing w:after="0" w:line="240" w:lineRule="auto"/>
        <w:ind w:left="567"/>
        <w:jc w:val="both"/>
        <w:rPr>
          <w:rFonts w:ascii="Arial" w:eastAsia="Arial" w:hAnsi="Arial" w:cs="Arial"/>
          <w:color w:val="000000"/>
          <w:u w:color="000000"/>
          <w:bdr w:val="nil"/>
        </w:rPr>
      </w:pPr>
    </w:p>
    <w:p w:rsidR="0034619A" w:rsidRPr="001858E0" w:rsidRDefault="0034619A" w:rsidP="003568DA">
      <w:pPr>
        <w:numPr>
          <w:ilvl w:val="0"/>
          <w:numId w:val="3"/>
        </w:numPr>
        <w:tabs>
          <w:tab w:val="left" w:pos="284"/>
        </w:tabs>
        <w:spacing w:after="0" w:line="240" w:lineRule="auto"/>
        <w:ind w:left="851" w:hanging="284"/>
        <w:jc w:val="both"/>
        <w:rPr>
          <w:rFonts w:ascii="Arial" w:eastAsia="Arial" w:hAnsi="Arial" w:cs="Arial"/>
          <w:color w:val="000000"/>
          <w:u w:color="000000"/>
          <w:bdr w:val="nil"/>
        </w:rPr>
      </w:pPr>
      <w:r w:rsidRPr="001858E0">
        <w:rPr>
          <w:rFonts w:ascii="Arial" w:eastAsia="Arial" w:hAnsi="Arial" w:cs="Arial"/>
          <w:color w:val="000000"/>
          <w:u w:color="000000"/>
          <w:bdr w:val="nil"/>
        </w:rPr>
        <w:t xml:space="preserve">Para </w:t>
      </w:r>
      <w:r w:rsidR="00174BDF" w:rsidRPr="001858E0">
        <w:rPr>
          <w:rFonts w:ascii="Arial" w:eastAsia="Arial" w:hAnsi="Arial" w:cs="Arial"/>
          <w:b/>
          <w:color w:val="000000"/>
          <w:u w:color="000000"/>
          <w:bdr w:val="nil"/>
        </w:rPr>
        <w:t>1</w:t>
      </w:r>
      <w:r w:rsidRPr="001858E0">
        <w:rPr>
          <w:rFonts w:ascii="Arial" w:eastAsia="Arial" w:hAnsi="Arial" w:cs="Arial"/>
          <w:b/>
          <w:color w:val="000000"/>
          <w:u w:color="000000"/>
          <w:bdr w:val="nil"/>
        </w:rPr>
        <w:t xml:space="preserve">) </w:t>
      </w:r>
      <w:r w:rsidRPr="001858E0">
        <w:rPr>
          <w:rFonts w:ascii="Arial" w:eastAsia="Arial" w:hAnsi="Arial" w:cs="Arial"/>
          <w:color w:val="000000"/>
          <w:u w:color="000000"/>
          <w:bdr w:val="nil"/>
        </w:rPr>
        <w:t xml:space="preserve">crédito </w:t>
      </w:r>
      <w:r w:rsidRPr="001858E0">
        <w:rPr>
          <w:rFonts w:ascii="Arial" w:eastAsia="Arial" w:hAnsi="Arial" w:cs="Arial"/>
          <w:u w:color="000000"/>
          <w:bdr w:val="nil"/>
        </w:rPr>
        <w:t xml:space="preserve">individual; o </w:t>
      </w:r>
      <w:r w:rsidR="00174BDF" w:rsidRPr="001858E0">
        <w:rPr>
          <w:rFonts w:ascii="Arial" w:eastAsia="Arial" w:hAnsi="Arial" w:cs="Arial"/>
          <w:b/>
          <w:u w:color="000000"/>
          <w:bdr w:val="nil"/>
        </w:rPr>
        <w:t>2</w:t>
      </w:r>
      <w:r w:rsidRPr="001858E0">
        <w:rPr>
          <w:rFonts w:ascii="Arial" w:eastAsia="Arial" w:hAnsi="Arial" w:cs="Arial"/>
          <w:b/>
          <w:u w:color="000000"/>
          <w:bdr w:val="nil"/>
        </w:rPr>
        <w:t>)</w:t>
      </w:r>
      <w:r w:rsidRPr="001858E0">
        <w:rPr>
          <w:rFonts w:ascii="Arial" w:eastAsia="Arial" w:hAnsi="Arial" w:cs="Arial"/>
          <w:u w:color="000000"/>
          <w:bdr w:val="nil"/>
        </w:rPr>
        <w:t xml:space="preserve"> crédito asociativo con responsabilidad individual. Casos: desplazados, pequeño productor y mujer rural, mediano productor (víctimas, </w:t>
      </w:r>
      <w:r w:rsidRPr="001858E0">
        <w:rPr>
          <w:rFonts w:ascii="Arial" w:eastAsia="Arial" w:hAnsi="Arial" w:cs="Arial"/>
          <w:color w:val="000000"/>
          <w:u w:color="000000"/>
          <w:bdr w:val="nil"/>
        </w:rPr>
        <w:t>reinsertados y desarrollo alternativo), gran productor (víctimas, reinsertados y desarrollo alternativo):</w:t>
      </w:r>
    </w:p>
    <w:p w:rsidR="0034619A" w:rsidRPr="001858E0" w:rsidRDefault="0034619A" w:rsidP="002737C3">
      <w:pPr>
        <w:spacing w:after="0" w:line="240" w:lineRule="auto"/>
        <w:jc w:val="both"/>
        <w:rPr>
          <w:rFonts w:ascii="Arial" w:eastAsia="Arial" w:hAnsi="Arial" w:cs="Arial"/>
          <w:color w:val="000000"/>
          <w:u w:color="000000"/>
          <w:bdr w:val="nil"/>
        </w:rPr>
      </w:pPr>
    </w:p>
    <w:p w:rsidR="000856BD" w:rsidRPr="001858E0" w:rsidRDefault="000856BD" w:rsidP="002737C3">
      <w:pPr>
        <w:spacing w:after="0" w:line="240" w:lineRule="auto"/>
        <w:jc w:val="both"/>
        <w:rPr>
          <w:rFonts w:ascii="Arial" w:eastAsia="Arial" w:hAnsi="Arial" w:cs="Arial"/>
          <w:color w:val="000000"/>
          <w:u w:color="000000"/>
          <w:bdr w:val="nil"/>
        </w:rPr>
      </w:pPr>
    </w:p>
    <w:tbl>
      <w:tblPr>
        <w:tblW w:w="8106" w:type="dxa"/>
        <w:tblInd w:w="753" w:type="dxa"/>
        <w:tblCellMar>
          <w:left w:w="70" w:type="dxa"/>
          <w:right w:w="70" w:type="dxa"/>
        </w:tblCellMar>
        <w:tblLook w:val="04A0" w:firstRow="1" w:lastRow="0" w:firstColumn="1" w:lastColumn="0" w:noHBand="0" w:noVBand="1"/>
      </w:tblPr>
      <w:tblGrid>
        <w:gridCol w:w="202"/>
        <w:gridCol w:w="6161"/>
        <w:gridCol w:w="1743"/>
      </w:tblGrid>
      <w:tr w:rsidR="0034619A" w:rsidRPr="001858E0" w:rsidTr="00AE2974">
        <w:trPr>
          <w:trHeight w:val="315"/>
        </w:trPr>
        <w:tc>
          <w:tcPr>
            <w:tcW w:w="6363" w:type="dxa"/>
            <w:gridSpan w:val="2"/>
            <w:tcBorders>
              <w:top w:val="single" w:sz="8" w:space="0" w:color="auto"/>
              <w:left w:val="single" w:sz="8" w:space="0" w:color="auto"/>
              <w:bottom w:val="single" w:sz="8" w:space="0" w:color="auto"/>
              <w:right w:val="nil"/>
            </w:tcBorders>
            <w:shd w:val="clear" w:color="000000" w:fill="DDD9C4"/>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productor</w:t>
            </w:r>
          </w:p>
        </w:tc>
        <w:tc>
          <w:tcPr>
            <w:tcW w:w="1743" w:type="dxa"/>
            <w:tcBorders>
              <w:top w:val="single" w:sz="8" w:space="0" w:color="auto"/>
              <w:left w:val="nil"/>
              <w:bottom w:val="single" w:sz="8" w:space="0" w:color="auto"/>
              <w:right w:val="single" w:sz="8" w:space="0" w:color="auto"/>
            </w:tcBorders>
            <w:shd w:val="clear" w:color="000000" w:fill="DDD9C4"/>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w:t>
            </w:r>
          </w:p>
        </w:tc>
      </w:tr>
      <w:tr w:rsidR="0034619A" w:rsidRPr="001858E0" w:rsidTr="00AE2974">
        <w:trPr>
          <w:trHeight w:val="315"/>
        </w:trPr>
        <w:tc>
          <w:tcPr>
            <w:tcW w:w="6363" w:type="dxa"/>
            <w:gridSpan w:val="2"/>
            <w:tcBorders>
              <w:top w:val="single" w:sz="8" w:space="0" w:color="auto"/>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Desplazados</w:t>
            </w:r>
          </w:p>
        </w:tc>
        <w:tc>
          <w:tcPr>
            <w:tcW w:w="1743"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1,50%</w:t>
            </w:r>
          </w:p>
        </w:tc>
      </w:tr>
      <w:tr w:rsidR="0034619A" w:rsidRPr="001858E0" w:rsidTr="00AE297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Pequeño productor y mujer rural:</w:t>
            </w:r>
          </w:p>
        </w:tc>
        <w:tc>
          <w:tcPr>
            <w:tcW w:w="1743" w:type="dxa"/>
            <w:tcBorders>
              <w:top w:val="nil"/>
              <w:left w:val="nil"/>
              <w:bottom w:val="nil"/>
              <w:right w:val="single" w:sz="8" w:space="0" w:color="auto"/>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34619A" w:rsidRPr="001858E0" w:rsidTr="00AE2974">
        <w:trPr>
          <w:trHeight w:val="855"/>
        </w:trPr>
        <w:tc>
          <w:tcPr>
            <w:tcW w:w="202"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c>
          <w:tcPr>
            <w:tcW w:w="6161" w:type="dxa"/>
            <w:tcBorders>
              <w:top w:val="nil"/>
              <w:left w:val="nil"/>
              <w:bottom w:val="nil"/>
              <w:right w:val="nil"/>
            </w:tcBorders>
            <w:shd w:val="clear" w:color="auto" w:fill="auto"/>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Víctimas, reinsertados, desarrollo alternativo, pago de pasivos no financieros</w:t>
            </w:r>
          </w:p>
        </w:tc>
        <w:tc>
          <w:tcPr>
            <w:tcW w:w="17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1,50%</w:t>
            </w:r>
          </w:p>
        </w:tc>
      </w:tr>
      <w:tr w:rsidR="0034619A" w:rsidRPr="001858E0" w:rsidTr="00AE2974">
        <w:trPr>
          <w:trHeight w:val="315"/>
        </w:trPr>
        <w:tc>
          <w:tcPr>
            <w:tcW w:w="202"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c>
          <w:tcPr>
            <w:tcW w:w="6161" w:type="dxa"/>
            <w:tcBorders>
              <w:top w:val="nil"/>
              <w:left w:val="nil"/>
              <w:bottom w:val="single" w:sz="8" w:space="0" w:color="auto"/>
              <w:right w:val="nil"/>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Ordinario </w:t>
            </w:r>
          </w:p>
        </w:tc>
        <w:tc>
          <w:tcPr>
            <w:tcW w:w="1743"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1,50%</w:t>
            </w:r>
          </w:p>
        </w:tc>
      </w:tr>
      <w:tr w:rsidR="0034619A" w:rsidRPr="001858E0" w:rsidTr="00AE297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Mediano productor:</w:t>
            </w:r>
          </w:p>
        </w:tc>
        <w:tc>
          <w:tcPr>
            <w:tcW w:w="1743" w:type="dxa"/>
            <w:tcBorders>
              <w:top w:val="nil"/>
              <w:left w:val="nil"/>
              <w:bottom w:val="nil"/>
              <w:right w:val="single" w:sz="8" w:space="0" w:color="auto"/>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34619A" w:rsidRPr="001858E0" w:rsidTr="00AE2974">
        <w:trPr>
          <w:trHeight w:val="315"/>
        </w:trPr>
        <w:tc>
          <w:tcPr>
            <w:tcW w:w="202"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c>
          <w:tcPr>
            <w:tcW w:w="6161"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Víctimas, reinsertados y desarrollo alternativo</w:t>
            </w:r>
          </w:p>
        </w:tc>
        <w:tc>
          <w:tcPr>
            <w:tcW w:w="1743"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3,00%</w:t>
            </w:r>
          </w:p>
        </w:tc>
      </w:tr>
      <w:tr w:rsidR="0034619A" w:rsidRPr="001858E0" w:rsidTr="00AE297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Gran productor:</w:t>
            </w:r>
          </w:p>
        </w:tc>
        <w:tc>
          <w:tcPr>
            <w:tcW w:w="1743" w:type="dxa"/>
            <w:tcBorders>
              <w:top w:val="nil"/>
              <w:left w:val="nil"/>
              <w:bottom w:val="nil"/>
              <w:right w:val="single" w:sz="8" w:space="0" w:color="auto"/>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34619A" w:rsidRPr="001858E0" w:rsidTr="00AE2974">
        <w:trPr>
          <w:trHeight w:val="315"/>
        </w:trPr>
        <w:tc>
          <w:tcPr>
            <w:tcW w:w="202"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w:t>
            </w:r>
          </w:p>
        </w:tc>
        <w:tc>
          <w:tcPr>
            <w:tcW w:w="6161" w:type="dxa"/>
            <w:tcBorders>
              <w:top w:val="nil"/>
              <w:left w:val="nil"/>
              <w:bottom w:val="single" w:sz="8" w:space="0" w:color="auto"/>
              <w:right w:val="nil"/>
            </w:tcBorders>
            <w:shd w:val="clear" w:color="auto" w:fill="auto"/>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Víctimas, reinsertados y desarrollo alternativo</w:t>
            </w:r>
          </w:p>
        </w:tc>
        <w:tc>
          <w:tcPr>
            <w:tcW w:w="1743"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4,50%</w:t>
            </w:r>
          </w:p>
        </w:tc>
      </w:tr>
    </w:tbl>
    <w:p w:rsidR="0034619A" w:rsidRPr="001858E0" w:rsidRDefault="0034619A" w:rsidP="002737C3">
      <w:pPr>
        <w:spacing w:after="0" w:line="0" w:lineRule="atLeast"/>
        <w:jc w:val="both"/>
        <w:rPr>
          <w:rFonts w:ascii="Arial" w:eastAsia="Arial" w:hAnsi="Arial" w:cs="Arial"/>
          <w:color w:val="000000"/>
          <w:u w:color="000000"/>
          <w:bdr w:val="nil"/>
        </w:rPr>
      </w:pPr>
    </w:p>
    <w:p w:rsidR="0034619A" w:rsidRPr="001858E0" w:rsidRDefault="0034619A" w:rsidP="003568DA">
      <w:pPr>
        <w:numPr>
          <w:ilvl w:val="0"/>
          <w:numId w:val="3"/>
        </w:numPr>
        <w:tabs>
          <w:tab w:val="left" w:pos="284"/>
        </w:tabs>
        <w:spacing w:after="0" w:line="240" w:lineRule="auto"/>
        <w:ind w:left="851" w:hanging="284"/>
        <w:jc w:val="both"/>
        <w:rPr>
          <w:rFonts w:ascii="Arial" w:eastAsia="Arial" w:hAnsi="Arial" w:cs="Arial"/>
          <w:color w:val="000000"/>
          <w:u w:color="000000"/>
          <w:bdr w:val="nil"/>
        </w:rPr>
      </w:pPr>
      <w:r w:rsidRPr="001858E0">
        <w:rPr>
          <w:rFonts w:ascii="Arial" w:eastAsia="Arial" w:hAnsi="Arial" w:cs="Arial"/>
          <w:color w:val="000000"/>
          <w:u w:color="000000"/>
          <w:bdr w:val="nil"/>
        </w:rPr>
        <w:t xml:space="preserve">Para </w:t>
      </w:r>
      <w:r w:rsidR="00174BDF" w:rsidRPr="001858E0">
        <w:rPr>
          <w:rFonts w:ascii="Arial" w:eastAsia="Arial" w:hAnsi="Arial" w:cs="Arial"/>
          <w:b/>
          <w:color w:val="000000"/>
          <w:u w:color="000000"/>
          <w:bdr w:val="nil"/>
        </w:rPr>
        <w:t>1</w:t>
      </w:r>
      <w:r w:rsidRPr="001858E0">
        <w:rPr>
          <w:rFonts w:ascii="Arial" w:eastAsia="Arial" w:hAnsi="Arial" w:cs="Arial"/>
          <w:b/>
          <w:color w:val="000000"/>
          <w:u w:color="000000"/>
          <w:bdr w:val="nil"/>
        </w:rPr>
        <w:t>)</w:t>
      </w:r>
      <w:r w:rsidRPr="001858E0">
        <w:rPr>
          <w:rFonts w:ascii="Arial" w:eastAsia="Arial" w:hAnsi="Arial" w:cs="Arial"/>
          <w:color w:val="000000"/>
          <w:u w:color="000000"/>
          <w:bdr w:val="nil"/>
        </w:rPr>
        <w:t xml:space="preserve"> crédito individual; o </w:t>
      </w:r>
      <w:r w:rsidR="00174BDF" w:rsidRPr="001858E0">
        <w:rPr>
          <w:rFonts w:ascii="Arial" w:eastAsia="Arial" w:hAnsi="Arial" w:cs="Arial"/>
          <w:b/>
          <w:color w:val="000000"/>
          <w:u w:color="000000"/>
          <w:bdr w:val="nil"/>
        </w:rPr>
        <w:t>2</w:t>
      </w:r>
      <w:r w:rsidRPr="001858E0">
        <w:rPr>
          <w:rFonts w:ascii="Arial" w:eastAsia="Arial" w:hAnsi="Arial" w:cs="Arial"/>
          <w:b/>
          <w:color w:val="000000"/>
          <w:u w:color="000000"/>
          <w:bdr w:val="nil"/>
        </w:rPr>
        <w:t>)</w:t>
      </w:r>
      <w:r w:rsidRPr="001858E0">
        <w:rPr>
          <w:rFonts w:ascii="Arial" w:eastAsia="Arial" w:hAnsi="Arial" w:cs="Arial"/>
          <w:color w:val="000000"/>
          <w:u w:color="000000"/>
          <w:bdr w:val="nil"/>
        </w:rPr>
        <w:t xml:space="preserve"> crédito asociativo con responsabilidad individual. Casos: mediano y gran productor (Ordinario) y </w:t>
      </w:r>
      <w:r w:rsidR="00174BDF" w:rsidRPr="001858E0">
        <w:rPr>
          <w:rFonts w:ascii="Arial" w:eastAsia="Arial" w:hAnsi="Arial" w:cs="Arial"/>
          <w:b/>
          <w:color w:val="000000"/>
          <w:u w:color="000000"/>
          <w:bdr w:val="nil"/>
        </w:rPr>
        <w:t>3</w:t>
      </w:r>
      <w:r w:rsidRPr="001858E0">
        <w:rPr>
          <w:rFonts w:ascii="Arial" w:eastAsia="Arial" w:hAnsi="Arial" w:cs="Arial"/>
          <w:b/>
          <w:color w:val="000000"/>
          <w:u w:color="000000"/>
          <w:bdr w:val="nil"/>
        </w:rPr>
        <w:t>)</w:t>
      </w:r>
      <w:r w:rsidRPr="001858E0">
        <w:rPr>
          <w:rFonts w:ascii="Arial" w:eastAsia="Arial" w:hAnsi="Arial" w:cs="Arial"/>
          <w:color w:val="000000"/>
          <w:u w:color="000000"/>
          <w:bdr w:val="nil"/>
        </w:rPr>
        <w:t xml:space="preserve"> medianos productores en pago de pasivos no financieros. La comisión es fija y se determina según el plazo en años pactado para el crédito, así:</w:t>
      </w:r>
    </w:p>
    <w:p w:rsidR="0034619A" w:rsidRPr="001858E0" w:rsidRDefault="0034619A" w:rsidP="002737C3">
      <w:pPr>
        <w:spacing w:after="0" w:line="0" w:lineRule="atLeast"/>
        <w:jc w:val="both"/>
        <w:rPr>
          <w:rFonts w:ascii="Arial" w:eastAsia="Arial" w:hAnsi="Arial" w:cs="Arial"/>
          <w:color w:val="000000"/>
          <w:u w:color="000000"/>
          <w:bdr w:val="nil"/>
        </w:rPr>
      </w:pPr>
    </w:p>
    <w:tbl>
      <w:tblPr>
        <w:tblW w:w="5245" w:type="dxa"/>
        <w:tblInd w:w="1913" w:type="dxa"/>
        <w:tblLayout w:type="fixed"/>
        <w:tblCellMar>
          <w:left w:w="70" w:type="dxa"/>
          <w:right w:w="70" w:type="dxa"/>
        </w:tblCellMar>
        <w:tblLook w:val="04A0" w:firstRow="1" w:lastRow="0" w:firstColumn="1" w:lastColumn="0" w:noHBand="0" w:noVBand="1"/>
      </w:tblPr>
      <w:tblGrid>
        <w:gridCol w:w="1985"/>
        <w:gridCol w:w="1417"/>
        <w:gridCol w:w="1843"/>
      </w:tblGrid>
      <w:tr w:rsidR="0034619A" w:rsidRPr="001858E0" w:rsidTr="00AE2974">
        <w:trPr>
          <w:trHeight w:val="870"/>
          <w:tblHeader/>
        </w:trPr>
        <w:tc>
          <w:tcPr>
            <w:tcW w:w="1985" w:type="dxa"/>
            <w:tcBorders>
              <w:top w:val="single" w:sz="8" w:space="0" w:color="auto"/>
              <w:left w:val="single" w:sz="8" w:space="0" w:color="auto"/>
              <w:bottom w:val="single" w:sz="8" w:space="0" w:color="auto"/>
              <w:right w:val="nil"/>
            </w:tcBorders>
            <w:shd w:val="clear" w:color="000000" w:fill="DDD9C4"/>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Plazo del crédito (en años)</w:t>
            </w:r>
          </w:p>
        </w:tc>
        <w:tc>
          <w:tcPr>
            <w:tcW w:w="1417" w:type="dxa"/>
            <w:tcBorders>
              <w:top w:val="single" w:sz="8" w:space="0" w:color="auto"/>
              <w:left w:val="nil"/>
              <w:bottom w:val="single" w:sz="8" w:space="0" w:color="auto"/>
              <w:right w:val="nil"/>
            </w:tcBorders>
            <w:shd w:val="clear" w:color="000000" w:fill="DDD9C4"/>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 Mediano Productor</w:t>
            </w:r>
          </w:p>
        </w:tc>
        <w:tc>
          <w:tcPr>
            <w:tcW w:w="1843" w:type="dxa"/>
            <w:tcBorders>
              <w:top w:val="single" w:sz="8" w:space="0" w:color="auto"/>
              <w:left w:val="nil"/>
              <w:bottom w:val="single" w:sz="8" w:space="0" w:color="auto"/>
              <w:right w:val="single" w:sz="8" w:space="0" w:color="auto"/>
            </w:tcBorders>
            <w:shd w:val="clear" w:color="000000" w:fill="DDD9C4"/>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 Gran Productor</w:t>
            </w:r>
          </w:p>
        </w:tc>
      </w:tr>
      <w:tr w:rsidR="0034619A" w:rsidRPr="001858E0" w:rsidTr="00AE2974">
        <w:trPr>
          <w:trHeight w:val="300"/>
        </w:trPr>
        <w:tc>
          <w:tcPr>
            <w:tcW w:w="1985"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5,10%</w:t>
            </w:r>
          </w:p>
        </w:tc>
        <w:tc>
          <w:tcPr>
            <w:tcW w:w="18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5,90%</w:t>
            </w:r>
          </w:p>
        </w:tc>
      </w:tr>
      <w:tr w:rsidR="0034619A" w:rsidRPr="001858E0" w:rsidTr="00AE2974">
        <w:trPr>
          <w:trHeight w:val="300"/>
        </w:trPr>
        <w:tc>
          <w:tcPr>
            <w:tcW w:w="1985"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2</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4,50%</w:t>
            </w:r>
          </w:p>
        </w:tc>
        <w:tc>
          <w:tcPr>
            <w:tcW w:w="18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5,20%</w:t>
            </w:r>
          </w:p>
        </w:tc>
      </w:tr>
      <w:tr w:rsidR="0034619A" w:rsidRPr="001858E0" w:rsidTr="00AE2974">
        <w:trPr>
          <w:trHeight w:val="300"/>
        </w:trPr>
        <w:tc>
          <w:tcPr>
            <w:tcW w:w="1985"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lastRenderedPageBreak/>
              <w:t>3</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4,10%</w:t>
            </w:r>
          </w:p>
        </w:tc>
        <w:tc>
          <w:tcPr>
            <w:tcW w:w="18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4,80%</w:t>
            </w:r>
          </w:p>
        </w:tc>
      </w:tr>
      <w:tr w:rsidR="0034619A" w:rsidRPr="001858E0" w:rsidTr="00AE2974">
        <w:trPr>
          <w:trHeight w:val="300"/>
        </w:trPr>
        <w:tc>
          <w:tcPr>
            <w:tcW w:w="1985"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3,90%</w:t>
            </w:r>
          </w:p>
        </w:tc>
        <w:tc>
          <w:tcPr>
            <w:tcW w:w="18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4,50%</w:t>
            </w:r>
          </w:p>
        </w:tc>
      </w:tr>
      <w:tr w:rsidR="0034619A" w:rsidRPr="001858E0" w:rsidTr="00AE2974">
        <w:trPr>
          <w:trHeight w:val="300"/>
        </w:trPr>
        <w:tc>
          <w:tcPr>
            <w:tcW w:w="1985"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5</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3,60%</w:t>
            </w:r>
          </w:p>
        </w:tc>
        <w:tc>
          <w:tcPr>
            <w:tcW w:w="1843" w:type="dxa"/>
            <w:tcBorders>
              <w:top w:val="nil"/>
              <w:left w:val="nil"/>
              <w:bottom w:val="nil"/>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4,20%</w:t>
            </w:r>
          </w:p>
        </w:tc>
      </w:tr>
      <w:tr w:rsidR="0034619A" w:rsidRPr="001858E0" w:rsidTr="00AE2974">
        <w:trPr>
          <w:trHeight w:val="300"/>
        </w:trPr>
        <w:tc>
          <w:tcPr>
            <w:tcW w:w="1985" w:type="dxa"/>
            <w:tcBorders>
              <w:top w:val="nil"/>
              <w:left w:val="single" w:sz="8" w:space="0" w:color="auto"/>
              <w:bottom w:val="single" w:sz="4" w:space="0" w:color="auto"/>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6</w:t>
            </w:r>
          </w:p>
        </w:tc>
        <w:tc>
          <w:tcPr>
            <w:tcW w:w="1417" w:type="dxa"/>
            <w:tcBorders>
              <w:top w:val="nil"/>
              <w:left w:val="nil"/>
              <w:bottom w:val="single" w:sz="4" w:space="0" w:color="auto"/>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3,50%</w:t>
            </w:r>
          </w:p>
        </w:tc>
        <w:tc>
          <w:tcPr>
            <w:tcW w:w="1843" w:type="dxa"/>
            <w:tcBorders>
              <w:top w:val="nil"/>
              <w:left w:val="nil"/>
              <w:bottom w:val="single" w:sz="4" w:space="0" w:color="auto"/>
              <w:right w:val="single" w:sz="8"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4,00%</w:t>
            </w:r>
          </w:p>
        </w:tc>
      </w:tr>
      <w:tr w:rsidR="0034619A" w:rsidRPr="001858E0" w:rsidTr="00AE2974">
        <w:trPr>
          <w:trHeight w:val="300"/>
        </w:trPr>
        <w:tc>
          <w:tcPr>
            <w:tcW w:w="1985" w:type="dxa"/>
            <w:tcBorders>
              <w:top w:val="single" w:sz="4" w:space="0" w:color="auto"/>
              <w:left w:val="single" w:sz="4" w:space="0" w:color="auto"/>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7</w:t>
            </w:r>
          </w:p>
        </w:tc>
        <w:tc>
          <w:tcPr>
            <w:tcW w:w="1417" w:type="dxa"/>
            <w:tcBorders>
              <w:top w:val="single" w:sz="4" w:space="0" w:color="auto"/>
              <w:left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3,30%</w:t>
            </w:r>
          </w:p>
        </w:tc>
        <w:tc>
          <w:tcPr>
            <w:tcW w:w="1843" w:type="dxa"/>
            <w:tcBorders>
              <w:top w:val="single" w:sz="4" w:space="0" w:color="auto"/>
              <w:left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3,80%</w:t>
            </w:r>
          </w:p>
        </w:tc>
      </w:tr>
      <w:tr w:rsidR="0034619A" w:rsidRPr="001858E0" w:rsidTr="00AE2974">
        <w:trPr>
          <w:trHeight w:val="300"/>
        </w:trPr>
        <w:tc>
          <w:tcPr>
            <w:tcW w:w="1985" w:type="dxa"/>
            <w:tcBorders>
              <w:left w:val="single" w:sz="4" w:space="0" w:color="auto"/>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8</w:t>
            </w:r>
          </w:p>
        </w:tc>
        <w:tc>
          <w:tcPr>
            <w:tcW w:w="1417" w:type="dxa"/>
            <w:tcBorders>
              <w:left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3,20%</w:t>
            </w:r>
          </w:p>
        </w:tc>
        <w:tc>
          <w:tcPr>
            <w:tcW w:w="1843" w:type="dxa"/>
            <w:tcBorders>
              <w:left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3,70%</w:t>
            </w:r>
          </w:p>
        </w:tc>
      </w:tr>
      <w:tr w:rsidR="0034619A" w:rsidRPr="001858E0" w:rsidTr="00AE2974">
        <w:trPr>
          <w:trHeight w:val="300"/>
        </w:trPr>
        <w:tc>
          <w:tcPr>
            <w:tcW w:w="1985" w:type="dxa"/>
            <w:tcBorders>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9</w:t>
            </w:r>
          </w:p>
        </w:tc>
        <w:tc>
          <w:tcPr>
            <w:tcW w:w="1417" w:type="dxa"/>
            <w:tcBorders>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3,10%</w:t>
            </w:r>
          </w:p>
        </w:tc>
        <w:tc>
          <w:tcPr>
            <w:tcW w:w="1843" w:type="dxa"/>
            <w:tcBorders>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3,60%</w:t>
            </w:r>
          </w:p>
        </w:tc>
      </w:tr>
      <w:tr w:rsidR="0034619A" w:rsidRPr="001858E0" w:rsidTr="00AE2974">
        <w:trPr>
          <w:trHeight w:val="300"/>
        </w:trPr>
        <w:tc>
          <w:tcPr>
            <w:tcW w:w="1985" w:type="dxa"/>
            <w:tcBorders>
              <w:top w:val="nil"/>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10</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3,00%</w:t>
            </w:r>
          </w:p>
        </w:tc>
        <w:tc>
          <w:tcPr>
            <w:tcW w:w="1843" w:type="dxa"/>
            <w:tcBorders>
              <w:top w:val="nil"/>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3,50%</w:t>
            </w:r>
          </w:p>
        </w:tc>
      </w:tr>
      <w:tr w:rsidR="0034619A" w:rsidRPr="001858E0" w:rsidTr="00AE2974">
        <w:trPr>
          <w:trHeight w:val="300"/>
        </w:trPr>
        <w:tc>
          <w:tcPr>
            <w:tcW w:w="1985" w:type="dxa"/>
            <w:tcBorders>
              <w:top w:val="nil"/>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11</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3,00%</w:t>
            </w:r>
          </w:p>
        </w:tc>
        <w:tc>
          <w:tcPr>
            <w:tcW w:w="1843" w:type="dxa"/>
            <w:tcBorders>
              <w:top w:val="nil"/>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3,40%</w:t>
            </w:r>
          </w:p>
        </w:tc>
      </w:tr>
      <w:tr w:rsidR="0034619A" w:rsidRPr="001858E0" w:rsidTr="00AE2974">
        <w:trPr>
          <w:trHeight w:val="300"/>
        </w:trPr>
        <w:tc>
          <w:tcPr>
            <w:tcW w:w="1985" w:type="dxa"/>
            <w:tcBorders>
              <w:top w:val="nil"/>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12</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2,90%</w:t>
            </w:r>
          </w:p>
        </w:tc>
        <w:tc>
          <w:tcPr>
            <w:tcW w:w="1843" w:type="dxa"/>
            <w:tcBorders>
              <w:top w:val="nil"/>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3,30%</w:t>
            </w:r>
          </w:p>
        </w:tc>
      </w:tr>
      <w:tr w:rsidR="0034619A" w:rsidRPr="001858E0" w:rsidTr="00AE2974">
        <w:trPr>
          <w:trHeight w:val="300"/>
        </w:trPr>
        <w:tc>
          <w:tcPr>
            <w:tcW w:w="1985" w:type="dxa"/>
            <w:tcBorders>
              <w:top w:val="nil"/>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13</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2,80%</w:t>
            </w:r>
          </w:p>
        </w:tc>
        <w:tc>
          <w:tcPr>
            <w:tcW w:w="1843" w:type="dxa"/>
            <w:tcBorders>
              <w:top w:val="nil"/>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3,20%</w:t>
            </w:r>
          </w:p>
        </w:tc>
      </w:tr>
      <w:tr w:rsidR="0034619A" w:rsidRPr="001858E0" w:rsidTr="00AE2974">
        <w:trPr>
          <w:trHeight w:val="300"/>
        </w:trPr>
        <w:tc>
          <w:tcPr>
            <w:tcW w:w="1985" w:type="dxa"/>
            <w:tcBorders>
              <w:top w:val="nil"/>
              <w:left w:val="single" w:sz="4" w:space="0" w:color="auto"/>
              <w:bottom w:val="nil"/>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14</w:t>
            </w:r>
          </w:p>
        </w:tc>
        <w:tc>
          <w:tcPr>
            <w:tcW w:w="1417" w:type="dxa"/>
            <w:tcBorders>
              <w:top w:val="nil"/>
              <w:left w:val="nil"/>
              <w:bottom w:val="nil"/>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2,70%</w:t>
            </w:r>
          </w:p>
        </w:tc>
        <w:tc>
          <w:tcPr>
            <w:tcW w:w="1843" w:type="dxa"/>
            <w:tcBorders>
              <w:top w:val="nil"/>
              <w:left w:val="nil"/>
              <w:bottom w:val="nil"/>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3,10%</w:t>
            </w:r>
          </w:p>
        </w:tc>
      </w:tr>
      <w:tr w:rsidR="0034619A" w:rsidRPr="001858E0" w:rsidTr="00AE2974">
        <w:trPr>
          <w:trHeight w:val="315"/>
        </w:trPr>
        <w:tc>
          <w:tcPr>
            <w:tcW w:w="1985" w:type="dxa"/>
            <w:tcBorders>
              <w:top w:val="nil"/>
              <w:left w:val="single" w:sz="4" w:space="0" w:color="auto"/>
              <w:bottom w:val="single" w:sz="4" w:space="0" w:color="auto"/>
              <w:right w:val="nil"/>
            </w:tcBorders>
            <w:shd w:val="clear" w:color="auto" w:fill="auto"/>
            <w:noWrap/>
            <w:vAlign w:val="center"/>
            <w:hideMark/>
          </w:tcPr>
          <w:p w:rsidR="0034619A" w:rsidRPr="001858E0" w:rsidRDefault="0034619A"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15</w:t>
            </w:r>
          </w:p>
        </w:tc>
        <w:tc>
          <w:tcPr>
            <w:tcW w:w="1417" w:type="dxa"/>
            <w:tcBorders>
              <w:top w:val="nil"/>
              <w:left w:val="nil"/>
              <w:bottom w:val="single" w:sz="4" w:space="0" w:color="auto"/>
              <w:right w:val="nil"/>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2,60%</w:t>
            </w:r>
          </w:p>
        </w:tc>
        <w:tc>
          <w:tcPr>
            <w:tcW w:w="1843" w:type="dxa"/>
            <w:tcBorders>
              <w:top w:val="nil"/>
              <w:left w:val="nil"/>
              <w:bottom w:val="single" w:sz="4" w:space="0" w:color="auto"/>
              <w:right w:val="single" w:sz="4" w:space="0" w:color="auto"/>
            </w:tcBorders>
            <w:shd w:val="clear" w:color="auto" w:fill="auto"/>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3,00%</w:t>
            </w:r>
          </w:p>
        </w:tc>
      </w:tr>
    </w:tbl>
    <w:p w:rsidR="0034619A" w:rsidRPr="001858E0" w:rsidRDefault="0034619A" w:rsidP="002737C3">
      <w:pPr>
        <w:spacing w:line="0" w:lineRule="atLeast"/>
        <w:jc w:val="both"/>
        <w:rPr>
          <w:rFonts w:ascii="Arial" w:eastAsia="Arial" w:hAnsi="Arial" w:cs="Arial"/>
          <w:color w:val="000000"/>
          <w:u w:color="000000"/>
          <w:bdr w:val="nil"/>
        </w:rPr>
      </w:pPr>
    </w:p>
    <w:p w:rsidR="0034619A" w:rsidRPr="001858E0" w:rsidRDefault="0034619A" w:rsidP="00DF02A5">
      <w:pPr>
        <w:numPr>
          <w:ilvl w:val="0"/>
          <w:numId w:val="3"/>
        </w:numPr>
        <w:spacing w:line="0" w:lineRule="atLeast"/>
        <w:ind w:left="851"/>
        <w:jc w:val="both"/>
        <w:rPr>
          <w:rFonts w:ascii="Arial" w:eastAsia="Arial" w:hAnsi="Arial" w:cs="Arial"/>
          <w:color w:val="000000"/>
          <w:u w:color="000000"/>
          <w:bdr w:val="nil"/>
        </w:rPr>
      </w:pPr>
      <w:r w:rsidRPr="001858E0">
        <w:rPr>
          <w:rFonts w:ascii="Arial" w:eastAsia="Arial" w:hAnsi="Arial" w:cs="Arial"/>
          <w:color w:val="000000"/>
          <w:u w:color="000000"/>
          <w:bdr w:val="nil"/>
        </w:rPr>
        <w:t>Para crédito con esquemas asociativos</w:t>
      </w:r>
      <w:r w:rsidR="0090110C" w:rsidRPr="001858E0">
        <w:rPr>
          <w:rFonts w:ascii="Arial" w:eastAsia="Arial" w:hAnsi="Arial" w:cs="Arial"/>
          <w:color w:val="000000"/>
          <w:u w:color="000000"/>
          <w:bdr w:val="nil"/>
        </w:rPr>
        <w:t>:</w:t>
      </w:r>
      <w:r w:rsidRPr="001858E0">
        <w:rPr>
          <w:rFonts w:ascii="Arial" w:eastAsia="Arial" w:hAnsi="Arial" w:cs="Arial"/>
          <w:color w:val="000000"/>
          <w:u w:color="000000"/>
          <w:bdr w:val="nil"/>
        </w:rPr>
        <w:t xml:space="preserve"> </w:t>
      </w: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34619A" w:rsidRPr="001858E0" w:rsidTr="00AE297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Comisión</w:t>
            </w:r>
          </w:p>
        </w:tc>
      </w:tr>
      <w:tr w:rsidR="0034619A" w:rsidRPr="001858E0" w:rsidTr="00AE2974">
        <w:trPr>
          <w:trHeight w:val="300"/>
        </w:trPr>
        <w:tc>
          <w:tcPr>
            <w:tcW w:w="6456"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Esquemas asociativos                                                                  </w:t>
            </w:r>
          </w:p>
        </w:tc>
        <w:tc>
          <w:tcPr>
            <w:tcW w:w="1200" w:type="dxa"/>
            <w:tcBorders>
              <w:top w:val="nil"/>
              <w:left w:val="nil"/>
              <w:bottom w:val="nil"/>
              <w:right w:val="single" w:sz="8" w:space="0" w:color="auto"/>
            </w:tcBorders>
            <w:shd w:val="clear" w:color="auto" w:fill="auto"/>
            <w:noWrap/>
            <w:vAlign w:val="center"/>
            <w:hideMark/>
          </w:tcPr>
          <w:p w:rsidR="0034619A" w:rsidRPr="001858E0" w:rsidRDefault="0034619A"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1,50%</w:t>
            </w:r>
          </w:p>
        </w:tc>
      </w:tr>
      <w:tr w:rsidR="0034619A" w:rsidRPr="001858E0" w:rsidTr="00AE2974">
        <w:trPr>
          <w:trHeight w:val="315"/>
        </w:trPr>
        <w:tc>
          <w:tcPr>
            <w:tcW w:w="6456"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Esquemas de Integración                                        </w:t>
            </w:r>
          </w:p>
        </w:tc>
        <w:tc>
          <w:tcPr>
            <w:tcW w:w="1200"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2,25%</w:t>
            </w:r>
          </w:p>
        </w:tc>
      </w:tr>
    </w:tbl>
    <w:p w:rsidR="0034619A" w:rsidRPr="001858E0" w:rsidRDefault="0034619A" w:rsidP="002737C3">
      <w:pPr>
        <w:spacing w:after="0" w:line="240" w:lineRule="auto"/>
        <w:jc w:val="both"/>
        <w:rPr>
          <w:rFonts w:ascii="Arial" w:eastAsia="Arial" w:hAnsi="Arial" w:cs="Arial"/>
          <w:color w:val="000000"/>
          <w:u w:color="000000"/>
          <w:bdr w:val="nil"/>
        </w:rPr>
      </w:pPr>
    </w:p>
    <w:p w:rsidR="004A50B7" w:rsidRPr="001858E0" w:rsidRDefault="004A50B7" w:rsidP="002737C3">
      <w:pPr>
        <w:spacing w:after="0" w:line="240" w:lineRule="auto"/>
        <w:jc w:val="both"/>
        <w:rPr>
          <w:rFonts w:ascii="Arial" w:eastAsia="Arial" w:hAnsi="Arial" w:cs="Arial"/>
          <w:color w:val="000000"/>
          <w:u w:color="000000"/>
          <w:bdr w:val="nil"/>
        </w:rPr>
      </w:pPr>
    </w:p>
    <w:p w:rsidR="0034619A" w:rsidRPr="001858E0" w:rsidRDefault="0034619A" w:rsidP="00DF02A5">
      <w:pPr>
        <w:pStyle w:val="Prrafodelista"/>
        <w:numPr>
          <w:ilvl w:val="0"/>
          <w:numId w:val="3"/>
        </w:numPr>
        <w:spacing w:after="0" w:line="240" w:lineRule="auto"/>
        <w:ind w:left="851"/>
        <w:jc w:val="both"/>
        <w:rPr>
          <w:rFonts w:ascii="Arial" w:eastAsia="Arial" w:hAnsi="Arial" w:cs="Arial"/>
          <w:color w:val="000000"/>
          <w:u w:color="000000"/>
          <w:bdr w:val="nil"/>
        </w:rPr>
      </w:pPr>
      <w:r w:rsidRPr="001858E0">
        <w:rPr>
          <w:rFonts w:ascii="Arial" w:eastAsia="Arial" w:hAnsi="Arial" w:cs="Arial"/>
          <w:color w:val="000000"/>
          <w:u w:color="000000"/>
          <w:bdr w:val="nil"/>
        </w:rPr>
        <w:t>Para microcrédito agropecuario y rural</w:t>
      </w:r>
      <w:r w:rsidR="0090110C" w:rsidRPr="001858E0">
        <w:rPr>
          <w:rFonts w:ascii="Arial" w:eastAsia="Arial" w:hAnsi="Arial" w:cs="Arial"/>
          <w:color w:val="000000"/>
          <w:u w:color="000000"/>
          <w:bdr w:val="nil"/>
        </w:rPr>
        <w:t>:</w:t>
      </w:r>
    </w:p>
    <w:p w:rsidR="0034619A" w:rsidRPr="001858E0" w:rsidRDefault="0034619A" w:rsidP="001913F7">
      <w:pPr>
        <w:spacing w:after="0" w:line="240" w:lineRule="auto"/>
        <w:jc w:val="both"/>
        <w:rPr>
          <w:rFonts w:ascii="Arial" w:eastAsia="Arial" w:hAnsi="Arial" w:cs="Arial"/>
          <w:color w:val="000000"/>
          <w:u w:color="000000"/>
          <w:bdr w:val="nil"/>
        </w:rPr>
      </w:pP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34619A" w:rsidRPr="001858E0" w:rsidTr="00AE297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34619A" w:rsidRPr="001858E0" w:rsidRDefault="0034619A" w:rsidP="00AA22AF">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34619A" w:rsidRPr="001858E0" w:rsidRDefault="0034619A" w:rsidP="007E2229">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w:t>
            </w:r>
          </w:p>
        </w:tc>
      </w:tr>
      <w:tr w:rsidR="0034619A" w:rsidRPr="001858E0" w:rsidTr="00AE2974">
        <w:trPr>
          <w:trHeight w:val="315"/>
        </w:trPr>
        <w:tc>
          <w:tcPr>
            <w:tcW w:w="6456"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Microcrédito agropecuario y rural con tecnología microfinanciera</w:t>
            </w:r>
          </w:p>
        </w:tc>
        <w:tc>
          <w:tcPr>
            <w:tcW w:w="1200"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 xml:space="preserve">      5,00%</w:t>
            </w:r>
          </w:p>
        </w:tc>
      </w:tr>
    </w:tbl>
    <w:p w:rsidR="0034619A" w:rsidRPr="001858E0" w:rsidRDefault="0034619A" w:rsidP="002737C3">
      <w:pPr>
        <w:pStyle w:val="Prrafodelista"/>
        <w:ind w:left="0"/>
        <w:jc w:val="both"/>
        <w:rPr>
          <w:rFonts w:ascii="Arial" w:eastAsia="Arial" w:hAnsi="Arial" w:cs="Arial"/>
          <w:color w:val="000000"/>
          <w:u w:color="000000"/>
          <w:bdr w:val="nil"/>
        </w:rPr>
      </w:pPr>
    </w:p>
    <w:p w:rsidR="0034619A" w:rsidRPr="001858E0" w:rsidRDefault="0034619A" w:rsidP="00DF02A5">
      <w:pPr>
        <w:pStyle w:val="Prrafodelista"/>
        <w:numPr>
          <w:ilvl w:val="0"/>
          <w:numId w:val="3"/>
        </w:numPr>
        <w:ind w:left="851"/>
        <w:jc w:val="both"/>
        <w:rPr>
          <w:rFonts w:ascii="Arial" w:eastAsia="Arial" w:hAnsi="Arial" w:cs="Arial"/>
          <w:color w:val="000000"/>
          <w:u w:color="000000"/>
          <w:bdr w:val="nil"/>
        </w:rPr>
      </w:pPr>
      <w:r w:rsidRPr="001858E0">
        <w:rPr>
          <w:rFonts w:ascii="Arial" w:hAnsi="Arial" w:cs="Arial"/>
          <w:color w:val="000000"/>
          <w:lang w:eastAsia="es-CO"/>
        </w:rPr>
        <w:t>Embarcaciones pesqueras y de cabotaje – Buenaventura</w:t>
      </w:r>
      <w:r w:rsidR="0090110C" w:rsidRPr="001858E0">
        <w:rPr>
          <w:rFonts w:ascii="Arial" w:hAnsi="Arial" w:cs="Arial"/>
          <w:color w:val="000000"/>
          <w:lang w:eastAsia="es-CO"/>
        </w:rPr>
        <w:t>:</w:t>
      </w: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641226" w:rsidRPr="001858E0" w:rsidTr="00AE297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641226" w:rsidRPr="001858E0" w:rsidRDefault="00641226"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641226" w:rsidRPr="001858E0" w:rsidRDefault="00641226"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w:t>
            </w:r>
          </w:p>
        </w:tc>
      </w:tr>
      <w:tr w:rsidR="00641226" w:rsidRPr="001858E0" w:rsidTr="00AE2974">
        <w:trPr>
          <w:trHeight w:val="315"/>
        </w:trPr>
        <w:tc>
          <w:tcPr>
            <w:tcW w:w="6456" w:type="dxa"/>
            <w:tcBorders>
              <w:top w:val="nil"/>
              <w:left w:val="single" w:sz="8" w:space="0" w:color="auto"/>
              <w:bottom w:val="single" w:sz="8" w:space="0" w:color="auto"/>
              <w:right w:val="nil"/>
            </w:tcBorders>
            <w:shd w:val="clear" w:color="auto" w:fill="auto"/>
            <w:noWrap/>
            <w:vAlign w:val="center"/>
            <w:hideMark/>
          </w:tcPr>
          <w:p w:rsidR="00641226" w:rsidRPr="001858E0" w:rsidRDefault="00641226"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Embarcaciones pesqueras y de cabotaje – Buenaventura</w:t>
            </w:r>
          </w:p>
        </w:tc>
        <w:tc>
          <w:tcPr>
            <w:tcW w:w="1200" w:type="dxa"/>
            <w:tcBorders>
              <w:top w:val="nil"/>
              <w:left w:val="nil"/>
              <w:bottom w:val="single" w:sz="8" w:space="0" w:color="auto"/>
              <w:right w:val="single" w:sz="8" w:space="0" w:color="auto"/>
            </w:tcBorders>
            <w:shd w:val="clear" w:color="auto" w:fill="auto"/>
            <w:noWrap/>
            <w:vAlign w:val="center"/>
            <w:hideMark/>
          </w:tcPr>
          <w:p w:rsidR="00641226" w:rsidRPr="001858E0" w:rsidRDefault="00641226"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 xml:space="preserve">      1,50%</w:t>
            </w:r>
          </w:p>
        </w:tc>
      </w:tr>
    </w:tbl>
    <w:p w:rsidR="00641226" w:rsidRPr="001858E0" w:rsidRDefault="00641226" w:rsidP="002737C3">
      <w:pPr>
        <w:pStyle w:val="Prrafodelista"/>
        <w:ind w:left="0"/>
        <w:jc w:val="both"/>
        <w:rPr>
          <w:rFonts w:ascii="Arial" w:eastAsia="Arial" w:hAnsi="Arial" w:cs="Arial"/>
          <w:color w:val="000000"/>
          <w:u w:color="000000"/>
          <w:bdr w:val="nil"/>
        </w:rPr>
      </w:pPr>
    </w:p>
    <w:p w:rsidR="00CE4266" w:rsidRPr="001858E0" w:rsidRDefault="00641226" w:rsidP="00DF02A5">
      <w:pPr>
        <w:pStyle w:val="Prrafodelista"/>
        <w:numPr>
          <w:ilvl w:val="0"/>
          <w:numId w:val="3"/>
        </w:numPr>
        <w:ind w:left="851"/>
        <w:jc w:val="both"/>
        <w:rPr>
          <w:rFonts w:ascii="Arial" w:eastAsia="Arial" w:hAnsi="Arial" w:cs="Arial"/>
          <w:color w:val="000000"/>
          <w:u w:color="000000"/>
          <w:bdr w:val="nil"/>
        </w:rPr>
      </w:pPr>
      <w:r w:rsidRPr="001858E0">
        <w:rPr>
          <w:rFonts w:ascii="Arial" w:eastAsia="Arial" w:hAnsi="Arial" w:cs="Arial"/>
          <w:color w:val="000000"/>
          <w:u w:color="000000"/>
          <w:bdr w:val="nil"/>
        </w:rPr>
        <w:t xml:space="preserve">FAG </w:t>
      </w:r>
      <w:r w:rsidR="002A4FCA" w:rsidRPr="001858E0">
        <w:rPr>
          <w:rFonts w:ascii="Arial" w:eastAsia="Arial" w:hAnsi="Arial" w:cs="Arial"/>
          <w:color w:val="000000"/>
          <w:u w:color="000000"/>
          <w:bdr w:val="nil"/>
        </w:rPr>
        <w:t>para</w:t>
      </w:r>
      <w:r w:rsidR="00CE4266" w:rsidRPr="001858E0">
        <w:rPr>
          <w:rFonts w:ascii="Arial" w:eastAsia="Arial" w:hAnsi="Arial" w:cs="Arial"/>
          <w:color w:val="000000"/>
          <w:u w:color="000000"/>
          <w:bdr w:val="nil"/>
        </w:rPr>
        <w:t xml:space="preserve"> operaciones de crédito destinadas a financiar </w:t>
      </w:r>
      <w:bookmarkStart w:id="0" w:name="_Hlk532288093"/>
      <w:r w:rsidR="00CE4266" w:rsidRPr="001858E0">
        <w:rPr>
          <w:rFonts w:ascii="Arial" w:hAnsi="Arial" w:cs="Arial"/>
          <w:iCs/>
        </w:rPr>
        <w:t xml:space="preserve">proyectos del sector agropecuario, pesquero, de la acuicultura, forestal, </w:t>
      </w:r>
      <w:r w:rsidR="00CE4266" w:rsidRPr="001858E0">
        <w:rPr>
          <w:rFonts w:ascii="Arial" w:hAnsi="Arial" w:cs="Arial"/>
        </w:rPr>
        <w:t xml:space="preserve">y </w:t>
      </w:r>
      <w:r w:rsidR="00CE4266" w:rsidRPr="001858E0">
        <w:rPr>
          <w:rFonts w:ascii="Arial" w:hAnsi="Arial" w:cs="Arial"/>
          <w:iCs/>
        </w:rPr>
        <w:t>rural en general</w:t>
      </w:r>
      <w:bookmarkEnd w:id="0"/>
      <w:r w:rsidR="0017513D" w:rsidRPr="001858E0">
        <w:rPr>
          <w:rFonts w:ascii="Arial" w:hAnsi="Arial" w:cs="Arial"/>
          <w:iCs/>
        </w:rPr>
        <w:t xml:space="preserve"> en condiciones de mercado</w:t>
      </w:r>
      <w:r w:rsidR="00CE4266" w:rsidRPr="001858E0">
        <w:rPr>
          <w:rFonts w:ascii="Arial" w:hAnsi="Arial" w:cs="Arial"/>
          <w:iCs/>
        </w:rPr>
        <w:t xml:space="preserve">, </w:t>
      </w:r>
      <w:r w:rsidR="00476141" w:rsidRPr="001858E0">
        <w:rPr>
          <w:rFonts w:ascii="Arial" w:hAnsi="Arial" w:cs="Arial"/>
          <w:iCs/>
        </w:rPr>
        <w:t>que</w:t>
      </w:r>
      <w:r w:rsidR="005C39ED" w:rsidRPr="001858E0">
        <w:rPr>
          <w:rFonts w:ascii="Arial" w:hAnsi="Arial" w:cs="Arial"/>
          <w:iCs/>
        </w:rPr>
        <w:t xml:space="preserve"> </w:t>
      </w:r>
      <w:r w:rsidR="00DF51C1" w:rsidRPr="001858E0">
        <w:rPr>
          <w:rFonts w:ascii="Arial" w:hAnsi="Arial" w:cs="Arial"/>
          <w:iCs/>
        </w:rPr>
        <w:t xml:space="preserve">corresponden a aquellas operaciones de crédito que </w:t>
      </w:r>
      <w:r w:rsidR="005C39ED" w:rsidRPr="001858E0">
        <w:rPr>
          <w:rFonts w:ascii="Arial" w:hAnsi="Arial" w:cs="Arial"/>
          <w:iCs/>
        </w:rPr>
        <w:t xml:space="preserve">no cumplen </w:t>
      </w:r>
      <w:r w:rsidR="00C57CF2" w:rsidRPr="001858E0">
        <w:rPr>
          <w:rFonts w:ascii="Arial" w:hAnsi="Arial" w:cs="Arial"/>
          <w:iCs/>
        </w:rPr>
        <w:t>con las condiciones establecida</w:t>
      </w:r>
      <w:r w:rsidR="00757F40" w:rsidRPr="001858E0">
        <w:rPr>
          <w:rFonts w:ascii="Arial" w:hAnsi="Arial" w:cs="Arial"/>
          <w:iCs/>
        </w:rPr>
        <w:t>s</w:t>
      </w:r>
      <w:r w:rsidR="00C57CF2" w:rsidRPr="001858E0">
        <w:rPr>
          <w:rFonts w:ascii="Arial" w:hAnsi="Arial" w:cs="Arial"/>
          <w:iCs/>
        </w:rPr>
        <w:t xml:space="preserve"> por la Comisión Nacional de Crédito y las reglamentaciones correspondientes </w:t>
      </w:r>
      <w:r w:rsidR="00DF51C1" w:rsidRPr="001858E0">
        <w:rPr>
          <w:rFonts w:ascii="Arial" w:hAnsi="Arial" w:cs="Arial"/>
          <w:iCs/>
        </w:rPr>
        <w:t xml:space="preserve">para su </w:t>
      </w:r>
      <w:r w:rsidR="004E575B" w:rsidRPr="001858E0">
        <w:rPr>
          <w:rFonts w:ascii="Arial" w:hAnsi="Arial" w:cs="Arial"/>
          <w:iCs/>
        </w:rPr>
        <w:t xml:space="preserve">redescuento ni validación como cartera sustitutiva ante FINAGRO, pero </w:t>
      </w:r>
      <w:r w:rsidR="005C39ED" w:rsidRPr="001858E0">
        <w:rPr>
          <w:rFonts w:ascii="Arial" w:hAnsi="Arial" w:cs="Arial"/>
          <w:iCs/>
        </w:rPr>
        <w:t xml:space="preserve">que </w:t>
      </w:r>
      <w:r w:rsidR="004E575B" w:rsidRPr="001858E0">
        <w:rPr>
          <w:rFonts w:ascii="Arial" w:hAnsi="Arial" w:cs="Arial"/>
          <w:iCs/>
        </w:rPr>
        <w:t>se registr</w:t>
      </w:r>
      <w:r w:rsidR="005C39ED" w:rsidRPr="001858E0">
        <w:rPr>
          <w:rFonts w:ascii="Arial" w:hAnsi="Arial" w:cs="Arial"/>
          <w:iCs/>
        </w:rPr>
        <w:t>a</w:t>
      </w:r>
      <w:r w:rsidR="004E575B" w:rsidRPr="001858E0">
        <w:rPr>
          <w:rFonts w:ascii="Arial" w:hAnsi="Arial" w:cs="Arial"/>
          <w:iCs/>
        </w:rPr>
        <w:t xml:space="preserve">n como </w:t>
      </w:r>
      <w:r w:rsidR="00DF51C1" w:rsidRPr="001858E0">
        <w:rPr>
          <w:rFonts w:ascii="Arial" w:hAnsi="Arial" w:cs="Arial"/>
          <w:iCs/>
        </w:rPr>
        <w:t>“</w:t>
      </w:r>
      <w:r w:rsidR="005C39ED" w:rsidRPr="001858E0">
        <w:rPr>
          <w:rFonts w:ascii="Arial" w:hAnsi="Arial" w:cs="Arial"/>
          <w:i/>
          <w:iCs/>
        </w:rPr>
        <w:t xml:space="preserve">otra </w:t>
      </w:r>
      <w:r w:rsidR="004E575B" w:rsidRPr="001858E0">
        <w:rPr>
          <w:rFonts w:ascii="Arial" w:hAnsi="Arial" w:cs="Arial"/>
          <w:i/>
          <w:iCs/>
        </w:rPr>
        <w:t>cartera agropecuaria</w:t>
      </w:r>
      <w:r w:rsidR="005C39ED" w:rsidRPr="001858E0">
        <w:rPr>
          <w:rFonts w:ascii="Arial" w:hAnsi="Arial" w:cs="Arial"/>
          <w:i/>
          <w:iCs/>
        </w:rPr>
        <w:t xml:space="preserve"> en condiciones de mercado</w:t>
      </w:r>
      <w:r w:rsidR="00DF51C1" w:rsidRPr="001858E0">
        <w:rPr>
          <w:rFonts w:ascii="Arial" w:hAnsi="Arial" w:cs="Arial"/>
          <w:iCs/>
        </w:rPr>
        <w:t>”</w:t>
      </w:r>
      <w:r w:rsidR="004E575B" w:rsidRPr="001858E0">
        <w:rPr>
          <w:rFonts w:ascii="Arial" w:hAnsi="Arial" w:cs="Arial"/>
          <w:iCs/>
        </w:rPr>
        <w:t>:</w:t>
      </w:r>
      <w:r w:rsidR="00CE4266" w:rsidRPr="001858E0">
        <w:rPr>
          <w:rFonts w:ascii="Arial" w:hAnsi="Arial" w:cs="Arial"/>
          <w:i/>
          <w:iCs/>
        </w:rPr>
        <w:t xml:space="preserve"> </w:t>
      </w: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641226" w:rsidRPr="001858E0" w:rsidTr="00AE297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641226" w:rsidRPr="001858E0" w:rsidRDefault="00641226"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641226" w:rsidRPr="001858E0" w:rsidRDefault="00641226"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Comisión</w:t>
            </w:r>
          </w:p>
        </w:tc>
      </w:tr>
      <w:tr w:rsidR="00641226" w:rsidRPr="001858E0" w:rsidTr="00641226">
        <w:trPr>
          <w:trHeight w:val="315"/>
        </w:trPr>
        <w:tc>
          <w:tcPr>
            <w:tcW w:w="6456" w:type="dxa"/>
            <w:tcBorders>
              <w:top w:val="nil"/>
              <w:left w:val="single" w:sz="8" w:space="0" w:color="auto"/>
              <w:bottom w:val="nil"/>
              <w:right w:val="nil"/>
            </w:tcBorders>
            <w:shd w:val="clear" w:color="auto" w:fill="auto"/>
            <w:noWrap/>
            <w:vAlign w:val="center"/>
            <w:hideMark/>
          </w:tcPr>
          <w:p w:rsidR="00641226" w:rsidRPr="001858E0" w:rsidRDefault="00641226"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lastRenderedPageBreak/>
              <w:t xml:space="preserve">FAG en condiciones de mercado - Pequeño Productor  </w:t>
            </w:r>
          </w:p>
        </w:tc>
        <w:tc>
          <w:tcPr>
            <w:tcW w:w="1200" w:type="dxa"/>
            <w:tcBorders>
              <w:top w:val="nil"/>
              <w:left w:val="nil"/>
              <w:bottom w:val="nil"/>
              <w:right w:val="single" w:sz="8" w:space="0" w:color="auto"/>
            </w:tcBorders>
            <w:shd w:val="clear" w:color="auto" w:fill="auto"/>
            <w:noWrap/>
            <w:vAlign w:val="center"/>
            <w:hideMark/>
          </w:tcPr>
          <w:p w:rsidR="00641226" w:rsidRPr="001858E0" w:rsidRDefault="00641226"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 xml:space="preserve">      5,</w:t>
            </w:r>
            <w:r w:rsidR="00B57526" w:rsidRPr="001858E0">
              <w:rPr>
                <w:rFonts w:ascii="Arial" w:eastAsia="Times New Roman" w:hAnsi="Arial" w:cs="Arial"/>
                <w:color w:val="000000"/>
                <w:lang w:eastAsia="es-CO"/>
              </w:rPr>
              <w:t>35</w:t>
            </w:r>
            <w:r w:rsidRPr="001858E0">
              <w:rPr>
                <w:rFonts w:ascii="Arial" w:eastAsia="Times New Roman" w:hAnsi="Arial" w:cs="Arial"/>
                <w:color w:val="000000"/>
                <w:lang w:eastAsia="es-CO"/>
              </w:rPr>
              <w:t>%</w:t>
            </w:r>
          </w:p>
        </w:tc>
      </w:tr>
      <w:tr w:rsidR="00641226" w:rsidRPr="001858E0" w:rsidTr="00AE2974">
        <w:trPr>
          <w:trHeight w:val="315"/>
        </w:trPr>
        <w:tc>
          <w:tcPr>
            <w:tcW w:w="6456" w:type="dxa"/>
            <w:tcBorders>
              <w:top w:val="nil"/>
              <w:left w:val="single" w:sz="8" w:space="0" w:color="auto"/>
              <w:bottom w:val="single" w:sz="8" w:space="0" w:color="auto"/>
              <w:right w:val="nil"/>
            </w:tcBorders>
            <w:shd w:val="clear" w:color="auto" w:fill="auto"/>
            <w:noWrap/>
            <w:vAlign w:val="center"/>
          </w:tcPr>
          <w:p w:rsidR="00641226" w:rsidRPr="001858E0" w:rsidRDefault="00641226"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FAG en condiciones de mercado – Mediano Productor  </w:t>
            </w:r>
          </w:p>
        </w:tc>
        <w:tc>
          <w:tcPr>
            <w:tcW w:w="1200" w:type="dxa"/>
            <w:tcBorders>
              <w:top w:val="nil"/>
              <w:left w:val="nil"/>
              <w:bottom w:val="single" w:sz="8" w:space="0" w:color="auto"/>
              <w:right w:val="single" w:sz="8" w:space="0" w:color="auto"/>
            </w:tcBorders>
            <w:shd w:val="clear" w:color="auto" w:fill="auto"/>
            <w:noWrap/>
            <w:vAlign w:val="center"/>
          </w:tcPr>
          <w:p w:rsidR="00641226" w:rsidRPr="001858E0" w:rsidRDefault="00641226"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 xml:space="preserve">       5.50%</w:t>
            </w:r>
          </w:p>
        </w:tc>
      </w:tr>
    </w:tbl>
    <w:p w:rsidR="0034619A" w:rsidRPr="001858E0" w:rsidRDefault="0034619A" w:rsidP="001913F7">
      <w:pPr>
        <w:spacing w:after="0" w:line="0" w:lineRule="atLeast"/>
        <w:jc w:val="both"/>
        <w:rPr>
          <w:rFonts w:ascii="Arial" w:hAnsi="Arial" w:cs="Arial"/>
          <w:b/>
          <w:bCs/>
          <w:snapToGrid w:val="0"/>
        </w:rPr>
      </w:pPr>
    </w:p>
    <w:p w:rsidR="008B11DF" w:rsidRPr="001858E0" w:rsidRDefault="008B11DF" w:rsidP="001913F7">
      <w:pPr>
        <w:spacing w:after="0" w:line="0" w:lineRule="atLeast"/>
        <w:jc w:val="both"/>
        <w:rPr>
          <w:rFonts w:ascii="Arial" w:hAnsi="Arial" w:cs="Arial"/>
          <w:b/>
          <w:bCs/>
          <w:snapToGrid w:val="0"/>
        </w:rPr>
      </w:pPr>
    </w:p>
    <w:p w:rsidR="0034619A" w:rsidRPr="001858E0" w:rsidRDefault="0034619A" w:rsidP="005C39ED">
      <w:pPr>
        <w:spacing w:after="0" w:line="0" w:lineRule="atLeast"/>
        <w:jc w:val="both"/>
        <w:rPr>
          <w:rFonts w:ascii="Arial" w:eastAsia="Calibri" w:hAnsi="Arial" w:cs="Arial"/>
          <w:strike/>
          <w:color w:val="FF0000"/>
        </w:rPr>
      </w:pPr>
      <w:r w:rsidRPr="001858E0">
        <w:rPr>
          <w:rFonts w:ascii="Arial" w:hAnsi="Arial" w:cs="Arial"/>
          <w:b/>
          <w:bCs/>
          <w:snapToGrid w:val="0"/>
        </w:rPr>
        <w:t xml:space="preserve">Parágrafo </w:t>
      </w:r>
      <w:r w:rsidR="003568DA" w:rsidRPr="001858E0">
        <w:rPr>
          <w:rFonts w:ascii="Arial" w:hAnsi="Arial" w:cs="Arial"/>
          <w:b/>
          <w:bCs/>
          <w:snapToGrid w:val="0"/>
        </w:rPr>
        <w:t>primero</w:t>
      </w:r>
      <w:r w:rsidRPr="001858E0">
        <w:rPr>
          <w:rFonts w:ascii="Arial" w:hAnsi="Arial" w:cs="Arial"/>
          <w:b/>
          <w:bCs/>
          <w:snapToGrid w:val="0"/>
        </w:rPr>
        <w:t>:</w:t>
      </w:r>
      <w:r w:rsidRPr="001858E0">
        <w:rPr>
          <w:rFonts w:ascii="Arial" w:eastAsia="Calibri" w:hAnsi="Arial" w:cs="Arial"/>
        </w:rPr>
        <w:t xml:space="preserve"> En el caso de operaciones de microcrédito agropecuario y rural con tecnología microfinanciera, la comisión podrá ser revisada y de ser necesario modificada periódicamente por esta Comisión. </w:t>
      </w:r>
    </w:p>
    <w:p w:rsidR="0034619A" w:rsidRPr="001858E0" w:rsidRDefault="0034619A" w:rsidP="00DA3550">
      <w:pPr>
        <w:spacing w:after="0" w:line="0" w:lineRule="atLeast"/>
        <w:ind w:left="426"/>
        <w:jc w:val="both"/>
        <w:rPr>
          <w:rFonts w:ascii="Arial" w:hAnsi="Arial" w:cs="Arial"/>
          <w:b/>
          <w:bCs/>
          <w:snapToGrid w:val="0"/>
        </w:rPr>
      </w:pPr>
    </w:p>
    <w:p w:rsidR="0034619A" w:rsidRPr="001858E0" w:rsidRDefault="0034619A" w:rsidP="008B11DF">
      <w:pPr>
        <w:spacing w:after="0" w:line="0" w:lineRule="atLeast"/>
        <w:jc w:val="both"/>
        <w:rPr>
          <w:rFonts w:ascii="Arial" w:eastAsia="Calibri" w:hAnsi="Arial" w:cs="Arial"/>
        </w:rPr>
      </w:pPr>
      <w:r w:rsidRPr="001858E0">
        <w:rPr>
          <w:rFonts w:ascii="Arial" w:eastAsia="Calibri" w:hAnsi="Arial" w:cs="Arial"/>
          <w:b/>
        </w:rPr>
        <w:t xml:space="preserve">Parágrafo </w:t>
      </w:r>
      <w:r w:rsidR="003568DA" w:rsidRPr="001858E0">
        <w:rPr>
          <w:rFonts w:ascii="Arial" w:eastAsia="Calibri" w:hAnsi="Arial" w:cs="Arial"/>
          <w:b/>
        </w:rPr>
        <w:t>segundo</w:t>
      </w:r>
      <w:r w:rsidRPr="001858E0">
        <w:rPr>
          <w:rFonts w:ascii="Arial" w:eastAsia="Calibri" w:hAnsi="Arial" w:cs="Arial"/>
          <w:b/>
        </w:rPr>
        <w:t xml:space="preserve">: </w:t>
      </w:r>
      <w:r w:rsidRPr="001858E0">
        <w:rPr>
          <w:rFonts w:ascii="Arial" w:eastAsia="Calibri" w:hAnsi="Arial" w:cs="Arial"/>
        </w:rPr>
        <w:t xml:space="preserve">En los casos en que el crédito garantizado por el FAG, financie un proyecto agropecuario que cuente con una póliza de seguro agropecuario, el valor de la comisión tendrá un descuento del 10%.  </w:t>
      </w:r>
      <w:r w:rsidRPr="001858E0">
        <w:rPr>
          <w:rFonts w:ascii="Arial" w:eastAsia="Calibri" w:hAnsi="Arial" w:cs="Arial"/>
        </w:rPr>
        <w:tab/>
      </w:r>
    </w:p>
    <w:p w:rsidR="0034619A" w:rsidRPr="001858E0" w:rsidRDefault="0034619A" w:rsidP="0091211B">
      <w:pPr>
        <w:spacing w:after="0" w:line="0" w:lineRule="atLeast"/>
        <w:jc w:val="both"/>
        <w:rPr>
          <w:rFonts w:ascii="Arial" w:eastAsia="Calibri" w:hAnsi="Arial" w:cs="Arial"/>
        </w:rPr>
      </w:pPr>
    </w:p>
    <w:p w:rsidR="0034619A" w:rsidRPr="001858E0" w:rsidRDefault="0034619A" w:rsidP="00176F64">
      <w:pPr>
        <w:pStyle w:val="Textoindependiente3"/>
        <w:numPr>
          <w:ilvl w:val="0"/>
          <w:numId w:val="5"/>
        </w:numPr>
        <w:spacing w:after="0" w:line="0" w:lineRule="atLeast"/>
        <w:ind w:left="426"/>
        <w:rPr>
          <w:snapToGrid w:val="0"/>
          <w:sz w:val="22"/>
        </w:rPr>
      </w:pPr>
      <w:r w:rsidRPr="001858E0">
        <w:rPr>
          <w:b/>
          <w:bCs/>
          <w:snapToGrid w:val="0"/>
          <w:color w:val="000000" w:themeColor="text1"/>
          <w:sz w:val="22"/>
        </w:rPr>
        <w:t xml:space="preserve">Coberturas. </w:t>
      </w:r>
      <w:r w:rsidRPr="001858E0">
        <w:rPr>
          <w:snapToGrid w:val="0"/>
          <w:sz w:val="22"/>
        </w:rPr>
        <w:t xml:space="preserve">El FAG garantizará el capital del crédito, y la cobertura de la garantía </w:t>
      </w:r>
      <w:r w:rsidR="0092109D" w:rsidRPr="001858E0">
        <w:rPr>
          <w:snapToGrid w:val="0"/>
          <w:sz w:val="22"/>
        </w:rPr>
        <w:t xml:space="preserve">para todos los intermediarios </w:t>
      </w:r>
      <w:r w:rsidRPr="001858E0">
        <w:rPr>
          <w:snapToGrid w:val="0"/>
          <w:sz w:val="22"/>
        </w:rPr>
        <w:t>sobre el mismo será la siguiente:</w:t>
      </w:r>
    </w:p>
    <w:p w:rsidR="0034619A" w:rsidRPr="001858E0" w:rsidRDefault="0034619A">
      <w:pPr>
        <w:spacing w:after="0" w:line="0" w:lineRule="atLeast"/>
        <w:jc w:val="both"/>
        <w:rPr>
          <w:rFonts w:ascii="Arial" w:hAnsi="Arial" w:cs="Arial"/>
          <w:snapToGrid w:val="0"/>
        </w:rPr>
      </w:pPr>
    </w:p>
    <w:p w:rsidR="0034619A" w:rsidRPr="001858E0" w:rsidRDefault="00911232" w:rsidP="00553A8E">
      <w:pPr>
        <w:numPr>
          <w:ilvl w:val="0"/>
          <w:numId w:val="2"/>
        </w:numPr>
        <w:spacing w:line="0" w:lineRule="atLeast"/>
        <w:ind w:left="851" w:hanging="284"/>
        <w:jc w:val="both"/>
        <w:rPr>
          <w:rFonts w:ascii="Arial" w:hAnsi="Arial" w:cs="Arial"/>
          <w:snapToGrid w:val="0"/>
        </w:rPr>
      </w:pPr>
      <w:r w:rsidRPr="001858E0">
        <w:rPr>
          <w:rFonts w:ascii="Arial" w:hAnsi="Arial" w:cs="Arial"/>
          <w:snapToGrid w:val="0"/>
        </w:rPr>
        <w:t xml:space="preserve">Para </w:t>
      </w:r>
      <w:r w:rsidRPr="001858E0">
        <w:rPr>
          <w:rFonts w:ascii="Arial" w:hAnsi="Arial" w:cs="Arial"/>
          <w:b/>
          <w:snapToGrid w:val="0"/>
        </w:rPr>
        <w:t>1)</w:t>
      </w:r>
      <w:r w:rsidRPr="001858E0">
        <w:rPr>
          <w:rFonts w:ascii="Arial" w:hAnsi="Arial" w:cs="Arial"/>
          <w:snapToGrid w:val="0"/>
        </w:rPr>
        <w:t xml:space="preserve"> crédito individual; o </w:t>
      </w:r>
      <w:r w:rsidRPr="001858E0">
        <w:rPr>
          <w:rFonts w:ascii="Arial" w:hAnsi="Arial" w:cs="Arial"/>
          <w:b/>
          <w:snapToGrid w:val="0"/>
        </w:rPr>
        <w:t>2)</w:t>
      </w:r>
      <w:r w:rsidR="0034619A" w:rsidRPr="001858E0">
        <w:rPr>
          <w:rFonts w:ascii="Arial" w:hAnsi="Arial" w:cs="Arial"/>
          <w:snapToGrid w:val="0"/>
        </w:rPr>
        <w:t xml:space="preserve"> crédito asociativo con responsabilidad individual:</w:t>
      </w:r>
    </w:p>
    <w:tbl>
      <w:tblPr>
        <w:tblW w:w="8079" w:type="dxa"/>
        <w:tblInd w:w="496" w:type="dxa"/>
        <w:tblCellMar>
          <w:left w:w="70" w:type="dxa"/>
          <w:right w:w="70" w:type="dxa"/>
        </w:tblCellMar>
        <w:tblLook w:val="04A0" w:firstRow="1" w:lastRow="0" w:firstColumn="1" w:lastColumn="0" w:noHBand="0" w:noVBand="1"/>
      </w:tblPr>
      <w:tblGrid>
        <w:gridCol w:w="6865"/>
        <w:gridCol w:w="1214"/>
      </w:tblGrid>
      <w:tr w:rsidR="00573CE1" w:rsidRPr="001858E0" w:rsidTr="00AE2974">
        <w:trPr>
          <w:trHeight w:val="330"/>
          <w:tblHeader/>
        </w:trPr>
        <w:tc>
          <w:tcPr>
            <w:tcW w:w="6865" w:type="dxa"/>
            <w:tcBorders>
              <w:top w:val="single" w:sz="12" w:space="0" w:color="auto"/>
              <w:left w:val="single" w:sz="8" w:space="0" w:color="auto"/>
              <w:bottom w:val="single" w:sz="8" w:space="0" w:color="auto"/>
              <w:right w:val="nil"/>
            </w:tcBorders>
            <w:shd w:val="clear" w:color="000000" w:fill="DDD9C4"/>
            <w:noWrap/>
            <w:vAlign w:val="center"/>
            <w:hideMark/>
          </w:tcPr>
          <w:p w:rsidR="00573CE1" w:rsidRPr="001858E0" w:rsidRDefault="00573CE1" w:rsidP="001913F7">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Tipo de productor</w:t>
            </w:r>
          </w:p>
        </w:tc>
        <w:tc>
          <w:tcPr>
            <w:tcW w:w="1214" w:type="dxa"/>
            <w:tcBorders>
              <w:top w:val="single" w:sz="12" w:space="0" w:color="auto"/>
              <w:left w:val="nil"/>
              <w:bottom w:val="single" w:sz="8" w:space="0" w:color="auto"/>
              <w:right w:val="single" w:sz="8" w:space="0" w:color="auto"/>
            </w:tcBorders>
            <w:shd w:val="clear" w:color="000000" w:fill="DDD9C4"/>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Cobertura</w:t>
            </w:r>
          </w:p>
        </w:tc>
      </w:tr>
      <w:tr w:rsidR="00573CE1" w:rsidRPr="001858E0" w:rsidTr="00AE2974">
        <w:trPr>
          <w:trHeight w:val="315"/>
        </w:trPr>
        <w:tc>
          <w:tcPr>
            <w:tcW w:w="6865" w:type="dxa"/>
            <w:tcBorders>
              <w:top w:val="nil"/>
              <w:left w:val="single" w:sz="8" w:space="0" w:color="auto"/>
              <w:bottom w:val="single" w:sz="4" w:space="0" w:color="auto"/>
              <w:right w:val="nil"/>
            </w:tcBorders>
            <w:shd w:val="clear" w:color="auto" w:fill="auto"/>
            <w:noWrap/>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Desplazados</w:t>
            </w:r>
          </w:p>
        </w:tc>
        <w:tc>
          <w:tcPr>
            <w:tcW w:w="1214" w:type="dxa"/>
            <w:tcBorders>
              <w:top w:val="nil"/>
              <w:left w:val="nil"/>
              <w:bottom w:val="single" w:sz="4" w:space="0" w:color="auto"/>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100%</w:t>
            </w:r>
          </w:p>
        </w:tc>
      </w:tr>
      <w:tr w:rsidR="00573CE1" w:rsidRPr="001858E0" w:rsidTr="00AE2974">
        <w:trPr>
          <w:trHeight w:val="540"/>
        </w:trPr>
        <w:tc>
          <w:tcPr>
            <w:tcW w:w="6865" w:type="dxa"/>
            <w:tcBorders>
              <w:top w:val="single" w:sz="4" w:space="0" w:color="auto"/>
              <w:left w:val="single" w:sz="4" w:space="0" w:color="auto"/>
              <w:bottom w:val="nil"/>
            </w:tcBorders>
            <w:shd w:val="clear" w:color="auto" w:fill="auto"/>
            <w:noWrap/>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Pequeño productor y mujer rural:</w:t>
            </w:r>
          </w:p>
        </w:tc>
        <w:tc>
          <w:tcPr>
            <w:tcW w:w="1214" w:type="dxa"/>
            <w:tcBorders>
              <w:top w:val="single" w:sz="4" w:space="0" w:color="auto"/>
              <w:bottom w:val="nil"/>
              <w:right w:val="single" w:sz="4"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573CE1" w:rsidRPr="001858E0" w:rsidTr="00AE2974">
        <w:trPr>
          <w:trHeight w:val="300"/>
        </w:trPr>
        <w:tc>
          <w:tcPr>
            <w:tcW w:w="6865" w:type="dxa"/>
            <w:tcBorders>
              <w:top w:val="nil"/>
              <w:left w:val="single" w:sz="4"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Víctimas, reinsertados y desarrollo alternativo</w:t>
            </w:r>
          </w:p>
        </w:tc>
        <w:tc>
          <w:tcPr>
            <w:tcW w:w="1214" w:type="dxa"/>
            <w:tcBorders>
              <w:top w:val="nil"/>
              <w:left w:val="nil"/>
              <w:bottom w:val="nil"/>
              <w:right w:val="single" w:sz="4"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100%</w:t>
            </w:r>
          </w:p>
        </w:tc>
      </w:tr>
      <w:tr w:rsidR="00573CE1" w:rsidRPr="001858E0" w:rsidTr="00AE2974">
        <w:trPr>
          <w:trHeight w:val="315"/>
        </w:trPr>
        <w:tc>
          <w:tcPr>
            <w:tcW w:w="6865" w:type="dxa"/>
            <w:tcBorders>
              <w:top w:val="nil"/>
              <w:left w:val="single" w:sz="4" w:space="0" w:color="auto"/>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Ordinario</w:t>
            </w:r>
          </w:p>
        </w:tc>
        <w:tc>
          <w:tcPr>
            <w:tcW w:w="1214" w:type="dxa"/>
            <w:tcBorders>
              <w:top w:val="nil"/>
              <w:right w:val="single" w:sz="4"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80%</w:t>
            </w:r>
          </w:p>
        </w:tc>
      </w:tr>
      <w:tr w:rsidR="00573CE1" w:rsidRPr="001858E0" w:rsidTr="00AE2974">
        <w:trPr>
          <w:trHeight w:val="330"/>
        </w:trPr>
        <w:tc>
          <w:tcPr>
            <w:tcW w:w="6865" w:type="dxa"/>
            <w:tcBorders>
              <w:top w:val="nil"/>
              <w:left w:val="single" w:sz="4"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nil"/>
              <w:right w:val="single" w:sz="4" w:space="0" w:color="auto"/>
            </w:tcBorders>
            <w:shd w:val="clear" w:color="auto" w:fill="auto"/>
            <w:noWrap/>
            <w:vAlign w:val="center"/>
            <w:hideMark/>
          </w:tcPr>
          <w:p w:rsidR="00573CE1" w:rsidRPr="001858E0" w:rsidRDefault="00573CE1" w:rsidP="002737C3">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80%</w:t>
            </w:r>
          </w:p>
        </w:tc>
      </w:tr>
      <w:tr w:rsidR="00573CE1" w:rsidRPr="001858E0" w:rsidTr="00AE2974">
        <w:trPr>
          <w:trHeight w:val="360"/>
        </w:trPr>
        <w:tc>
          <w:tcPr>
            <w:tcW w:w="6865" w:type="dxa"/>
            <w:tcBorders>
              <w:top w:val="nil"/>
              <w:left w:val="single" w:sz="4" w:space="0" w:color="auto"/>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Pasivos no financieros vencidos a 31 de diciembre de 2013</w:t>
            </w:r>
          </w:p>
        </w:tc>
        <w:tc>
          <w:tcPr>
            <w:tcW w:w="1214" w:type="dxa"/>
            <w:tcBorders>
              <w:top w:val="nil"/>
              <w:right w:val="single" w:sz="4"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AE2974">
        <w:trPr>
          <w:trHeight w:val="360"/>
        </w:trPr>
        <w:tc>
          <w:tcPr>
            <w:tcW w:w="6865" w:type="dxa"/>
            <w:tcBorders>
              <w:top w:val="nil"/>
              <w:left w:val="single" w:sz="4" w:space="0" w:color="auto"/>
            </w:tcBorders>
            <w:shd w:val="clear" w:color="auto" w:fill="auto"/>
            <w:vAlign w:val="center"/>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Compra de Tierras pequeño productor mujer rural </w:t>
            </w:r>
          </w:p>
        </w:tc>
        <w:tc>
          <w:tcPr>
            <w:tcW w:w="1214" w:type="dxa"/>
            <w:tcBorders>
              <w:top w:val="nil"/>
              <w:right w:val="single" w:sz="4" w:space="0" w:color="auto"/>
            </w:tcBorders>
            <w:shd w:val="clear" w:color="auto" w:fill="auto"/>
            <w:noWrap/>
            <w:vAlign w:val="center"/>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AE2974">
        <w:trPr>
          <w:trHeight w:val="360"/>
        </w:trPr>
        <w:tc>
          <w:tcPr>
            <w:tcW w:w="6865" w:type="dxa"/>
            <w:tcBorders>
              <w:top w:val="nil"/>
              <w:left w:val="single" w:sz="4" w:space="0" w:color="auto"/>
            </w:tcBorders>
            <w:shd w:val="clear" w:color="auto" w:fill="auto"/>
            <w:vAlign w:val="center"/>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Compra de Tierras Zonas más Afectadas por el Conflicto - ZOMAC </w:t>
            </w:r>
          </w:p>
        </w:tc>
        <w:tc>
          <w:tcPr>
            <w:tcW w:w="1214" w:type="dxa"/>
            <w:tcBorders>
              <w:top w:val="nil"/>
              <w:right w:val="single" w:sz="4" w:space="0" w:color="auto"/>
            </w:tcBorders>
            <w:shd w:val="clear" w:color="auto" w:fill="auto"/>
            <w:noWrap/>
            <w:vAlign w:val="center"/>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AE2974">
        <w:trPr>
          <w:trHeight w:val="360"/>
        </w:trPr>
        <w:tc>
          <w:tcPr>
            <w:tcW w:w="6865" w:type="dxa"/>
            <w:tcBorders>
              <w:top w:val="nil"/>
              <w:left w:val="single" w:sz="4" w:space="0" w:color="auto"/>
            </w:tcBorders>
            <w:shd w:val="clear" w:color="auto" w:fill="auto"/>
            <w:vAlign w:val="center"/>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Compra de Tierras pequeño productor </w:t>
            </w:r>
          </w:p>
        </w:tc>
        <w:tc>
          <w:tcPr>
            <w:tcW w:w="1214" w:type="dxa"/>
            <w:tcBorders>
              <w:top w:val="nil"/>
              <w:right w:val="single" w:sz="4" w:space="0" w:color="auto"/>
            </w:tcBorders>
            <w:shd w:val="clear" w:color="auto" w:fill="auto"/>
            <w:noWrap/>
            <w:vAlign w:val="center"/>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40%</w:t>
            </w:r>
          </w:p>
        </w:tc>
      </w:tr>
      <w:tr w:rsidR="00573CE1" w:rsidRPr="001858E0" w:rsidTr="00AE2974">
        <w:trPr>
          <w:trHeight w:val="360"/>
        </w:trPr>
        <w:tc>
          <w:tcPr>
            <w:tcW w:w="6865" w:type="dxa"/>
            <w:tcBorders>
              <w:top w:val="nil"/>
              <w:left w:val="single" w:sz="4" w:space="0" w:color="auto"/>
              <w:bottom w:val="single" w:sz="4" w:space="0" w:color="auto"/>
            </w:tcBorders>
            <w:shd w:val="clear" w:color="auto" w:fill="auto"/>
            <w:vAlign w:val="center"/>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FAG en Condiciones de Mercado </w:t>
            </w:r>
          </w:p>
        </w:tc>
        <w:tc>
          <w:tcPr>
            <w:tcW w:w="1214" w:type="dxa"/>
            <w:tcBorders>
              <w:top w:val="nil"/>
              <w:bottom w:val="single" w:sz="4" w:space="0" w:color="auto"/>
              <w:right w:val="single" w:sz="4" w:space="0" w:color="auto"/>
            </w:tcBorders>
            <w:shd w:val="clear" w:color="auto" w:fill="auto"/>
            <w:noWrap/>
            <w:vAlign w:val="center"/>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AE2974">
        <w:trPr>
          <w:trHeight w:val="525"/>
        </w:trPr>
        <w:tc>
          <w:tcPr>
            <w:tcW w:w="6865" w:type="dxa"/>
            <w:tcBorders>
              <w:top w:val="single" w:sz="4" w:space="0" w:color="auto"/>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Mediano productor:</w:t>
            </w:r>
          </w:p>
        </w:tc>
        <w:tc>
          <w:tcPr>
            <w:tcW w:w="1214" w:type="dxa"/>
            <w:tcBorders>
              <w:top w:val="single" w:sz="4" w:space="0" w:color="auto"/>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573CE1" w:rsidRPr="001858E0" w:rsidTr="00AE2974">
        <w:trPr>
          <w:trHeight w:val="300"/>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Víctimas, reinsertados y desarrollo alternativo</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80%</w:t>
            </w:r>
          </w:p>
        </w:tc>
      </w:tr>
      <w:tr w:rsidR="00573CE1" w:rsidRPr="001858E0" w:rsidTr="00AE2974">
        <w:trPr>
          <w:trHeight w:val="300"/>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Ordinario </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60%</w:t>
            </w:r>
          </w:p>
        </w:tc>
      </w:tr>
      <w:tr w:rsidR="00573CE1" w:rsidRPr="001858E0" w:rsidTr="00AE2974">
        <w:trPr>
          <w:trHeight w:val="300"/>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75%</w:t>
            </w:r>
          </w:p>
        </w:tc>
      </w:tr>
      <w:tr w:rsidR="00573CE1" w:rsidRPr="001858E0" w:rsidTr="00AE2974">
        <w:trPr>
          <w:trHeight w:val="375"/>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Pasivos no financieros vencidos a 31 de diciembre de 2013 </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AE2974">
        <w:trPr>
          <w:trHeight w:val="315"/>
        </w:trPr>
        <w:tc>
          <w:tcPr>
            <w:tcW w:w="6865" w:type="dxa"/>
            <w:tcBorders>
              <w:top w:val="nil"/>
              <w:left w:val="single" w:sz="8" w:space="0" w:color="auto"/>
              <w:bottom w:val="single" w:sz="8" w:space="0" w:color="auto"/>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w:t>
            </w:r>
            <w:r w:rsidR="005B6907" w:rsidRPr="001858E0">
              <w:rPr>
                <w:rFonts w:ascii="Arial" w:eastAsia="Times New Roman" w:hAnsi="Arial" w:cs="Arial"/>
                <w:color w:val="000000"/>
                <w:lang w:eastAsia="es-CO"/>
              </w:rPr>
              <w:t xml:space="preserve">  FAG en Condiciones de Mercado</w:t>
            </w:r>
          </w:p>
        </w:tc>
        <w:tc>
          <w:tcPr>
            <w:tcW w:w="1214" w:type="dxa"/>
            <w:tcBorders>
              <w:top w:val="nil"/>
              <w:left w:val="nil"/>
              <w:bottom w:val="single" w:sz="8" w:space="0" w:color="auto"/>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40%</w:t>
            </w:r>
          </w:p>
        </w:tc>
      </w:tr>
      <w:tr w:rsidR="00573CE1" w:rsidRPr="001858E0" w:rsidTr="00AE2974">
        <w:trPr>
          <w:trHeight w:val="510"/>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Gran productor:</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 </w:t>
            </w:r>
          </w:p>
        </w:tc>
      </w:tr>
      <w:tr w:rsidR="00573CE1" w:rsidRPr="001858E0" w:rsidTr="00AE2974">
        <w:trPr>
          <w:trHeight w:val="375"/>
        </w:trPr>
        <w:tc>
          <w:tcPr>
            <w:tcW w:w="6865" w:type="dxa"/>
            <w:tcBorders>
              <w:top w:val="nil"/>
              <w:left w:val="single" w:sz="8" w:space="0" w:color="auto"/>
              <w:bottom w:val="nil"/>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Víctimas, reinsertados y desarrollo alternativo</w:t>
            </w:r>
          </w:p>
        </w:tc>
        <w:tc>
          <w:tcPr>
            <w:tcW w:w="1214" w:type="dxa"/>
            <w:tcBorders>
              <w:top w:val="nil"/>
              <w:left w:val="nil"/>
              <w:bottom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80%</w:t>
            </w:r>
          </w:p>
        </w:tc>
      </w:tr>
      <w:tr w:rsidR="00573CE1" w:rsidRPr="001858E0" w:rsidTr="001D7D27">
        <w:trPr>
          <w:trHeight w:val="300"/>
        </w:trPr>
        <w:tc>
          <w:tcPr>
            <w:tcW w:w="6865" w:type="dxa"/>
            <w:tcBorders>
              <w:top w:val="nil"/>
              <w:left w:val="single" w:sz="8" w:space="0" w:color="auto"/>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Ordinario</w:t>
            </w:r>
          </w:p>
        </w:tc>
        <w:tc>
          <w:tcPr>
            <w:tcW w:w="1214" w:type="dxa"/>
            <w:tcBorders>
              <w:top w:val="nil"/>
              <w:left w:val="nil"/>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50%</w:t>
            </w:r>
          </w:p>
        </w:tc>
      </w:tr>
      <w:tr w:rsidR="00573CE1" w:rsidRPr="001858E0" w:rsidTr="001D7D27">
        <w:trPr>
          <w:trHeight w:val="390"/>
        </w:trPr>
        <w:tc>
          <w:tcPr>
            <w:tcW w:w="6865" w:type="dxa"/>
            <w:tcBorders>
              <w:top w:val="nil"/>
              <w:left w:val="single" w:sz="8" w:space="0" w:color="auto"/>
              <w:bottom w:val="single" w:sz="4" w:space="0" w:color="auto"/>
              <w:right w:val="nil"/>
            </w:tcBorders>
            <w:shd w:val="clear" w:color="auto" w:fill="auto"/>
            <w:vAlign w:val="center"/>
            <w:hideMark/>
          </w:tcPr>
          <w:p w:rsidR="00573CE1" w:rsidRPr="001858E0" w:rsidRDefault="00573CE1"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single" w:sz="4" w:space="0" w:color="auto"/>
              <w:right w:val="single" w:sz="8" w:space="0" w:color="auto"/>
            </w:tcBorders>
            <w:shd w:val="clear" w:color="auto" w:fill="auto"/>
            <w:noWrap/>
            <w:vAlign w:val="center"/>
            <w:hideMark/>
          </w:tcPr>
          <w:p w:rsidR="00573CE1" w:rsidRPr="001858E0" w:rsidRDefault="00573CE1"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75%</w:t>
            </w:r>
          </w:p>
        </w:tc>
      </w:tr>
    </w:tbl>
    <w:p w:rsidR="0034619A" w:rsidRPr="001858E0" w:rsidRDefault="0034619A" w:rsidP="00DA3550">
      <w:pPr>
        <w:spacing w:line="0" w:lineRule="atLeast"/>
        <w:ind w:left="284"/>
        <w:jc w:val="both"/>
        <w:rPr>
          <w:rFonts w:ascii="Arial" w:hAnsi="Arial" w:cs="Arial"/>
          <w:snapToGrid w:val="0"/>
        </w:rPr>
      </w:pPr>
      <w:r w:rsidRPr="001858E0">
        <w:rPr>
          <w:rFonts w:ascii="Arial" w:hAnsi="Arial" w:cs="Arial"/>
          <w:snapToGrid w:val="0"/>
        </w:rPr>
        <w:t xml:space="preserve"> </w:t>
      </w:r>
    </w:p>
    <w:p w:rsidR="0034619A" w:rsidRPr="001858E0" w:rsidRDefault="0034619A" w:rsidP="00553A8E">
      <w:pPr>
        <w:numPr>
          <w:ilvl w:val="0"/>
          <w:numId w:val="2"/>
        </w:numPr>
        <w:spacing w:line="0" w:lineRule="atLeast"/>
        <w:ind w:left="851"/>
        <w:jc w:val="both"/>
        <w:rPr>
          <w:rFonts w:ascii="Arial" w:hAnsi="Arial" w:cs="Arial"/>
          <w:snapToGrid w:val="0"/>
        </w:rPr>
      </w:pPr>
      <w:r w:rsidRPr="001858E0">
        <w:rPr>
          <w:rFonts w:ascii="Arial" w:hAnsi="Arial" w:cs="Arial"/>
          <w:snapToGrid w:val="0"/>
        </w:rPr>
        <w:t>Para créditos con esquemas asociativos</w:t>
      </w:r>
      <w:r w:rsidR="0090110C" w:rsidRPr="001858E0">
        <w:rPr>
          <w:rFonts w:ascii="Arial" w:hAnsi="Arial" w:cs="Arial"/>
          <w:snapToGrid w:val="0"/>
        </w:rPr>
        <w:t>:</w:t>
      </w:r>
      <w:r w:rsidRPr="001858E0">
        <w:rPr>
          <w:rFonts w:ascii="Arial" w:hAnsi="Arial" w:cs="Arial"/>
          <w:snapToGrid w:val="0"/>
        </w:rPr>
        <w:t xml:space="preserve"> </w:t>
      </w: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34619A" w:rsidRPr="001858E0" w:rsidTr="00AE2974">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lastRenderedPageBreak/>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Cobertura</w:t>
            </w:r>
          </w:p>
        </w:tc>
      </w:tr>
      <w:tr w:rsidR="0034619A" w:rsidRPr="001858E0" w:rsidTr="00AE2974">
        <w:trPr>
          <w:trHeight w:val="300"/>
        </w:trPr>
        <w:tc>
          <w:tcPr>
            <w:tcW w:w="6739" w:type="dxa"/>
            <w:tcBorders>
              <w:top w:val="nil"/>
              <w:left w:val="single" w:sz="8" w:space="0" w:color="auto"/>
              <w:bottom w:val="nil"/>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Esquemas asociativos                                                 </w:t>
            </w:r>
          </w:p>
        </w:tc>
        <w:tc>
          <w:tcPr>
            <w:tcW w:w="1200" w:type="dxa"/>
            <w:tcBorders>
              <w:top w:val="nil"/>
              <w:left w:val="nil"/>
              <w:bottom w:val="nil"/>
              <w:right w:val="single" w:sz="4" w:space="0" w:color="auto"/>
            </w:tcBorders>
            <w:shd w:val="clear" w:color="auto" w:fill="auto"/>
            <w:noWrap/>
            <w:vAlign w:val="center"/>
            <w:hideMark/>
          </w:tcPr>
          <w:p w:rsidR="0034619A" w:rsidRPr="001858E0" w:rsidRDefault="0034619A"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80%</w:t>
            </w:r>
          </w:p>
        </w:tc>
      </w:tr>
      <w:tr w:rsidR="0034619A" w:rsidRPr="001858E0" w:rsidTr="00AE2974">
        <w:trPr>
          <w:trHeight w:val="315"/>
        </w:trPr>
        <w:tc>
          <w:tcPr>
            <w:tcW w:w="6739"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 xml:space="preserve">Esquemas de Integración </w:t>
            </w:r>
          </w:p>
        </w:tc>
        <w:tc>
          <w:tcPr>
            <w:tcW w:w="1200" w:type="dxa"/>
            <w:tcBorders>
              <w:top w:val="nil"/>
              <w:left w:val="nil"/>
              <w:bottom w:val="single" w:sz="8" w:space="0" w:color="auto"/>
              <w:right w:val="single" w:sz="4" w:space="0" w:color="auto"/>
            </w:tcBorders>
            <w:shd w:val="clear" w:color="auto" w:fill="auto"/>
            <w:noWrap/>
            <w:vAlign w:val="center"/>
            <w:hideMark/>
          </w:tcPr>
          <w:p w:rsidR="0034619A" w:rsidRPr="001858E0" w:rsidRDefault="0034619A" w:rsidP="00AA22AF">
            <w:pPr>
              <w:spacing w:after="0" w:line="240" w:lineRule="auto"/>
              <w:jc w:val="right"/>
              <w:rPr>
                <w:rFonts w:ascii="Arial" w:eastAsia="Times New Roman" w:hAnsi="Arial" w:cs="Arial"/>
                <w:color w:val="000000"/>
                <w:lang w:eastAsia="es-CO"/>
              </w:rPr>
            </w:pPr>
            <w:r w:rsidRPr="001858E0">
              <w:rPr>
                <w:rFonts w:ascii="Arial" w:eastAsia="Times New Roman" w:hAnsi="Arial" w:cs="Arial"/>
                <w:color w:val="000000"/>
                <w:lang w:eastAsia="es-CO"/>
              </w:rPr>
              <w:t>70%</w:t>
            </w:r>
          </w:p>
        </w:tc>
      </w:tr>
    </w:tbl>
    <w:p w:rsidR="0034619A" w:rsidRPr="001858E0" w:rsidRDefault="0034619A" w:rsidP="00553A8E">
      <w:pPr>
        <w:numPr>
          <w:ilvl w:val="0"/>
          <w:numId w:val="2"/>
        </w:numPr>
        <w:spacing w:line="0" w:lineRule="atLeast"/>
        <w:ind w:left="851"/>
        <w:jc w:val="both"/>
        <w:rPr>
          <w:rFonts w:ascii="Arial" w:hAnsi="Arial" w:cs="Arial"/>
          <w:snapToGrid w:val="0"/>
        </w:rPr>
      </w:pPr>
      <w:r w:rsidRPr="001858E0">
        <w:rPr>
          <w:rFonts w:ascii="Arial" w:hAnsi="Arial" w:cs="Arial"/>
          <w:snapToGrid w:val="0"/>
        </w:rPr>
        <w:t>Para microcrédito agropecuario y rural</w:t>
      </w:r>
      <w:r w:rsidR="0090110C" w:rsidRPr="001858E0">
        <w:rPr>
          <w:rFonts w:ascii="Arial" w:hAnsi="Arial" w:cs="Arial"/>
          <w:snapToGrid w:val="0"/>
        </w:rPr>
        <w:t>:</w:t>
      </w:r>
    </w:p>
    <w:p w:rsidR="0090110C" w:rsidRPr="001858E0" w:rsidRDefault="0090110C" w:rsidP="002C46C8">
      <w:pPr>
        <w:pStyle w:val="Sinespaciado"/>
        <w:rPr>
          <w:snapToGrid w:val="0"/>
        </w:rPr>
      </w:pP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34619A" w:rsidRPr="001858E0" w:rsidTr="00AE2974">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Cobertura</w:t>
            </w:r>
          </w:p>
        </w:tc>
      </w:tr>
      <w:tr w:rsidR="0034619A" w:rsidRPr="001858E0" w:rsidTr="00AE2974">
        <w:trPr>
          <w:trHeight w:val="315"/>
        </w:trPr>
        <w:tc>
          <w:tcPr>
            <w:tcW w:w="6739" w:type="dxa"/>
            <w:tcBorders>
              <w:top w:val="nil"/>
              <w:left w:val="single" w:sz="8" w:space="0" w:color="auto"/>
              <w:bottom w:val="single" w:sz="8" w:space="0" w:color="auto"/>
              <w:right w:val="nil"/>
            </w:tcBorders>
            <w:shd w:val="clear" w:color="auto" w:fill="auto"/>
            <w:noWrap/>
            <w:vAlign w:val="center"/>
            <w:hideMark/>
          </w:tcPr>
          <w:p w:rsidR="0034619A" w:rsidRPr="001858E0" w:rsidRDefault="0034619A" w:rsidP="001913F7">
            <w:pPr>
              <w:spacing w:after="0" w:line="240" w:lineRule="auto"/>
              <w:rPr>
                <w:rFonts w:ascii="Arial" w:eastAsia="Times New Roman" w:hAnsi="Arial" w:cs="Arial"/>
                <w:color w:val="000000"/>
                <w:lang w:eastAsia="es-CO"/>
              </w:rPr>
            </w:pPr>
            <w:r w:rsidRPr="001858E0">
              <w:rPr>
                <w:rFonts w:ascii="Arial" w:eastAsia="Arial" w:hAnsi="Arial" w:cs="Arial"/>
                <w:color w:val="000000"/>
                <w:lang w:eastAsia="es-CO"/>
              </w:rPr>
              <w:t>Microcrédito agropecuario y rural con tecnología microfinanciera</w:t>
            </w:r>
          </w:p>
        </w:tc>
        <w:tc>
          <w:tcPr>
            <w:tcW w:w="1200" w:type="dxa"/>
            <w:tcBorders>
              <w:top w:val="nil"/>
              <w:left w:val="nil"/>
              <w:bottom w:val="single" w:sz="8" w:space="0" w:color="auto"/>
              <w:right w:val="single" w:sz="8" w:space="0" w:color="auto"/>
            </w:tcBorders>
            <w:shd w:val="clear" w:color="auto" w:fill="auto"/>
            <w:noWrap/>
            <w:vAlign w:val="center"/>
            <w:hideMark/>
          </w:tcPr>
          <w:p w:rsidR="0034619A" w:rsidRPr="001858E0" w:rsidRDefault="0034619A" w:rsidP="00AA22AF">
            <w:pPr>
              <w:spacing w:after="0" w:line="240" w:lineRule="auto"/>
              <w:jc w:val="center"/>
              <w:rPr>
                <w:rFonts w:ascii="Arial" w:eastAsia="Times New Roman" w:hAnsi="Arial" w:cs="Arial"/>
                <w:color w:val="000000"/>
                <w:lang w:eastAsia="es-CO"/>
              </w:rPr>
            </w:pPr>
            <w:r w:rsidRPr="001858E0">
              <w:rPr>
                <w:rFonts w:ascii="Arial" w:eastAsia="Times New Roman" w:hAnsi="Arial" w:cs="Arial"/>
                <w:color w:val="000000"/>
                <w:lang w:eastAsia="es-CO"/>
              </w:rPr>
              <w:t xml:space="preserve">         50%</w:t>
            </w:r>
          </w:p>
        </w:tc>
      </w:tr>
    </w:tbl>
    <w:p w:rsidR="0034619A" w:rsidRPr="001858E0" w:rsidRDefault="0034619A" w:rsidP="001913F7">
      <w:pPr>
        <w:spacing w:after="0" w:line="0" w:lineRule="atLeast"/>
        <w:rPr>
          <w:rFonts w:ascii="Arial" w:hAnsi="Arial" w:cs="Arial"/>
          <w:b/>
          <w:bCs/>
          <w:snapToGrid w:val="0"/>
        </w:rPr>
      </w:pPr>
    </w:p>
    <w:p w:rsidR="0034619A" w:rsidRPr="001858E0" w:rsidRDefault="0034619A" w:rsidP="00AA22AF">
      <w:pPr>
        <w:spacing w:after="0" w:line="0" w:lineRule="atLeast"/>
        <w:jc w:val="both"/>
        <w:rPr>
          <w:rFonts w:ascii="Arial" w:hAnsi="Arial" w:cs="Arial"/>
          <w:snapToGrid w:val="0"/>
        </w:rPr>
      </w:pPr>
      <w:r w:rsidRPr="001858E0">
        <w:rPr>
          <w:rFonts w:ascii="Arial" w:hAnsi="Arial" w:cs="Arial"/>
          <w:b/>
          <w:bCs/>
          <w:snapToGrid w:val="0"/>
        </w:rPr>
        <w:t>Parágrafo primero</w:t>
      </w:r>
      <w:r w:rsidR="00DA3550" w:rsidRPr="001858E0">
        <w:rPr>
          <w:rFonts w:ascii="Arial" w:hAnsi="Arial" w:cs="Arial"/>
          <w:b/>
          <w:bCs/>
          <w:snapToGrid w:val="0"/>
        </w:rPr>
        <w:t>.</w:t>
      </w:r>
      <w:r w:rsidRPr="001858E0">
        <w:rPr>
          <w:rFonts w:ascii="Arial" w:hAnsi="Arial" w:cs="Arial"/>
          <w:snapToGrid w:val="0"/>
        </w:rPr>
        <w:t xml:space="preserve"> Para la expedición de nuevas garantías estas coberturas podrán ser revisadas por intermediarios financieros de acuerdo con</w:t>
      </w:r>
      <w:r w:rsidRPr="001858E0">
        <w:rPr>
          <w:rFonts w:ascii="Arial" w:hAnsi="Arial" w:cs="Arial"/>
          <w:snapToGrid w:val="0"/>
          <w:color w:val="000000" w:themeColor="text1"/>
        </w:rPr>
        <w:t xml:space="preserve"> los resultados de la calificación interna realizada por FINAGRO</w:t>
      </w:r>
      <w:r w:rsidRPr="001858E0">
        <w:rPr>
          <w:rFonts w:ascii="Arial" w:hAnsi="Arial" w:cs="Arial"/>
          <w:snapToGrid w:val="0"/>
        </w:rPr>
        <w:t>, que serán presentadas a consideración de la CNCA.</w:t>
      </w:r>
    </w:p>
    <w:p w:rsidR="0034619A" w:rsidRPr="001858E0" w:rsidRDefault="0034619A" w:rsidP="007E2229">
      <w:pPr>
        <w:spacing w:after="0" w:line="0" w:lineRule="atLeast"/>
        <w:rPr>
          <w:rFonts w:ascii="Arial" w:hAnsi="Arial" w:cs="Arial"/>
          <w:snapToGrid w:val="0"/>
          <w:color w:val="000000" w:themeColor="text1"/>
        </w:rPr>
      </w:pPr>
    </w:p>
    <w:p w:rsidR="0034619A" w:rsidRPr="001858E0" w:rsidRDefault="0034619A" w:rsidP="00D713EA">
      <w:pPr>
        <w:spacing w:after="0" w:line="0" w:lineRule="atLeast"/>
        <w:jc w:val="both"/>
        <w:rPr>
          <w:rFonts w:ascii="Arial" w:hAnsi="Arial" w:cs="Arial"/>
          <w:snapToGrid w:val="0"/>
        </w:rPr>
      </w:pPr>
      <w:r w:rsidRPr="001858E0">
        <w:rPr>
          <w:rFonts w:ascii="Arial" w:hAnsi="Arial" w:cs="Arial"/>
          <w:b/>
          <w:bCs/>
          <w:snapToGrid w:val="0"/>
        </w:rPr>
        <w:t>Parágrafo segundo</w:t>
      </w:r>
      <w:r w:rsidR="00DA3550" w:rsidRPr="001858E0">
        <w:rPr>
          <w:rFonts w:ascii="Arial" w:hAnsi="Arial" w:cs="Arial"/>
          <w:b/>
          <w:bCs/>
          <w:snapToGrid w:val="0"/>
        </w:rPr>
        <w:t>.</w:t>
      </w:r>
      <w:r w:rsidRPr="001858E0">
        <w:rPr>
          <w:rFonts w:ascii="Arial" w:hAnsi="Arial" w:cs="Arial"/>
          <w:snapToGrid w:val="0"/>
        </w:rPr>
        <w:t xml:space="preserve"> Cuando para operaciones de microcrédito agropecuario y rural con tecnología microfinanciera, se otorguen garantías institucionales complementarias, la suma de la cobertura de dichas garantías y la cobertura de la garantía del FAG no podrá exceder del cincuenta por ciento (50%) del valor total de la operación. </w:t>
      </w:r>
      <w:r w:rsidR="00C34F39" w:rsidRPr="001858E0">
        <w:rPr>
          <w:rFonts w:ascii="Arial" w:hAnsi="Arial" w:cs="Arial"/>
          <w:snapToGrid w:val="0"/>
        </w:rPr>
        <w:t>Igualmente, cuando se trate de garantías del FAG para créditos en condiciones de mercado de pequeños productores y se otorguen garantías institucionales complementarias, la suma de la cobertura de dichas garantías y la cobertura de la garantía del FAG no podrá exceder el 50%, y para medianos productores no podrá exceder del 40%, del valor total de la operación.</w:t>
      </w:r>
    </w:p>
    <w:p w:rsidR="0034619A" w:rsidRPr="001858E0" w:rsidRDefault="0034619A" w:rsidP="0091211B">
      <w:pPr>
        <w:spacing w:after="0" w:line="0" w:lineRule="atLeast"/>
        <w:rPr>
          <w:rFonts w:ascii="Arial" w:hAnsi="Arial" w:cs="Arial"/>
          <w:snapToGrid w:val="0"/>
        </w:rPr>
      </w:pPr>
    </w:p>
    <w:p w:rsidR="0034619A" w:rsidRPr="001858E0" w:rsidRDefault="0034619A" w:rsidP="0091211B">
      <w:pPr>
        <w:spacing w:after="0" w:line="0" w:lineRule="atLeast"/>
        <w:jc w:val="both"/>
        <w:rPr>
          <w:rFonts w:ascii="Arial" w:hAnsi="Arial" w:cs="Arial"/>
          <w:snapToGrid w:val="0"/>
        </w:rPr>
      </w:pPr>
      <w:r w:rsidRPr="001858E0">
        <w:rPr>
          <w:rFonts w:ascii="Arial" w:hAnsi="Arial" w:cs="Arial"/>
          <w:snapToGrid w:val="0"/>
        </w:rPr>
        <w:t xml:space="preserve">Durante </w:t>
      </w:r>
      <w:r w:rsidR="00317B2A" w:rsidRPr="001858E0">
        <w:rPr>
          <w:rFonts w:ascii="Arial" w:hAnsi="Arial" w:cs="Arial"/>
          <w:snapToGrid w:val="0"/>
        </w:rPr>
        <w:t>el</w:t>
      </w:r>
      <w:r w:rsidRPr="001858E0">
        <w:rPr>
          <w:rFonts w:ascii="Arial" w:hAnsi="Arial" w:cs="Arial"/>
          <w:snapToGrid w:val="0"/>
        </w:rPr>
        <w:t xml:space="preserve"> 201</w:t>
      </w:r>
      <w:r w:rsidR="00E15FE8" w:rsidRPr="001858E0">
        <w:rPr>
          <w:rFonts w:ascii="Arial" w:hAnsi="Arial" w:cs="Arial"/>
          <w:snapToGrid w:val="0"/>
        </w:rPr>
        <w:t>9</w:t>
      </w:r>
      <w:r w:rsidRPr="001858E0">
        <w:rPr>
          <w:rFonts w:ascii="Arial" w:hAnsi="Arial" w:cs="Arial"/>
          <w:snapToGrid w:val="0"/>
        </w:rPr>
        <w:t xml:space="preserve"> las coberturas por tipo de productor y esquema de crédito se mantendrán iguales para todos los intermediarios financieros.</w:t>
      </w:r>
    </w:p>
    <w:p w:rsidR="0034619A" w:rsidRPr="001858E0" w:rsidRDefault="0034619A" w:rsidP="0091211B">
      <w:pPr>
        <w:spacing w:after="0" w:line="0" w:lineRule="atLeast"/>
        <w:jc w:val="center"/>
        <w:rPr>
          <w:rFonts w:ascii="Arial" w:hAnsi="Arial" w:cs="Arial"/>
          <w:b/>
          <w:snapToGrid w:val="0"/>
        </w:rPr>
      </w:pPr>
    </w:p>
    <w:p w:rsidR="00222AFB" w:rsidRPr="001858E0" w:rsidRDefault="0034619A">
      <w:pPr>
        <w:spacing w:after="0" w:line="0" w:lineRule="atLeast"/>
        <w:jc w:val="center"/>
        <w:rPr>
          <w:rFonts w:ascii="Arial" w:hAnsi="Arial" w:cs="Arial"/>
          <w:b/>
          <w:snapToGrid w:val="0"/>
        </w:rPr>
      </w:pPr>
      <w:r w:rsidRPr="001858E0">
        <w:rPr>
          <w:rFonts w:ascii="Arial" w:hAnsi="Arial" w:cs="Arial"/>
          <w:b/>
          <w:snapToGrid w:val="0"/>
        </w:rPr>
        <w:t>CAP</w:t>
      </w:r>
      <w:r w:rsidR="00BB60A6" w:rsidRPr="001858E0">
        <w:rPr>
          <w:rFonts w:ascii="Arial" w:hAnsi="Arial" w:cs="Arial"/>
          <w:b/>
          <w:snapToGrid w:val="0"/>
        </w:rPr>
        <w:t>Í</w:t>
      </w:r>
      <w:r w:rsidRPr="001858E0">
        <w:rPr>
          <w:rFonts w:ascii="Arial" w:hAnsi="Arial" w:cs="Arial"/>
          <w:b/>
          <w:snapToGrid w:val="0"/>
        </w:rPr>
        <w:t xml:space="preserve">TULO SEGUNDO </w:t>
      </w:r>
    </w:p>
    <w:p w:rsidR="0034619A" w:rsidRPr="001858E0" w:rsidRDefault="0034619A">
      <w:pPr>
        <w:spacing w:after="0" w:line="0" w:lineRule="atLeast"/>
        <w:jc w:val="center"/>
        <w:rPr>
          <w:rFonts w:ascii="Arial" w:hAnsi="Arial" w:cs="Arial"/>
          <w:b/>
          <w:snapToGrid w:val="0"/>
        </w:rPr>
      </w:pPr>
      <w:r w:rsidRPr="001858E0">
        <w:rPr>
          <w:rFonts w:ascii="Arial" w:hAnsi="Arial" w:cs="Arial"/>
          <w:b/>
          <w:snapToGrid w:val="0"/>
        </w:rPr>
        <w:t xml:space="preserve">PRESUPUESTO DE GASTOS </w:t>
      </w:r>
      <w:r w:rsidR="00222AFB" w:rsidRPr="001858E0">
        <w:rPr>
          <w:rFonts w:ascii="Arial" w:hAnsi="Arial" w:cs="Arial"/>
          <w:b/>
          <w:snapToGrid w:val="0"/>
        </w:rPr>
        <w:t>DE ADMINISTRACIÓN E INVERSIÓN</w:t>
      </w:r>
    </w:p>
    <w:p w:rsidR="0034619A" w:rsidRPr="001858E0" w:rsidRDefault="0034619A">
      <w:pPr>
        <w:spacing w:after="0" w:line="0" w:lineRule="atLeast"/>
        <w:jc w:val="both"/>
        <w:rPr>
          <w:rFonts w:ascii="Arial" w:hAnsi="Arial" w:cs="Arial"/>
          <w:snapToGrid w:val="0"/>
        </w:rPr>
      </w:pPr>
    </w:p>
    <w:p w:rsidR="0034619A" w:rsidRPr="001858E0" w:rsidRDefault="0034619A" w:rsidP="00BA22CE">
      <w:pPr>
        <w:spacing w:after="0" w:line="0" w:lineRule="atLeast"/>
        <w:jc w:val="both"/>
        <w:rPr>
          <w:rFonts w:ascii="Arial" w:hAnsi="Arial" w:cs="Arial"/>
        </w:rPr>
      </w:pPr>
      <w:r w:rsidRPr="001858E0">
        <w:rPr>
          <w:rFonts w:ascii="Arial" w:hAnsi="Arial" w:cs="Arial"/>
          <w:b/>
          <w:bCs/>
          <w:snapToGrid w:val="0"/>
        </w:rPr>
        <w:t>Artículo 2</w:t>
      </w:r>
      <w:r w:rsidR="00DA3550" w:rsidRPr="001858E0">
        <w:rPr>
          <w:rFonts w:ascii="Arial" w:hAnsi="Arial" w:cs="Arial"/>
          <w:b/>
          <w:bCs/>
          <w:snapToGrid w:val="0"/>
        </w:rPr>
        <w:t>o</w:t>
      </w:r>
      <w:r w:rsidRPr="001858E0">
        <w:rPr>
          <w:rFonts w:ascii="Arial" w:hAnsi="Arial" w:cs="Arial"/>
          <w:b/>
          <w:bCs/>
          <w:snapToGrid w:val="0"/>
        </w:rPr>
        <w:t xml:space="preserve">. </w:t>
      </w:r>
      <w:r w:rsidRPr="001858E0">
        <w:rPr>
          <w:rFonts w:ascii="Arial" w:hAnsi="Arial" w:cs="Arial"/>
          <w:snapToGrid w:val="0"/>
        </w:rPr>
        <w:t xml:space="preserve">Aprobar en </w:t>
      </w:r>
      <w:r w:rsidR="006E4A1B" w:rsidRPr="001858E0">
        <w:rPr>
          <w:rFonts w:ascii="Arial" w:hAnsi="Arial" w:cs="Arial"/>
          <w:b/>
          <w:snapToGrid w:val="0"/>
        </w:rPr>
        <w:t xml:space="preserve">ONCE MIL NOVECIENTOS CINCUENTA Y OCHO MILLONES QUINIENTOS SESENTA MIL OCHOCIENTOS TREINTA Y SEIS </w:t>
      </w:r>
      <w:r w:rsidRPr="001858E0">
        <w:rPr>
          <w:rFonts w:ascii="Arial" w:hAnsi="Arial" w:cs="Arial"/>
          <w:b/>
          <w:snapToGrid w:val="0"/>
        </w:rPr>
        <w:t>PESOS</w:t>
      </w:r>
      <w:r w:rsidRPr="001858E0">
        <w:rPr>
          <w:rFonts w:ascii="Arial" w:hAnsi="Arial" w:cs="Arial"/>
          <w:b/>
          <w:bCs/>
          <w:snapToGrid w:val="0"/>
          <w:color w:val="FF0000"/>
        </w:rPr>
        <w:t xml:space="preserve"> </w:t>
      </w:r>
      <w:r w:rsidRPr="001858E0">
        <w:rPr>
          <w:rFonts w:ascii="Arial" w:hAnsi="Arial" w:cs="Arial"/>
          <w:b/>
          <w:snapToGrid w:val="0"/>
        </w:rPr>
        <w:t>($</w:t>
      </w:r>
      <w:r w:rsidR="00D54A98" w:rsidRPr="001858E0">
        <w:rPr>
          <w:rFonts w:ascii="Arial" w:hAnsi="Arial" w:cs="Arial"/>
          <w:b/>
          <w:snapToGrid w:val="0"/>
        </w:rPr>
        <w:t>11.958.560.836</w:t>
      </w:r>
      <w:r w:rsidRPr="001858E0">
        <w:rPr>
          <w:rFonts w:ascii="Arial" w:hAnsi="Arial" w:cs="Arial"/>
          <w:b/>
          <w:snapToGrid w:val="0"/>
        </w:rPr>
        <w:t>)</w:t>
      </w:r>
      <w:r w:rsidRPr="001858E0">
        <w:rPr>
          <w:rFonts w:ascii="Arial" w:hAnsi="Arial" w:cs="Arial"/>
          <w:snapToGrid w:val="0"/>
        </w:rPr>
        <w:t xml:space="preserve">, el presupuesto para los gastos de administración y de inversión del Fondo Agropecuario de Garantías - FAG para </w:t>
      </w:r>
      <w:r w:rsidR="00BA22CE" w:rsidRPr="001858E0">
        <w:rPr>
          <w:rFonts w:ascii="Arial" w:hAnsi="Arial" w:cs="Arial"/>
          <w:snapToGrid w:val="0"/>
        </w:rPr>
        <w:t>el año</w:t>
      </w:r>
      <w:r w:rsidRPr="001858E0">
        <w:rPr>
          <w:rFonts w:ascii="Arial" w:hAnsi="Arial" w:cs="Arial"/>
          <w:snapToGrid w:val="0"/>
        </w:rPr>
        <w:t xml:space="preserve"> 201</w:t>
      </w:r>
      <w:r w:rsidR="00331C62" w:rsidRPr="001858E0">
        <w:rPr>
          <w:rFonts w:ascii="Arial" w:hAnsi="Arial" w:cs="Arial"/>
          <w:snapToGrid w:val="0"/>
        </w:rPr>
        <w:t>9</w:t>
      </w:r>
      <w:r w:rsidRPr="001858E0">
        <w:rPr>
          <w:rFonts w:ascii="Arial" w:hAnsi="Arial" w:cs="Arial"/>
          <w:snapToGrid w:val="0"/>
        </w:rPr>
        <w:t>, de acuerdo con el Decreto 1071 de 2015,</w:t>
      </w:r>
      <w:r w:rsidRPr="001858E0">
        <w:rPr>
          <w:rFonts w:ascii="Arial" w:hAnsi="Arial" w:cs="Arial"/>
        </w:rPr>
        <w:t xml:space="preserve"> sin perjuicio de lo cual se autoriza que los cargues por administración de portafolio puedan exceder de dicha suma siempre que corresponda a: </w:t>
      </w:r>
    </w:p>
    <w:p w:rsidR="0034619A" w:rsidRPr="001858E0" w:rsidRDefault="0034619A" w:rsidP="00BA22CE">
      <w:pPr>
        <w:spacing w:after="0" w:line="0" w:lineRule="atLeast"/>
        <w:jc w:val="both"/>
        <w:rPr>
          <w:rFonts w:ascii="Arial" w:hAnsi="Arial" w:cs="Arial"/>
        </w:rPr>
      </w:pPr>
    </w:p>
    <w:p w:rsidR="0034619A" w:rsidRPr="001858E0" w:rsidRDefault="0034619A" w:rsidP="00846049">
      <w:pPr>
        <w:pStyle w:val="Textosinformato"/>
        <w:numPr>
          <w:ilvl w:val="0"/>
          <w:numId w:val="1"/>
        </w:numPr>
        <w:spacing w:line="0" w:lineRule="atLeast"/>
        <w:ind w:left="284" w:hanging="142"/>
        <w:jc w:val="both"/>
        <w:rPr>
          <w:rFonts w:ascii="Arial" w:hAnsi="Arial" w:cs="Arial"/>
          <w:snapToGrid w:val="0"/>
          <w:sz w:val="22"/>
          <w:szCs w:val="22"/>
        </w:rPr>
      </w:pPr>
      <w:r w:rsidRPr="001858E0">
        <w:rPr>
          <w:rFonts w:ascii="Arial" w:hAnsi="Arial" w:cs="Arial"/>
          <w:sz w:val="22"/>
          <w:szCs w:val="22"/>
        </w:rPr>
        <w:t>Manejo de portafolio: el resultado de multiplicar el 0,50% anual sobre saldo del portafolio.</w:t>
      </w:r>
    </w:p>
    <w:p w:rsidR="0034619A" w:rsidRPr="001858E0" w:rsidRDefault="0034619A" w:rsidP="002737C3">
      <w:pPr>
        <w:pStyle w:val="Textosinformato"/>
        <w:spacing w:line="0" w:lineRule="atLeast"/>
        <w:jc w:val="both"/>
        <w:rPr>
          <w:rFonts w:ascii="Arial" w:hAnsi="Arial" w:cs="Arial"/>
          <w:snapToGrid w:val="0"/>
          <w:sz w:val="22"/>
          <w:szCs w:val="22"/>
        </w:rPr>
      </w:pPr>
    </w:p>
    <w:p w:rsidR="0034619A" w:rsidRPr="001858E0" w:rsidRDefault="0013210D" w:rsidP="00846049">
      <w:pPr>
        <w:pStyle w:val="Textosinformato"/>
        <w:numPr>
          <w:ilvl w:val="0"/>
          <w:numId w:val="1"/>
        </w:numPr>
        <w:spacing w:line="0" w:lineRule="atLeast"/>
        <w:ind w:left="284" w:hanging="142"/>
        <w:jc w:val="both"/>
        <w:rPr>
          <w:rFonts w:ascii="Arial" w:hAnsi="Arial" w:cs="Arial"/>
          <w:snapToGrid w:val="0"/>
          <w:sz w:val="22"/>
          <w:szCs w:val="22"/>
        </w:rPr>
      </w:pPr>
      <w:r w:rsidRPr="001858E0">
        <w:rPr>
          <w:rFonts w:ascii="Arial" w:hAnsi="Arial" w:cs="Arial"/>
          <w:sz w:val="22"/>
          <w:szCs w:val="22"/>
        </w:rPr>
        <w:t>Por el c</w:t>
      </w:r>
      <w:r w:rsidR="0034619A" w:rsidRPr="001858E0">
        <w:rPr>
          <w:rFonts w:ascii="Arial" w:hAnsi="Arial" w:cs="Arial"/>
          <w:sz w:val="22"/>
          <w:szCs w:val="22"/>
        </w:rPr>
        <w:t>argo</w:t>
      </w:r>
      <w:r w:rsidRPr="001858E0">
        <w:rPr>
          <w:rFonts w:ascii="Arial" w:hAnsi="Arial" w:cs="Arial"/>
          <w:sz w:val="22"/>
          <w:szCs w:val="22"/>
        </w:rPr>
        <w:t xml:space="preserve"> de</w:t>
      </w:r>
      <w:r w:rsidR="0034619A" w:rsidRPr="001858E0">
        <w:rPr>
          <w:rFonts w:ascii="Arial" w:hAnsi="Arial" w:cs="Arial"/>
          <w:sz w:val="22"/>
          <w:szCs w:val="22"/>
        </w:rPr>
        <w:t xml:space="preserve"> operaciones</w:t>
      </w:r>
      <w:r w:rsidRPr="001858E0">
        <w:rPr>
          <w:rFonts w:ascii="Arial" w:hAnsi="Arial" w:cs="Arial"/>
          <w:sz w:val="22"/>
          <w:szCs w:val="22"/>
        </w:rPr>
        <w:t xml:space="preserve"> se cobrará la suma de</w:t>
      </w:r>
      <w:r w:rsidR="0034619A" w:rsidRPr="001858E0">
        <w:rPr>
          <w:rFonts w:ascii="Arial" w:hAnsi="Arial" w:cs="Arial"/>
          <w:sz w:val="22"/>
          <w:szCs w:val="22"/>
        </w:rPr>
        <w:t xml:space="preserve"> $1</w:t>
      </w:r>
      <w:r w:rsidR="00331C62" w:rsidRPr="001858E0">
        <w:rPr>
          <w:rFonts w:ascii="Arial" w:hAnsi="Arial" w:cs="Arial"/>
          <w:sz w:val="22"/>
          <w:szCs w:val="22"/>
        </w:rPr>
        <w:t>4</w:t>
      </w:r>
      <w:r w:rsidR="0034619A" w:rsidRPr="001858E0">
        <w:rPr>
          <w:rFonts w:ascii="Arial" w:hAnsi="Arial" w:cs="Arial"/>
          <w:sz w:val="22"/>
          <w:szCs w:val="22"/>
        </w:rPr>
        <w:t>.</w:t>
      </w:r>
      <w:r w:rsidR="00331C62" w:rsidRPr="001858E0">
        <w:rPr>
          <w:rFonts w:ascii="Arial" w:hAnsi="Arial" w:cs="Arial"/>
          <w:sz w:val="22"/>
          <w:szCs w:val="22"/>
        </w:rPr>
        <w:t>392</w:t>
      </w:r>
      <w:r w:rsidR="0034619A" w:rsidRPr="001858E0">
        <w:rPr>
          <w:rFonts w:ascii="Arial" w:hAnsi="Arial" w:cs="Arial"/>
          <w:b/>
          <w:bCs/>
          <w:snapToGrid w:val="0"/>
          <w:color w:val="FF0000"/>
          <w:sz w:val="22"/>
          <w:szCs w:val="22"/>
        </w:rPr>
        <w:t xml:space="preserve"> </w:t>
      </w:r>
      <w:r w:rsidR="0034619A" w:rsidRPr="001858E0">
        <w:rPr>
          <w:rFonts w:ascii="Arial" w:hAnsi="Arial" w:cs="Arial"/>
          <w:sz w:val="22"/>
          <w:szCs w:val="22"/>
        </w:rPr>
        <w:t xml:space="preserve">por cada </w:t>
      </w:r>
      <w:r w:rsidR="00A31B67" w:rsidRPr="001858E0">
        <w:rPr>
          <w:rFonts w:ascii="Arial" w:hAnsi="Arial" w:cs="Arial"/>
          <w:sz w:val="22"/>
          <w:szCs w:val="22"/>
        </w:rPr>
        <w:t xml:space="preserve">garantía </w:t>
      </w:r>
      <w:r w:rsidR="0034619A" w:rsidRPr="001858E0">
        <w:rPr>
          <w:rFonts w:ascii="Arial" w:hAnsi="Arial" w:cs="Arial"/>
          <w:sz w:val="22"/>
          <w:szCs w:val="22"/>
        </w:rPr>
        <w:t xml:space="preserve">expedida </w:t>
      </w:r>
      <w:r w:rsidR="00A31B67" w:rsidRPr="001858E0">
        <w:rPr>
          <w:rFonts w:ascii="Arial" w:hAnsi="Arial" w:cs="Arial"/>
          <w:sz w:val="22"/>
          <w:szCs w:val="22"/>
        </w:rPr>
        <w:t xml:space="preserve">sin </w:t>
      </w:r>
      <w:r w:rsidR="0034619A" w:rsidRPr="001858E0">
        <w:rPr>
          <w:rFonts w:ascii="Arial" w:hAnsi="Arial" w:cs="Arial"/>
          <w:sz w:val="22"/>
          <w:szCs w:val="22"/>
        </w:rPr>
        <w:t>exced</w:t>
      </w:r>
      <w:r w:rsidR="00A31B67" w:rsidRPr="001858E0">
        <w:rPr>
          <w:rFonts w:ascii="Arial" w:hAnsi="Arial" w:cs="Arial"/>
          <w:sz w:val="22"/>
          <w:szCs w:val="22"/>
        </w:rPr>
        <w:t xml:space="preserve">er el </w:t>
      </w:r>
      <w:r w:rsidR="00BF1424" w:rsidRPr="001858E0">
        <w:rPr>
          <w:rFonts w:ascii="Arial" w:hAnsi="Arial" w:cs="Arial"/>
          <w:sz w:val="22"/>
          <w:szCs w:val="22"/>
        </w:rPr>
        <w:t>presupuesto aprobado</w:t>
      </w:r>
      <w:r w:rsidR="0034619A" w:rsidRPr="001858E0">
        <w:rPr>
          <w:rFonts w:ascii="Arial" w:hAnsi="Arial" w:cs="Arial"/>
          <w:sz w:val="22"/>
          <w:szCs w:val="22"/>
        </w:rPr>
        <w:t xml:space="preserve"> para </w:t>
      </w:r>
      <w:r w:rsidR="00317B2A" w:rsidRPr="001858E0">
        <w:rPr>
          <w:rFonts w:ascii="Arial" w:hAnsi="Arial" w:cs="Arial"/>
          <w:sz w:val="22"/>
          <w:szCs w:val="22"/>
        </w:rPr>
        <w:t>el año</w:t>
      </w:r>
      <w:r w:rsidR="0034619A" w:rsidRPr="001858E0">
        <w:rPr>
          <w:rFonts w:ascii="Arial" w:hAnsi="Arial" w:cs="Arial"/>
          <w:sz w:val="22"/>
          <w:szCs w:val="22"/>
        </w:rPr>
        <w:t xml:space="preserve"> 201</w:t>
      </w:r>
      <w:r w:rsidR="00331C62" w:rsidRPr="001858E0">
        <w:rPr>
          <w:rFonts w:ascii="Arial" w:hAnsi="Arial" w:cs="Arial"/>
          <w:sz w:val="22"/>
          <w:szCs w:val="22"/>
        </w:rPr>
        <w:t>9</w:t>
      </w:r>
      <w:r w:rsidR="0034619A" w:rsidRPr="001858E0">
        <w:rPr>
          <w:rFonts w:ascii="Arial" w:hAnsi="Arial" w:cs="Arial"/>
          <w:sz w:val="22"/>
          <w:szCs w:val="22"/>
        </w:rPr>
        <w:t>.</w:t>
      </w:r>
    </w:p>
    <w:p w:rsidR="0034619A" w:rsidRPr="001858E0" w:rsidRDefault="0034619A" w:rsidP="002737C3">
      <w:pPr>
        <w:pStyle w:val="Textosinformato"/>
        <w:spacing w:line="0" w:lineRule="atLeast"/>
        <w:jc w:val="both"/>
        <w:rPr>
          <w:rFonts w:ascii="Arial" w:hAnsi="Arial" w:cs="Arial"/>
          <w:snapToGrid w:val="0"/>
          <w:sz w:val="22"/>
          <w:szCs w:val="22"/>
        </w:rPr>
      </w:pPr>
    </w:p>
    <w:p w:rsidR="0034619A" w:rsidRPr="001858E0" w:rsidRDefault="0034619A" w:rsidP="001913F7">
      <w:pPr>
        <w:spacing w:after="0" w:line="0" w:lineRule="atLeast"/>
        <w:jc w:val="both"/>
        <w:rPr>
          <w:rFonts w:ascii="Arial" w:hAnsi="Arial" w:cs="Arial"/>
        </w:rPr>
      </w:pPr>
      <w:r w:rsidRPr="001858E0">
        <w:rPr>
          <w:rFonts w:ascii="Arial" w:hAnsi="Arial" w:cs="Arial"/>
          <w:b/>
          <w:bCs/>
          <w:snapToGrid w:val="0"/>
        </w:rPr>
        <w:t xml:space="preserve">Parágrafo </w:t>
      </w:r>
      <w:r w:rsidR="00DA3550" w:rsidRPr="001858E0">
        <w:rPr>
          <w:rFonts w:ascii="Arial" w:hAnsi="Arial" w:cs="Arial"/>
          <w:b/>
          <w:bCs/>
          <w:snapToGrid w:val="0"/>
        </w:rPr>
        <w:t>primero.</w:t>
      </w:r>
      <w:r w:rsidRPr="001858E0">
        <w:rPr>
          <w:rFonts w:ascii="Arial" w:hAnsi="Arial" w:cs="Arial"/>
          <w:snapToGrid w:val="0"/>
        </w:rPr>
        <w:t xml:space="preserve"> </w:t>
      </w:r>
      <w:r w:rsidRPr="001858E0">
        <w:rPr>
          <w:rFonts w:ascii="Arial" w:hAnsi="Arial" w:cs="Arial"/>
        </w:rPr>
        <w:t>Con cargo a estos recursos se podrán financiar los gastos de administración e inversión, tales como honora</w:t>
      </w:r>
      <w:r w:rsidR="00331C62" w:rsidRPr="001858E0">
        <w:rPr>
          <w:rFonts w:ascii="Arial" w:hAnsi="Arial" w:cs="Arial"/>
        </w:rPr>
        <w:t>rios, funcionamiento, cobranzas,</w:t>
      </w:r>
      <w:r w:rsidRPr="001858E0">
        <w:rPr>
          <w:rFonts w:ascii="Arial" w:hAnsi="Arial" w:cs="Arial"/>
        </w:rPr>
        <w:t xml:space="preserve"> entre otros renglones de gastos.</w:t>
      </w:r>
    </w:p>
    <w:p w:rsidR="0034619A" w:rsidRPr="001858E0" w:rsidRDefault="0034619A" w:rsidP="00AA22AF">
      <w:pPr>
        <w:spacing w:after="0" w:line="0" w:lineRule="atLeast"/>
        <w:jc w:val="both"/>
        <w:rPr>
          <w:rFonts w:ascii="Arial" w:hAnsi="Arial" w:cs="Arial"/>
        </w:rPr>
      </w:pPr>
    </w:p>
    <w:p w:rsidR="0034619A" w:rsidRPr="001858E0" w:rsidRDefault="0034619A" w:rsidP="007E2229">
      <w:pPr>
        <w:spacing w:after="0" w:line="0" w:lineRule="atLeast"/>
        <w:jc w:val="both"/>
        <w:rPr>
          <w:rFonts w:ascii="Arial" w:hAnsi="Arial" w:cs="Arial"/>
          <w:snapToGrid w:val="0"/>
        </w:rPr>
      </w:pPr>
      <w:r w:rsidRPr="001858E0">
        <w:rPr>
          <w:rFonts w:ascii="Arial" w:hAnsi="Arial" w:cs="Arial"/>
          <w:b/>
          <w:bCs/>
          <w:snapToGrid w:val="0"/>
        </w:rPr>
        <w:t>Parágrafo</w:t>
      </w:r>
      <w:r w:rsidRPr="001858E0">
        <w:rPr>
          <w:rFonts w:ascii="Arial" w:hAnsi="Arial" w:cs="Arial"/>
          <w:b/>
          <w:bCs/>
        </w:rPr>
        <w:t xml:space="preserve"> </w:t>
      </w:r>
      <w:r w:rsidR="00DA3550" w:rsidRPr="001858E0">
        <w:rPr>
          <w:rFonts w:ascii="Arial" w:hAnsi="Arial" w:cs="Arial"/>
          <w:b/>
          <w:bCs/>
        </w:rPr>
        <w:t>segundo.</w:t>
      </w:r>
      <w:r w:rsidRPr="001858E0">
        <w:rPr>
          <w:rFonts w:ascii="Arial" w:hAnsi="Arial" w:cs="Arial"/>
          <w:b/>
          <w:bCs/>
        </w:rPr>
        <w:t xml:space="preserve"> </w:t>
      </w:r>
      <w:r w:rsidRPr="001858E0">
        <w:rPr>
          <w:rFonts w:ascii="Arial" w:hAnsi="Arial" w:cs="Arial"/>
          <w:snapToGrid w:val="0"/>
        </w:rPr>
        <w:t>Dentro del presupuesto global de gastos aprobado en esta resolución, FINAGRO, como ordenador del gasto</w:t>
      </w:r>
      <w:r w:rsidR="001B320D" w:rsidRPr="001858E0">
        <w:rPr>
          <w:rFonts w:ascii="Arial" w:hAnsi="Arial" w:cs="Arial"/>
          <w:snapToGrid w:val="0"/>
        </w:rPr>
        <w:t xml:space="preserve"> y administrador del FAG</w:t>
      </w:r>
      <w:r w:rsidRPr="001858E0">
        <w:rPr>
          <w:rFonts w:ascii="Arial" w:hAnsi="Arial" w:cs="Arial"/>
          <w:snapToGrid w:val="0"/>
        </w:rPr>
        <w:t>, podrá efectuar traslados de disponibilidades presupuestales de recursos entre los diferentes rubros que dieron lugar a la aprobación del presupuesto, así como disponer la creación de nuevos rubros, sin exceder el referido presupuesto.</w:t>
      </w:r>
    </w:p>
    <w:p w:rsidR="0034619A" w:rsidRPr="001858E0" w:rsidRDefault="0034619A" w:rsidP="0091211B">
      <w:pPr>
        <w:autoSpaceDE w:val="0"/>
        <w:autoSpaceDN w:val="0"/>
        <w:adjustRightInd w:val="0"/>
        <w:spacing w:after="0" w:line="240" w:lineRule="auto"/>
        <w:jc w:val="both"/>
        <w:rPr>
          <w:rFonts w:ascii="Arial" w:hAnsi="Arial" w:cs="Arial"/>
          <w:snapToGrid w:val="0"/>
        </w:rPr>
      </w:pPr>
    </w:p>
    <w:p w:rsidR="0034619A" w:rsidRPr="001858E0" w:rsidRDefault="0034619A" w:rsidP="0091211B">
      <w:pPr>
        <w:autoSpaceDE w:val="0"/>
        <w:autoSpaceDN w:val="0"/>
        <w:adjustRightInd w:val="0"/>
        <w:spacing w:after="0" w:line="240" w:lineRule="auto"/>
        <w:jc w:val="both"/>
        <w:rPr>
          <w:rFonts w:ascii="Arial" w:hAnsi="Arial" w:cs="Arial"/>
          <w:snapToGrid w:val="0"/>
        </w:rPr>
      </w:pPr>
      <w:r w:rsidRPr="001858E0">
        <w:rPr>
          <w:rFonts w:ascii="Arial" w:hAnsi="Arial" w:cs="Arial"/>
          <w:b/>
          <w:bCs/>
          <w:snapToGrid w:val="0"/>
        </w:rPr>
        <w:t xml:space="preserve">Parágrafo </w:t>
      </w:r>
      <w:r w:rsidR="00DA3550" w:rsidRPr="001858E0">
        <w:rPr>
          <w:rFonts w:ascii="Arial" w:hAnsi="Arial" w:cs="Arial"/>
          <w:b/>
          <w:bCs/>
          <w:snapToGrid w:val="0"/>
        </w:rPr>
        <w:t>tercero.</w:t>
      </w:r>
      <w:r w:rsidRPr="001858E0">
        <w:rPr>
          <w:rFonts w:ascii="Arial" w:hAnsi="Arial" w:cs="Arial"/>
          <w:snapToGrid w:val="0"/>
        </w:rPr>
        <w:t xml:space="preserve"> Cuando los gastos correspondan a garantías de programas de FAG especiales, serán asumidos con cargo a los recursos de cada subcuenta, en primer lugar, de los recursos por concepto de comisiones por expedición de garantías y rendimientos de portafolio, y luego de los demás recursos disponibles.</w:t>
      </w:r>
    </w:p>
    <w:p w:rsidR="008F4A4A" w:rsidRPr="001858E0" w:rsidRDefault="008F4A4A" w:rsidP="0091211B">
      <w:pPr>
        <w:autoSpaceDE w:val="0"/>
        <w:autoSpaceDN w:val="0"/>
        <w:adjustRightInd w:val="0"/>
        <w:spacing w:after="0" w:line="240" w:lineRule="auto"/>
        <w:jc w:val="both"/>
        <w:rPr>
          <w:rFonts w:ascii="Arial" w:hAnsi="Arial" w:cs="Arial"/>
          <w:snapToGrid w:val="0"/>
        </w:rPr>
      </w:pPr>
    </w:p>
    <w:p w:rsidR="0034619A" w:rsidRPr="001858E0" w:rsidRDefault="0034619A" w:rsidP="00F30332">
      <w:pPr>
        <w:spacing w:after="0" w:line="0" w:lineRule="atLeast"/>
        <w:jc w:val="both"/>
        <w:rPr>
          <w:rFonts w:ascii="Arial" w:hAnsi="Arial" w:cs="Arial"/>
          <w:snapToGrid w:val="0"/>
        </w:rPr>
      </w:pPr>
      <w:r w:rsidRPr="001858E0">
        <w:rPr>
          <w:rFonts w:ascii="Arial" w:hAnsi="Arial" w:cs="Arial"/>
          <w:b/>
          <w:snapToGrid w:val="0"/>
        </w:rPr>
        <w:t>Artículo 3</w:t>
      </w:r>
      <w:r w:rsidR="00DA3550" w:rsidRPr="001858E0">
        <w:rPr>
          <w:rFonts w:ascii="Arial" w:hAnsi="Arial" w:cs="Arial"/>
          <w:b/>
          <w:snapToGrid w:val="0"/>
        </w:rPr>
        <w:t>o</w:t>
      </w:r>
      <w:r w:rsidRPr="001858E0">
        <w:rPr>
          <w:rFonts w:ascii="Arial" w:hAnsi="Arial" w:cs="Arial"/>
          <w:b/>
          <w:snapToGrid w:val="0"/>
        </w:rPr>
        <w:t xml:space="preserve">. </w:t>
      </w:r>
      <w:r w:rsidRPr="001858E0">
        <w:rPr>
          <w:rFonts w:ascii="Arial" w:hAnsi="Arial" w:cs="Arial"/>
          <w:snapToGrid w:val="0"/>
        </w:rPr>
        <w:t>Para los efectos del artículo 32 de la Ley 16 de 1990, y de conformidad con el Parágrafo 4° del artículo 28 de la Ley 16 de 1990, incorporado en el numeral 2 del artículo 231 del Estatuto Orgánico del Sistema Financiero, modificado por el artículo 6 de la Ley 1731 de 2014, el FAG podrá recibir recursos de entidades públicas o privadas, destinados a subsidiar la comisión por la expedición de las garantías a favor de pequeños o medianos productores. Igualmente, de conformidad con el artículo 11 de la Ley 69 de 1993, el Fondo Agropecuario de Garantías podrá contar con recursos provenientes del Ministerio de Agricultura y Desarrollo Rural, con el fin de asegurar el cumplimiento de sus fines.</w:t>
      </w:r>
    </w:p>
    <w:p w:rsidR="0034619A" w:rsidRPr="001858E0" w:rsidRDefault="0034619A" w:rsidP="00F30332">
      <w:pPr>
        <w:spacing w:after="0" w:line="0" w:lineRule="atLeast"/>
        <w:jc w:val="both"/>
        <w:rPr>
          <w:rFonts w:ascii="Arial" w:hAnsi="Arial" w:cs="Arial"/>
          <w:b/>
          <w:snapToGrid w:val="0"/>
        </w:rPr>
      </w:pPr>
    </w:p>
    <w:p w:rsidR="00222AFB" w:rsidRPr="001858E0" w:rsidRDefault="0034619A" w:rsidP="00D112F5">
      <w:pPr>
        <w:pStyle w:val="Textoindependiente3"/>
        <w:spacing w:after="0" w:line="0" w:lineRule="atLeast"/>
        <w:jc w:val="center"/>
        <w:rPr>
          <w:b/>
          <w:snapToGrid w:val="0"/>
          <w:sz w:val="22"/>
          <w:szCs w:val="22"/>
        </w:rPr>
      </w:pPr>
      <w:r w:rsidRPr="001858E0">
        <w:rPr>
          <w:b/>
          <w:snapToGrid w:val="0"/>
          <w:sz w:val="22"/>
          <w:szCs w:val="22"/>
        </w:rPr>
        <w:t>CAP</w:t>
      </w:r>
      <w:r w:rsidR="00BB60A6" w:rsidRPr="001858E0">
        <w:rPr>
          <w:b/>
          <w:snapToGrid w:val="0"/>
          <w:sz w:val="22"/>
          <w:szCs w:val="22"/>
        </w:rPr>
        <w:t>Í</w:t>
      </w:r>
      <w:r w:rsidR="00222AFB" w:rsidRPr="001858E0">
        <w:rPr>
          <w:b/>
          <w:snapToGrid w:val="0"/>
          <w:sz w:val="22"/>
          <w:szCs w:val="22"/>
        </w:rPr>
        <w:t xml:space="preserve">TULO TERCERO </w:t>
      </w:r>
    </w:p>
    <w:p w:rsidR="0034619A" w:rsidRPr="001858E0" w:rsidRDefault="0034619A" w:rsidP="00D112F5">
      <w:pPr>
        <w:pStyle w:val="Textoindependiente3"/>
        <w:spacing w:after="0" w:line="0" w:lineRule="atLeast"/>
        <w:jc w:val="center"/>
        <w:rPr>
          <w:b/>
          <w:bCs/>
          <w:snapToGrid w:val="0"/>
          <w:sz w:val="22"/>
          <w:szCs w:val="22"/>
        </w:rPr>
      </w:pPr>
      <w:r w:rsidRPr="001858E0">
        <w:rPr>
          <w:b/>
          <w:snapToGrid w:val="0"/>
          <w:sz w:val="22"/>
          <w:szCs w:val="22"/>
        </w:rPr>
        <w:t>ESQUEMA DE PROVISIONES Y RESERVAS</w:t>
      </w:r>
    </w:p>
    <w:p w:rsidR="0034619A" w:rsidRPr="001858E0" w:rsidRDefault="0034619A" w:rsidP="00BB60A6">
      <w:pPr>
        <w:spacing w:after="0" w:line="0" w:lineRule="atLeast"/>
        <w:jc w:val="both"/>
        <w:rPr>
          <w:rFonts w:ascii="Arial" w:hAnsi="Arial" w:cs="Arial"/>
          <w:b/>
          <w:snapToGrid w:val="0"/>
        </w:rPr>
      </w:pPr>
    </w:p>
    <w:p w:rsidR="0034619A" w:rsidRPr="001858E0" w:rsidRDefault="0034619A" w:rsidP="0091211B">
      <w:pPr>
        <w:spacing w:after="0" w:line="0" w:lineRule="atLeast"/>
        <w:jc w:val="both"/>
        <w:rPr>
          <w:rFonts w:ascii="Arial" w:hAnsi="Arial" w:cs="Arial"/>
          <w:snapToGrid w:val="0"/>
        </w:rPr>
      </w:pPr>
      <w:r w:rsidRPr="001858E0">
        <w:rPr>
          <w:rFonts w:ascii="Arial" w:hAnsi="Arial" w:cs="Arial"/>
          <w:b/>
          <w:snapToGrid w:val="0"/>
        </w:rPr>
        <w:t>Artículo 4</w:t>
      </w:r>
      <w:r w:rsidR="004427C8" w:rsidRPr="001858E0">
        <w:rPr>
          <w:rFonts w:ascii="Arial" w:hAnsi="Arial" w:cs="Arial"/>
          <w:b/>
          <w:snapToGrid w:val="0"/>
        </w:rPr>
        <w:t>o</w:t>
      </w:r>
      <w:r w:rsidRPr="001858E0">
        <w:rPr>
          <w:rFonts w:ascii="Arial" w:hAnsi="Arial" w:cs="Arial"/>
          <w:b/>
          <w:snapToGrid w:val="0"/>
        </w:rPr>
        <w:t>.</w:t>
      </w:r>
      <w:r w:rsidRPr="001858E0">
        <w:rPr>
          <w:rFonts w:ascii="Arial" w:hAnsi="Arial" w:cs="Arial"/>
          <w:snapToGrid w:val="0"/>
        </w:rPr>
        <w:t xml:space="preserve"> Con el propósito de gestionar el riesgo de garantías y asegurar su operatividad, el FAG efectuará reservas y provisiones.</w:t>
      </w:r>
    </w:p>
    <w:p w:rsidR="0034619A" w:rsidRPr="001858E0" w:rsidRDefault="0034619A" w:rsidP="0091211B">
      <w:pPr>
        <w:spacing w:after="0" w:line="0" w:lineRule="atLeast"/>
        <w:jc w:val="both"/>
        <w:rPr>
          <w:rFonts w:ascii="Arial" w:hAnsi="Arial" w:cs="Arial"/>
          <w:snapToGrid w:val="0"/>
        </w:rPr>
      </w:pPr>
    </w:p>
    <w:p w:rsidR="0034619A" w:rsidRPr="001858E0" w:rsidRDefault="0034619A" w:rsidP="0091211B">
      <w:pPr>
        <w:spacing w:after="0" w:line="0" w:lineRule="atLeast"/>
        <w:jc w:val="both"/>
        <w:rPr>
          <w:rFonts w:ascii="Arial" w:hAnsi="Arial" w:cs="Arial"/>
          <w:snapToGrid w:val="0"/>
        </w:rPr>
      </w:pPr>
      <w:r w:rsidRPr="001858E0">
        <w:rPr>
          <w:rFonts w:ascii="Arial" w:hAnsi="Arial" w:cs="Arial"/>
          <w:snapToGrid w:val="0"/>
        </w:rPr>
        <w:t>Por cada garantía expedida, el FAG efectuará las reservas contables que reflejarán la perdida esperada asociada a la expedición de la misma. Para el cálculo de las reservas el FAG contará con la metodología que permita identificar la probabilidad de reclamo de las garantías, según el tipo de productor, plazo, cobertura, valor del crédito, entre otras características que se encuentre conveniente incorporar.</w:t>
      </w:r>
    </w:p>
    <w:p w:rsidR="0034619A" w:rsidRPr="001858E0" w:rsidRDefault="0034619A" w:rsidP="0091211B">
      <w:pPr>
        <w:spacing w:after="0" w:line="0" w:lineRule="atLeast"/>
        <w:jc w:val="both"/>
        <w:rPr>
          <w:rFonts w:ascii="Arial" w:hAnsi="Arial" w:cs="Arial"/>
          <w:snapToGrid w:val="0"/>
        </w:rPr>
      </w:pPr>
    </w:p>
    <w:p w:rsidR="0034619A" w:rsidRPr="001858E0" w:rsidRDefault="0034619A">
      <w:pPr>
        <w:spacing w:after="0" w:line="0" w:lineRule="atLeast"/>
        <w:jc w:val="both"/>
        <w:rPr>
          <w:rFonts w:ascii="Arial" w:hAnsi="Arial" w:cs="Arial"/>
          <w:snapToGrid w:val="0"/>
        </w:rPr>
      </w:pPr>
      <w:r w:rsidRPr="001858E0">
        <w:rPr>
          <w:rFonts w:ascii="Arial" w:hAnsi="Arial" w:cs="Arial"/>
          <w:snapToGrid w:val="0"/>
        </w:rPr>
        <w:t>El FAG realizará provisiones para las garantías de crédito que entren en mora. Dichas provisiones incrementarán a medida que el nivel de mora incremente y alcanzará el ciento por ciento (100%) del valor de la garantía vigente cuando la mora en el pago del crédito alcance los ciento ochenta (180) días.</w:t>
      </w:r>
    </w:p>
    <w:p w:rsidR="0034619A" w:rsidRPr="001858E0" w:rsidRDefault="0034619A">
      <w:pPr>
        <w:spacing w:after="0" w:line="0" w:lineRule="atLeast"/>
        <w:jc w:val="both"/>
        <w:rPr>
          <w:rFonts w:ascii="Arial" w:hAnsi="Arial" w:cs="Arial"/>
          <w:snapToGrid w:val="0"/>
        </w:rPr>
      </w:pPr>
    </w:p>
    <w:p w:rsidR="0034619A" w:rsidRPr="001858E0" w:rsidRDefault="0034619A">
      <w:pPr>
        <w:spacing w:after="0" w:line="0" w:lineRule="atLeast"/>
        <w:jc w:val="both"/>
        <w:rPr>
          <w:rFonts w:ascii="Arial" w:hAnsi="Arial" w:cs="Arial"/>
          <w:snapToGrid w:val="0"/>
        </w:rPr>
      </w:pPr>
      <w:r w:rsidRPr="001858E0">
        <w:rPr>
          <w:rFonts w:ascii="Arial" w:hAnsi="Arial" w:cs="Arial"/>
          <w:b/>
          <w:snapToGrid w:val="0"/>
        </w:rPr>
        <w:t>Parágrafo</w:t>
      </w:r>
      <w:r w:rsidR="00CB3DAD" w:rsidRPr="001858E0">
        <w:rPr>
          <w:rFonts w:ascii="Arial" w:hAnsi="Arial" w:cs="Arial"/>
          <w:b/>
          <w:snapToGrid w:val="0"/>
        </w:rPr>
        <w:t>.</w:t>
      </w:r>
      <w:r w:rsidRPr="001858E0">
        <w:rPr>
          <w:rFonts w:ascii="Arial" w:hAnsi="Arial" w:cs="Arial"/>
          <w:b/>
          <w:snapToGrid w:val="0"/>
        </w:rPr>
        <w:t xml:space="preserve"> </w:t>
      </w:r>
      <w:r w:rsidRPr="001858E0">
        <w:rPr>
          <w:rFonts w:ascii="Arial" w:hAnsi="Arial" w:cs="Arial"/>
          <w:snapToGrid w:val="0"/>
        </w:rPr>
        <w:t>En caso de considerarlo necesario, el FAG podrá constituir reservas y provisiones adicionales a las estimadas en este artículo.</w:t>
      </w:r>
    </w:p>
    <w:p w:rsidR="0034619A" w:rsidRPr="001858E0" w:rsidRDefault="0034619A">
      <w:pPr>
        <w:pStyle w:val="Textoindependiente3"/>
        <w:spacing w:after="0" w:line="0" w:lineRule="atLeast"/>
        <w:jc w:val="center"/>
        <w:rPr>
          <w:b/>
          <w:snapToGrid w:val="0"/>
          <w:sz w:val="22"/>
          <w:szCs w:val="22"/>
        </w:rPr>
      </w:pPr>
    </w:p>
    <w:p w:rsidR="00222AFB" w:rsidRPr="001858E0" w:rsidRDefault="00A01BD5">
      <w:pPr>
        <w:pStyle w:val="Textoindependiente3"/>
        <w:spacing w:after="0" w:line="0" w:lineRule="atLeast"/>
        <w:jc w:val="center"/>
        <w:rPr>
          <w:b/>
          <w:snapToGrid w:val="0"/>
          <w:sz w:val="22"/>
          <w:szCs w:val="22"/>
        </w:rPr>
      </w:pPr>
      <w:r w:rsidRPr="001858E0">
        <w:rPr>
          <w:b/>
          <w:snapToGrid w:val="0"/>
          <w:sz w:val="22"/>
          <w:szCs w:val="22"/>
        </w:rPr>
        <w:t>CAP</w:t>
      </w:r>
      <w:r w:rsidR="00BB60A6" w:rsidRPr="001858E0">
        <w:rPr>
          <w:b/>
          <w:snapToGrid w:val="0"/>
          <w:sz w:val="22"/>
          <w:szCs w:val="22"/>
        </w:rPr>
        <w:t>Í</w:t>
      </w:r>
      <w:r w:rsidRPr="001858E0">
        <w:rPr>
          <w:b/>
          <w:snapToGrid w:val="0"/>
          <w:sz w:val="22"/>
          <w:szCs w:val="22"/>
        </w:rPr>
        <w:t xml:space="preserve">TULO CUARTO  </w:t>
      </w:r>
    </w:p>
    <w:p w:rsidR="00A01BD5" w:rsidRPr="001858E0" w:rsidRDefault="00A01BD5">
      <w:pPr>
        <w:pStyle w:val="Textoindependiente3"/>
        <w:spacing w:after="0" w:line="0" w:lineRule="atLeast"/>
        <w:jc w:val="center"/>
        <w:rPr>
          <w:b/>
          <w:bCs/>
          <w:snapToGrid w:val="0"/>
          <w:sz w:val="22"/>
          <w:szCs w:val="22"/>
        </w:rPr>
      </w:pPr>
      <w:r w:rsidRPr="001858E0">
        <w:rPr>
          <w:b/>
          <w:snapToGrid w:val="0"/>
          <w:sz w:val="22"/>
          <w:szCs w:val="22"/>
        </w:rPr>
        <w:t>MODIFICACIONES EN LA REGLAMENTACIÓN DEL FAG</w:t>
      </w:r>
    </w:p>
    <w:p w:rsidR="00A01BD5" w:rsidRPr="001858E0" w:rsidRDefault="00A01BD5">
      <w:pPr>
        <w:pStyle w:val="Textoindependiente3"/>
        <w:spacing w:after="0" w:line="0" w:lineRule="atLeast"/>
        <w:jc w:val="center"/>
        <w:rPr>
          <w:b/>
          <w:snapToGrid w:val="0"/>
          <w:sz w:val="22"/>
          <w:szCs w:val="22"/>
        </w:rPr>
      </w:pPr>
    </w:p>
    <w:p w:rsidR="00A01BD5" w:rsidRPr="001858E0" w:rsidRDefault="00A01BD5">
      <w:pPr>
        <w:spacing w:line="240" w:lineRule="auto"/>
        <w:jc w:val="both"/>
        <w:rPr>
          <w:rFonts w:ascii="Arial" w:hAnsi="Arial" w:cs="Arial"/>
        </w:rPr>
      </w:pPr>
      <w:r w:rsidRPr="001858E0">
        <w:rPr>
          <w:rFonts w:ascii="Arial" w:hAnsi="Arial" w:cs="Arial"/>
          <w:b/>
        </w:rPr>
        <w:t>Artículo 5</w:t>
      </w:r>
      <w:r w:rsidR="00CB3DAD" w:rsidRPr="001858E0">
        <w:rPr>
          <w:rFonts w:ascii="Arial" w:hAnsi="Arial" w:cs="Arial"/>
          <w:b/>
        </w:rPr>
        <w:t>o</w:t>
      </w:r>
      <w:r w:rsidRPr="001858E0">
        <w:rPr>
          <w:rFonts w:ascii="Arial" w:hAnsi="Arial" w:cs="Arial"/>
          <w:b/>
        </w:rPr>
        <w:t xml:space="preserve">. </w:t>
      </w:r>
      <w:r w:rsidRPr="001858E0">
        <w:rPr>
          <w:rFonts w:ascii="Arial" w:hAnsi="Arial" w:cs="Arial"/>
        </w:rPr>
        <w:t>Modificar</w:t>
      </w:r>
      <w:r w:rsidR="00A27758" w:rsidRPr="001858E0">
        <w:rPr>
          <w:rFonts w:ascii="Arial" w:hAnsi="Arial" w:cs="Arial"/>
        </w:rPr>
        <w:t xml:space="preserve"> el </w:t>
      </w:r>
      <w:r w:rsidR="00A46B07" w:rsidRPr="001858E0">
        <w:rPr>
          <w:rFonts w:ascii="Arial" w:hAnsi="Arial" w:cs="Arial"/>
        </w:rPr>
        <w:t>artículo primero de la Resolución No. 2 de 2016</w:t>
      </w:r>
      <w:r w:rsidRPr="001858E0">
        <w:rPr>
          <w:rFonts w:ascii="Arial" w:hAnsi="Arial" w:cs="Arial"/>
        </w:rPr>
        <w:t xml:space="preserve">, </w:t>
      </w:r>
      <w:r w:rsidR="004C4342" w:rsidRPr="001858E0">
        <w:rPr>
          <w:rFonts w:ascii="Arial" w:hAnsi="Arial" w:cs="Arial"/>
        </w:rPr>
        <w:t>de la siguiente manera</w:t>
      </w:r>
      <w:r w:rsidRPr="001858E0">
        <w:rPr>
          <w:rFonts w:ascii="Arial" w:hAnsi="Arial" w:cs="Arial"/>
        </w:rPr>
        <w:t>:</w:t>
      </w:r>
    </w:p>
    <w:p w:rsidR="00A46B07" w:rsidRPr="001858E0" w:rsidRDefault="005626B0" w:rsidP="005626B0">
      <w:pPr>
        <w:autoSpaceDE w:val="0"/>
        <w:autoSpaceDN w:val="0"/>
        <w:adjustRightInd w:val="0"/>
        <w:spacing w:after="0" w:line="240" w:lineRule="auto"/>
        <w:jc w:val="both"/>
        <w:rPr>
          <w:rFonts w:ascii="Arial" w:hAnsi="Arial" w:cs="Arial"/>
          <w:i/>
        </w:rPr>
      </w:pPr>
      <w:r w:rsidRPr="001858E0">
        <w:rPr>
          <w:rFonts w:ascii="Arial" w:hAnsi="Arial" w:cs="Arial"/>
          <w:i/>
        </w:rPr>
        <w:t>“</w:t>
      </w:r>
      <w:r w:rsidR="00A46B07" w:rsidRPr="001858E0">
        <w:rPr>
          <w:rFonts w:ascii="Arial" w:hAnsi="Arial" w:cs="Arial"/>
          <w:b/>
          <w:i/>
        </w:rPr>
        <w:t>Artículo 1</w:t>
      </w:r>
      <w:r w:rsidR="00CB3DAD" w:rsidRPr="001858E0">
        <w:rPr>
          <w:rFonts w:ascii="Arial" w:hAnsi="Arial" w:cs="Arial"/>
          <w:b/>
          <w:i/>
        </w:rPr>
        <w:t>o</w:t>
      </w:r>
      <w:r w:rsidR="00A46B07" w:rsidRPr="001858E0">
        <w:rPr>
          <w:rFonts w:ascii="Arial" w:hAnsi="Arial" w:cs="Arial"/>
          <w:b/>
          <w:i/>
        </w:rPr>
        <w:t xml:space="preserve">. </w:t>
      </w:r>
      <w:r w:rsidR="00A46B07" w:rsidRPr="001858E0">
        <w:rPr>
          <w:rFonts w:ascii="Arial" w:hAnsi="Arial" w:cs="Arial"/>
          <w:b/>
          <w:i/>
          <w:iCs/>
        </w:rPr>
        <w:t xml:space="preserve">Operaciones que pueden ser garantizadas por el FAG. </w:t>
      </w:r>
      <w:r w:rsidR="00A46B07" w:rsidRPr="001858E0">
        <w:rPr>
          <w:rFonts w:ascii="Arial" w:hAnsi="Arial" w:cs="Arial"/>
          <w:i/>
        </w:rPr>
        <w:t>El Fondo Agropecuario de Garantías, FAG, como fondo especializado garantizará los créditos y microcréditos, que se otorguen a personas naturales o jurídicas, dirigidos a financiar proyectos del sector agropecuario y rural. Los intermediarios financieros deberán evaluar el riesgo crediticio de los créditos que vayan a ser garantizados por el FAG.</w:t>
      </w:r>
    </w:p>
    <w:p w:rsidR="00A46B07" w:rsidRPr="001858E0" w:rsidRDefault="00A46B07" w:rsidP="005626B0">
      <w:pPr>
        <w:autoSpaceDE w:val="0"/>
        <w:autoSpaceDN w:val="0"/>
        <w:adjustRightInd w:val="0"/>
        <w:spacing w:after="0" w:line="240" w:lineRule="auto"/>
        <w:jc w:val="both"/>
        <w:rPr>
          <w:rFonts w:ascii="Arial" w:hAnsi="Arial" w:cs="Arial"/>
          <w:i/>
        </w:rPr>
      </w:pPr>
    </w:p>
    <w:p w:rsidR="00A46B07" w:rsidRPr="001858E0" w:rsidRDefault="00A46B07" w:rsidP="005626B0">
      <w:pPr>
        <w:autoSpaceDE w:val="0"/>
        <w:autoSpaceDN w:val="0"/>
        <w:adjustRightInd w:val="0"/>
        <w:spacing w:after="0" w:line="240" w:lineRule="auto"/>
        <w:jc w:val="both"/>
        <w:rPr>
          <w:rFonts w:ascii="Arial" w:hAnsi="Arial" w:cs="Arial"/>
          <w:i/>
        </w:rPr>
      </w:pPr>
      <w:r w:rsidRPr="001858E0">
        <w:rPr>
          <w:rFonts w:ascii="Arial" w:hAnsi="Arial" w:cs="Arial"/>
          <w:i/>
        </w:rPr>
        <w:t xml:space="preserve">Previo convenio suscrito con la respectiva entidad, el FAG podrá respaldar proyectos agropecuarios financiados mediante operaciones realizadas a través de las bolsas de bienes y productos agropecuarios, agroindustriales y de otros commodities. Para este caso, FINAGRO </w:t>
      </w:r>
      <w:r w:rsidR="00553A8E" w:rsidRPr="001858E0">
        <w:rPr>
          <w:rFonts w:ascii="Arial" w:hAnsi="Arial" w:cs="Arial"/>
          <w:i/>
        </w:rPr>
        <w:t>expedirá</w:t>
      </w:r>
      <w:r w:rsidRPr="001858E0">
        <w:rPr>
          <w:rFonts w:ascii="Arial" w:hAnsi="Arial" w:cs="Arial"/>
          <w:i/>
        </w:rPr>
        <w:t xml:space="preserve"> </w:t>
      </w:r>
      <w:r w:rsidR="00553A8E" w:rsidRPr="001858E0">
        <w:rPr>
          <w:rFonts w:ascii="Arial" w:hAnsi="Arial" w:cs="Arial"/>
          <w:i/>
        </w:rPr>
        <w:t>el</w:t>
      </w:r>
      <w:r w:rsidRPr="001858E0">
        <w:rPr>
          <w:rFonts w:ascii="Arial" w:hAnsi="Arial" w:cs="Arial"/>
          <w:i/>
        </w:rPr>
        <w:t xml:space="preserve"> reglamento </w:t>
      </w:r>
      <w:r w:rsidR="00553A8E" w:rsidRPr="001858E0">
        <w:rPr>
          <w:rFonts w:ascii="Arial" w:hAnsi="Arial" w:cs="Arial"/>
          <w:i/>
        </w:rPr>
        <w:t xml:space="preserve">en donde se determinará </w:t>
      </w:r>
      <w:r w:rsidRPr="001858E0">
        <w:rPr>
          <w:rFonts w:ascii="Arial" w:hAnsi="Arial" w:cs="Arial"/>
          <w:i/>
        </w:rPr>
        <w:t xml:space="preserve">las condiciones de las </w:t>
      </w:r>
      <w:r w:rsidRPr="001858E0">
        <w:rPr>
          <w:rFonts w:ascii="Arial" w:hAnsi="Arial" w:cs="Arial"/>
          <w:i/>
        </w:rPr>
        <w:lastRenderedPageBreak/>
        <w:t>operaciones financieras susceptibles de ser garantizadas, las condiciones de su otorgamiento y pago, así como las condiciones operativas de las garantías, tales como porcentaje de cobertura, valores objeto de cobertura, trámite de las garantías, vigencia, acciones de control, valor de las comisiones y causales de no pago. Los porcentajes de cobertura y las tarifas, podrán ser definidos sin importar el tipo de persona garantizada.</w:t>
      </w:r>
    </w:p>
    <w:p w:rsidR="00A46B07" w:rsidRPr="001858E0" w:rsidRDefault="00A46B07" w:rsidP="005626B0">
      <w:pPr>
        <w:autoSpaceDE w:val="0"/>
        <w:autoSpaceDN w:val="0"/>
        <w:adjustRightInd w:val="0"/>
        <w:spacing w:after="0" w:line="240" w:lineRule="auto"/>
        <w:jc w:val="both"/>
        <w:rPr>
          <w:rFonts w:ascii="Arial" w:hAnsi="Arial" w:cs="Arial"/>
          <w:i/>
        </w:rPr>
      </w:pPr>
    </w:p>
    <w:p w:rsidR="00A46B07" w:rsidRPr="001858E0" w:rsidRDefault="00A46B07" w:rsidP="005626B0">
      <w:pPr>
        <w:autoSpaceDE w:val="0"/>
        <w:autoSpaceDN w:val="0"/>
        <w:adjustRightInd w:val="0"/>
        <w:spacing w:after="0" w:line="240" w:lineRule="auto"/>
        <w:jc w:val="both"/>
        <w:rPr>
          <w:rFonts w:ascii="Arial" w:hAnsi="Arial" w:cs="Arial"/>
          <w:i/>
        </w:rPr>
      </w:pPr>
      <w:r w:rsidRPr="001858E0">
        <w:rPr>
          <w:rFonts w:ascii="Arial" w:hAnsi="Arial" w:cs="Arial"/>
          <w:b/>
          <w:i/>
          <w:iCs/>
        </w:rPr>
        <w:t xml:space="preserve">Parágrafo </w:t>
      </w:r>
      <w:r w:rsidR="006F4E38" w:rsidRPr="001858E0">
        <w:rPr>
          <w:rFonts w:ascii="Arial" w:hAnsi="Arial" w:cs="Arial"/>
          <w:b/>
          <w:i/>
          <w:iCs/>
        </w:rPr>
        <w:t>primero</w:t>
      </w:r>
      <w:r w:rsidRPr="001858E0">
        <w:rPr>
          <w:rFonts w:ascii="Arial" w:hAnsi="Arial" w:cs="Arial"/>
          <w:b/>
          <w:i/>
          <w:iCs/>
        </w:rPr>
        <w:t xml:space="preserve">. </w:t>
      </w:r>
      <w:r w:rsidRPr="001858E0">
        <w:rPr>
          <w:rFonts w:ascii="Arial" w:hAnsi="Arial" w:cs="Arial"/>
          <w:i/>
        </w:rPr>
        <w:t>El FAG garantiza únicamente el capital y excepcionalmente los intereses correspondientes al periodo de gracia, en proyectos de inversión financiados con créditos en que al momento de su aprobación se hayan acordado la capitalización de intereses. En todo caso, para la normalización de créditos con capitalización de intereses, la renovación de garantías no podrá aumentar el valor en riesgo del FAG antes de la normalización.</w:t>
      </w:r>
    </w:p>
    <w:p w:rsidR="00A46B07" w:rsidRPr="001858E0" w:rsidRDefault="00A46B07" w:rsidP="0091211B">
      <w:pPr>
        <w:autoSpaceDE w:val="0"/>
        <w:autoSpaceDN w:val="0"/>
        <w:adjustRightInd w:val="0"/>
        <w:spacing w:after="0" w:line="240" w:lineRule="auto"/>
        <w:jc w:val="both"/>
        <w:rPr>
          <w:rFonts w:ascii="Arial" w:hAnsi="Arial" w:cs="Arial"/>
          <w:b/>
          <w:i/>
        </w:rPr>
      </w:pPr>
    </w:p>
    <w:p w:rsidR="00A46B07" w:rsidRPr="001858E0" w:rsidRDefault="00A46B07" w:rsidP="0091211B">
      <w:pPr>
        <w:autoSpaceDE w:val="0"/>
        <w:autoSpaceDN w:val="0"/>
        <w:adjustRightInd w:val="0"/>
        <w:spacing w:after="0" w:line="240" w:lineRule="auto"/>
        <w:jc w:val="both"/>
        <w:rPr>
          <w:rFonts w:ascii="Arial" w:hAnsi="Arial" w:cs="Arial"/>
          <w:i/>
        </w:rPr>
      </w:pPr>
      <w:r w:rsidRPr="001858E0">
        <w:rPr>
          <w:rFonts w:ascii="Arial" w:hAnsi="Arial" w:cs="Arial"/>
          <w:b/>
          <w:i/>
          <w:iCs/>
        </w:rPr>
        <w:t xml:space="preserve">Parágrafo </w:t>
      </w:r>
      <w:r w:rsidR="004C4342" w:rsidRPr="001858E0">
        <w:rPr>
          <w:rFonts w:ascii="Arial" w:hAnsi="Arial" w:cs="Arial"/>
          <w:b/>
          <w:i/>
          <w:iCs/>
        </w:rPr>
        <w:t>segundo</w:t>
      </w:r>
      <w:r w:rsidRPr="001858E0">
        <w:rPr>
          <w:rFonts w:ascii="Arial" w:hAnsi="Arial" w:cs="Arial"/>
          <w:i/>
          <w:iCs/>
        </w:rPr>
        <w:t xml:space="preserve">. </w:t>
      </w:r>
      <w:r w:rsidRPr="001858E0">
        <w:rPr>
          <w:rFonts w:ascii="Arial" w:hAnsi="Arial" w:cs="Arial"/>
          <w:i/>
        </w:rPr>
        <w:t>Podrán ser objeto de garantía FAG, los créditos para capitalización, compra y creación de empresas, siempre y cuando los socios de la empresa a capitalizar, comprar o crear, se obliguen solidariamente y pignoren los derechos accionarios o los aportes de capital a favor del intermediario financiero que otorgue el crédito.</w:t>
      </w:r>
    </w:p>
    <w:p w:rsidR="00A46B07" w:rsidRPr="001858E0" w:rsidRDefault="00A46B07" w:rsidP="0091211B">
      <w:pPr>
        <w:autoSpaceDE w:val="0"/>
        <w:autoSpaceDN w:val="0"/>
        <w:adjustRightInd w:val="0"/>
        <w:spacing w:after="0" w:line="240" w:lineRule="auto"/>
        <w:jc w:val="both"/>
        <w:rPr>
          <w:rFonts w:ascii="Arial" w:hAnsi="Arial" w:cs="Arial"/>
          <w:i/>
        </w:rPr>
      </w:pPr>
    </w:p>
    <w:p w:rsidR="00A46B07" w:rsidRPr="001858E0" w:rsidRDefault="00A46B07" w:rsidP="005626B0">
      <w:pPr>
        <w:autoSpaceDE w:val="0"/>
        <w:autoSpaceDN w:val="0"/>
        <w:adjustRightInd w:val="0"/>
        <w:spacing w:after="0" w:line="240" w:lineRule="auto"/>
        <w:jc w:val="both"/>
        <w:rPr>
          <w:rFonts w:ascii="Arial" w:hAnsi="Arial" w:cs="Arial"/>
          <w:b/>
          <w:i/>
        </w:rPr>
      </w:pPr>
      <w:r w:rsidRPr="001858E0">
        <w:rPr>
          <w:rFonts w:ascii="Arial" w:hAnsi="Arial" w:cs="Arial"/>
          <w:b/>
          <w:i/>
          <w:iCs/>
        </w:rPr>
        <w:t xml:space="preserve">Parágrafo </w:t>
      </w:r>
      <w:r w:rsidR="004C4342" w:rsidRPr="001858E0">
        <w:rPr>
          <w:rFonts w:ascii="Arial" w:hAnsi="Arial" w:cs="Arial"/>
          <w:b/>
          <w:i/>
          <w:iCs/>
        </w:rPr>
        <w:t>tercero</w:t>
      </w:r>
      <w:r w:rsidRPr="001858E0">
        <w:rPr>
          <w:rFonts w:ascii="Arial" w:hAnsi="Arial" w:cs="Arial"/>
          <w:i/>
          <w:iCs/>
        </w:rPr>
        <w:t xml:space="preserve">. </w:t>
      </w:r>
      <w:r w:rsidRPr="001858E0">
        <w:rPr>
          <w:rFonts w:ascii="Arial" w:hAnsi="Arial" w:cs="Arial"/>
          <w:i/>
        </w:rPr>
        <w:t>Podrán ser objeto de garantía FAG, los créditos destinados a</w:t>
      </w:r>
      <w:r w:rsidR="001A421A" w:rsidRPr="001858E0">
        <w:rPr>
          <w:rFonts w:ascii="Arial" w:hAnsi="Arial" w:cs="Arial"/>
          <w:i/>
        </w:rPr>
        <w:t xml:space="preserve"> financiar</w:t>
      </w:r>
      <w:r w:rsidR="001A421A" w:rsidRPr="001858E0">
        <w:t xml:space="preserve"> </w:t>
      </w:r>
      <w:r w:rsidR="00A561A3" w:rsidRPr="001858E0">
        <w:rPr>
          <w:rFonts w:ascii="Arial" w:hAnsi="Arial" w:cs="Arial"/>
          <w:iCs/>
        </w:rPr>
        <w:t xml:space="preserve">proyectos del sector agropecuario, pesquero, de la acuicultura, forestal, </w:t>
      </w:r>
      <w:r w:rsidR="00A561A3" w:rsidRPr="001858E0">
        <w:rPr>
          <w:rFonts w:ascii="Arial" w:hAnsi="Arial" w:cs="Arial"/>
        </w:rPr>
        <w:t xml:space="preserve">y </w:t>
      </w:r>
      <w:r w:rsidR="00A561A3" w:rsidRPr="001858E0">
        <w:rPr>
          <w:rFonts w:ascii="Arial" w:hAnsi="Arial" w:cs="Arial"/>
          <w:iCs/>
        </w:rPr>
        <w:t>rural en general en condiciones de mercado, que corresponden a aquellas operaciones de crédito que no cumplen con las condiciones establecidas por la Comisión Nacional de Crédito y las reglamentaciones correspondientes para su redescuento ni validación como cartera sustitutiva ante FINAGRO, pero que se registran como “</w:t>
      </w:r>
      <w:r w:rsidR="00A561A3" w:rsidRPr="001858E0">
        <w:rPr>
          <w:rFonts w:ascii="Arial" w:hAnsi="Arial" w:cs="Arial"/>
          <w:i/>
          <w:iCs/>
        </w:rPr>
        <w:t>otra cartera agropecuaria en condiciones de mercado</w:t>
      </w:r>
      <w:r w:rsidR="00A561A3" w:rsidRPr="001858E0">
        <w:rPr>
          <w:rFonts w:ascii="Arial" w:hAnsi="Arial" w:cs="Arial"/>
          <w:iCs/>
        </w:rPr>
        <w:t xml:space="preserve">”. </w:t>
      </w:r>
      <w:r w:rsidRPr="001858E0">
        <w:rPr>
          <w:rFonts w:ascii="Arial" w:hAnsi="Arial" w:cs="Arial"/>
          <w:i/>
        </w:rPr>
        <w:t xml:space="preserve">Tendrán acceso a esta alternativa únicamente los pequeños y medianos productores que </w:t>
      </w:r>
      <w:r w:rsidR="006F227A" w:rsidRPr="001858E0">
        <w:rPr>
          <w:rFonts w:ascii="Arial" w:hAnsi="Arial" w:cs="Arial"/>
          <w:i/>
        </w:rPr>
        <w:t xml:space="preserve">en los últimos cinco (5) años </w:t>
      </w:r>
      <w:r w:rsidRPr="001858E0">
        <w:rPr>
          <w:rFonts w:ascii="Arial" w:hAnsi="Arial" w:cs="Arial"/>
          <w:i/>
        </w:rPr>
        <w:t xml:space="preserve">no hayan accedido a crédito </w:t>
      </w:r>
      <w:r w:rsidR="00C86AFE" w:rsidRPr="001858E0">
        <w:rPr>
          <w:rFonts w:ascii="Arial" w:hAnsi="Arial" w:cs="Arial"/>
          <w:i/>
        </w:rPr>
        <w:t xml:space="preserve">en </w:t>
      </w:r>
      <w:r w:rsidR="000F70DB" w:rsidRPr="001858E0">
        <w:rPr>
          <w:rFonts w:ascii="Arial" w:hAnsi="Arial" w:cs="Arial"/>
          <w:i/>
        </w:rPr>
        <w:t xml:space="preserve">condiciones </w:t>
      </w:r>
      <w:r w:rsidR="00C86AFE" w:rsidRPr="001858E0">
        <w:rPr>
          <w:rFonts w:ascii="Arial" w:hAnsi="Arial" w:cs="Arial"/>
          <w:i/>
        </w:rPr>
        <w:t>FINAGRO</w:t>
      </w:r>
      <w:r w:rsidR="005626B0" w:rsidRPr="001858E0">
        <w:rPr>
          <w:rFonts w:ascii="Arial" w:hAnsi="Arial" w:cs="Arial"/>
          <w:i/>
        </w:rPr>
        <w:t>”</w:t>
      </w:r>
      <w:r w:rsidRPr="001858E0">
        <w:rPr>
          <w:rFonts w:ascii="Arial" w:hAnsi="Arial" w:cs="Arial"/>
          <w:i/>
        </w:rPr>
        <w:t>.</w:t>
      </w:r>
    </w:p>
    <w:p w:rsidR="00A01BD5" w:rsidRPr="001858E0" w:rsidRDefault="00A01BD5" w:rsidP="005626B0">
      <w:pPr>
        <w:pStyle w:val="Textoindependiente3"/>
        <w:spacing w:after="0" w:line="0" w:lineRule="atLeast"/>
        <w:jc w:val="center"/>
        <w:rPr>
          <w:b/>
          <w:snapToGrid w:val="0"/>
          <w:sz w:val="22"/>
          <w:szCs w:val="22"/>
        </w:rPr>
      </w:pPr>
    </w:p>
    <w:p w:rsidR="00222AFB" w:rsidRPr="001858E0" w:rsidRDefault="0034619A" w:rsidP="0091211B">
      <w:pPr>
        <w:pStyle w:val="Textoindependiente3"/>
        <w:spacing w:after="0" w:line="0" w:lineRule="atLeast"/>
        <w:jc w:val="center"/>
        <w:rPr>
          <w:b/>
          <w:snapToGrid w:val="0"/>
          <w:sz w:val="22"/>
          <w:szCs w:val="22"/>
        </w:rPr>
      </w:pPr>
      <w:r w:rsidRPr="001858E0">
        <w:rPr>
          <w:b/>
          <w:snapToGrid w:val="0"/>
          <w:sz w:val="22"/>
          <w:szCs w:val="22"/>
        </w:rPr>
        <w:t>CAP</w:t>
      </w:r>
      <w:r w:rsidR="009F2928" w:rsidRPr="001858E0">
        <w:rPr>
          <w:b/>
          <w:snapToGrid w:val="0"/>
          <w:sz w:val="22"/>
          <w:szCs w:val="22"/>
        </w:rPr>
        <w:t>Í</w:t>
      </w:r>
      <w:r w:rsidRPr="001858E0">
        <w:rPr>
          <w:b/>
          <w:snapToGrid w:val="0"/>
          <w:sz w:val="22"/>
          <w:szCs w:val="22"/>
        </w:rPr>
        <w:t xml:space="preserve">TULO </w:t>
      </w:r>
      <w:r w:rsidR="00EA3159" w:rsidRPr="001858E0">
        <w:rPr>
          <w:b/>
          <w:snapToGrid w:val="0"/>
          <w:sz w:val="22"/>
          <w:szCs w:val="22"/>
        </w:rPr>
        <w:t xml:space="preserve">QUINTO </w:t>
      </w:r>
    </w:p>
    <w:p w:rsidR="0034619A" w:rsidRPr="001858E0" w:rsidRDefault="0034619A" w:rsidP="0091211B">
      <w:pPr>
        <w:pStyle w:val="Textoindependiente3"/>
        <w:spacing w:after="0" w:line="0" w:lineRule="atLeast"/>
        <w:jc w:val="center"/>
        <w:rPr>
          <w:b/>
          <w:snapToGrid w:val="0"/>
          <w:sz w:val="22"/>
          <w:szCs w:val="22"/>
        </w:rPr>
      </w:pPr>
      <w:r w:rsidRPr="001858E0">
        <w:rPr>
          <w:b/>
          <w:snapToGrid w:val="0"/>
          <w:sz w:val="22"/>
          <w:szCs w:val="22"/>
        </w:rPr>
        <w:t xml:space="preserve"> REGLAMENTACIÓN </w:t>
      </w:r>
      <w:r w:rsidR="00222AFB" w:rsidRPr="001858E0">
        <w:rPr>
          <w:b/>
          <w:snapToGrid w:val="0"/>
          <w:sz w:val="22"/>
          <w:szCs w:val="22"/>
        </w:rPr>
        <w:t>Y</w:t>
      </w:r>
      <w:r w:rsidRPr="001858E0">
        <w:rPr>
          <w:b/>
          <w:snapToGrid w:val="0"/>
          <w:sz w:val="22"/>
          <w:szCs w:val="22"/>
        </w:rPr>
        <w:t xml:space="preserve"> VIGENCIA </w:t>
      </w:r>
    </w:p>
    <w:p w:rsidR="00222AFB" w:rsidRPr="001858E0" w:rsidRDefault="00222AFB" w:rsidP="0091211B">
      <w:pPr>
        <w:pStyle w:val="Textoindependiente3"/>
        <w:spacing w:after="0" w:line="0" w:lineRule="atLeast"/>
        <w:jc w:val="center"/>
        <w:rPr>
          <w:b/>
          <w:snapToGrid w:val="0"/>
        </w:rPr>
      </w:pPr>
    </w:p>
    <w:p w:rsidR="0034619A" w:rsidRPr="001858E0" w:rsidRDefault="0034619A" w:rsidP="0091211B">
      <w:pPr>
        <w:spacing w:line="240" w:lineRule="auto"/>
        <w:jc w:val="both"/>
        <w:rPr>
          <w:rFonts w:ascii="Arial" w:hAnsi="Arial" w:cs="Arial"/>
        </w:rPr>
      </w:pPr>
      <w:r w:rsidRPr="001858E0">
        <w:rPr>
          <w:rFonts w:ascii="Arial" w:hAnsi="Arial" w:cs="Arial"/>
          <w:b/>
        </w:rPr>
        <w:t xml:space="preserve">Artículo </w:t>
      </w:r>
      <w:r w:rsidR="00196FD9" w:rsidRPr="001858E0">
        <w:rPr>
          <w:rFonts w:ascii="Arial" w:hAnsi="Arial" w:cs="Arial"/>
          <w:b/>
        </w:rPr>
        <w:t>6</w:t>
      </w:r>
      <w:r w:rsidR="00DA5786" w:rsidRPr="001858E0">
        <w:rPr>
          <w:rFonts w:ascii="Arial" w:hAnsi="Arial" w:cs="Arial"/>
          <w:b/>
        </w:rPr>
        <w:t>o</w:t>
      </w:r>
      <w:r w:rsidRPr="001858E0">
        <w:rPr>
          <w:rFonts w:ascii="Arial" w:hAnsi="Arial" w:cs="Arial"/>
          <w:b/>
        </w:rPr>
        <w:t xml:space="preserve">. </w:t>
      </w:r>
      <w:r w:rsidRPr="001858E0">
        <w:rPr>
          <w:rFonts w:ascii="Arial" w:hAnsi="Arial" w:cs="Arial"/>
        </w:rPr>
        <w:t xml:space="preserve">FINAGRO </w:t>
      </w:r>
      <w:r w:rsidR="00A319A9" w:rsidRPr="001858E0">
        <w:rPr>
          <w:rFonts w:ascii="Arial" w:hAnsi="Arial" w:cs="Arial"/>
        </w:rPr>
        <w:t>adoptará</w:t>
      </w:r>
      <w:r w:rsidRPr="001858E0">
        <w:rPr>
          <w:rFonts w:ascii="Arial" w:hAnsi="Arial" w:cs="Arial"/>
        </w:rPr>
        <w:t xml:space="preserve"> los procedimientos y medidas necesarias para el desarrollo de la presente </w:t>
      </w:r>
      <w:r w:rsidR="009F2928" w:rsidRPr="001858E0">
        <w:rPr>
          <w:rFonts w:ascii="Arial" w:hAnsi="Arial" w:cs="Arial"/>
        </w:rPr>
        <w:t>resolución</w:t>
      </w:r>
      <w:r w:rsidRPr="001858E0">
        <w:rPr>
          <w:rFonts w:ascii="Arial" w:hAnsi="Arial" w:cs="Arial"/>
        </w:rPr>
        <w:t xml:space="preserve">. </w:t>
      </w:r>
    </w:p>
    <w:p w:rsidR="007D1FA2" w:rsidRPr="001858E0" w:rsidRDefault="007D1FA2" w:rsidP="007D1FA2">
      <w:pPr>
        <w:spacing w:line="240" w:lineRule="auto"/>
        <w:jc w:val="both"/>
        <w:rPr>
          <w:rFonts w:ascii="Arial" w:hAnsi="Arial" w:cs="Arial"/>
        </w:rPr>
      </w:pPr>
      <w:r w:rsidRPr="001858E0">
        <w:rPr>
          <w:rFonts w:ascii="Arial" w:hAnsi="Arial" w:cs="Arial"/>
          <w:b/>
        </w:rPr>
        <w:t>Artículo 7</w:t>
      </w:r>
      <w:r w:rsidR="00DA5786" w:rsidRPr="001858E0">
        <w:rPr>
          <w:rFonts w:ascii="Arial" w:hAnsi="Arial" w:cs="Arial"/>
          <w:b/>
        </w:rPr>
        <w:t>o</w:t>
      </w:r>
      <w:r w:rsidRPr="001858E0">
        <w:rPr>
          <w:rFonts w:ascii="Arial" w:hAnsi="Arial" w:cs="Arial"/>
          <w:b/>
        </w:rPr>
        <w:t xml:space="preserve">. </w:t>
      </w:r>
      <w:r w:rsidRPr="001858E0">
        <w:rPr>
          <w:rFonts w:ascii="Arial" w:hAnsi="Arial" w:cs="Arial"/>
        </w:rPr>
        <w:t xml:space="preserve">La presente resolución rige a partir de la fecha de su publicación en el Diario Oficial, y sus efectos aplicarán a partir </w:t>
      </w:r>
      <w:r w:rsidR="00E75B5F" w:rsidRPr="001858E0">
        <w:rPr>
          <w:rFonts w:ascii="Arial" w:hAnsi="Arial" w:cs="Arial"/>
        </w:rPr>
        <w:t>de la fecha en que FINAGR</w:t>
      </w:r>
      <w:r w:rsidR="00994464" w:rsidRPr="001858E0">
        <w:rPr>
          <w:rFonts w:ascii="Arial" w:hAnsi="Arial" w:cs="Arial"/>
        </w:rPr>
        <w:t>O</w:t>
      </w:r>
      <w:r w:rsidR="00E75B5F" w:rsidRPr="001858E0">
        <w:rPr>
          <w:rFonts w:ascii="Arial" w:hAnsi="Arial" w:cs="Arial"/>
        </w:rPr>
        <w:t xml:space="preserve"> expida la circular </w:t>
      </w:r>
      <w:r w:rsidR="0005035E" w:rsidRPr="001858E0">
        <w:rPr>
          <w:rFonts w:ascii="Arial" w:hAnsi="Arial" w:cs="Arial"/>
        </w:rPr>
        <w:t xml:space="preserve">reglamentaria </w:t>
      </w:r>
      <w:r w:rsidR="00E75B5F" w:rsidRPr="001858E0">
        <w:rPr>
          <w:rFonts w:ascii="Arial" w:hAnsi="Arial" w:cs="Arial"/>
        </w:rPr>
        <w:t>correspondiente</w:t>
      </w:r>
      <w:r w:rsidRPr="001858E0">
        <w:rPr>
          <w:rFonts w:ascii="Arial" w:hAnsi="Arial" w:cs="Arial"/>
        </w:rPr>
        <w:t xml:space="preserve">. </w:t>
      </w:r>
    </w:p>
    <w:p w:rsidR="00585D42" w:rsidRPr="001858E0" w:rsidRDefault="00585D42" w:rsidP="00585D42">
      <w:pPr>
        <w:spacing w:after="0" w:line="0" w:lineRule="atLeast"/>
        <w:jc w:val="both"/>
        <w:rPr>
          <w:rFonts w:ascii="Arial" w:hAnsi="Arial" w:cs="Arial"/>
        </w:rPr>
      </w:pPr>
      <w:r w:rsidRPr="001858E0">
        <w:rPr>
          <w:rFonts w:ascii="Arial" w:hAnsi="Arial" w:cs="Arial"/>
          <w:b/>
          <w:color w:val="000000" w:themeColor="text1"/>
        </w:rPr>
        <w:t>Artículo 8</w:t>
      </w:r>
      <w:r w:rsidR="00DA5786" w:rsidRPr="001858E0">
        <w:rPr>
          <w:rFonts w:ascii="Arial" w:hAnsi="Arial" w:cs="Arial"/>
          <w:b/>
          <w:color w:val="000000" w:themeColor="text1"/>
        </w:rPr>
        <w:t>o</w:t>
      </w:r>
      <w:r w:rsidRPr="001858E0">
        <w:rPr>
          <w:rFonts w:ascii="Arial" w:hAnsi="Arial" w:cs="Arial"/>
          <w:b/>
          <w:color w:val="000000" w:themeColor="text1"/>
        </w:rPr>
        <w:t>.</w:t>
      </w:r>
      <w:r w:rsidRPr="001858E0">
        <w:rPr>
          <w:rFonts w:ascii="Arial" w:hAnsi="Arial" w:cs="Arial"/>
          <w:color w:val="000000" w:themeColor="text1"/>
        </w:rPr>
        <w:t xml:space="preserve"> Los términos y condici</w:t>
      </w:r>
      <w:r w:rsidR="00A319A9" w:rsidRPr="001858E0">
        <w:rPr>
          <w:rFonts w:ascii="Arial" w:hAnsi="Arial" w:cs="Arial"/>
          <w:color w:val="000000" w:themeColor="text1"/>
        </w:rPr>
        <w:t>ones establecidas en las demás r</w:t>
      </w:r>
      <w:r w:rsidRPr="001858E0">
        <w:rPr>
          <w:rFonts w:ascii="Arial" w:hAnsi="Arial" w:cs="Arial"/>
          <w:color w:val="000000" w:themeColor="text1"/>
        </w:rPr>
        <w:t>esoluciones de esta Comisión permanecerán inalterados y conservarán todo su vigor y efecto, en cuanto no se opongan a</w:t>
      </w:r>
      <w:r w:rsidR="00A319A9" w:rsidRPr="001858E0">
        <w:rPr>
          <w:rFonts w:ascii="Arial" w:hAnsi="Arial" w:cs="Arial"/>
          <w:color w:val="000000" w:themeColor="text1"/>
        </w:rPr>
        <w:t xml:space="preserve"> lo establecido en la presente r</w:t>
      </w:r>
      <w:r w:rsidRPr="001858E0">
        <w:rPr>
          <w:rFonts w:ascii="Arial" w:hAnsi="Arial" w:cs="Arial"/>
          <w:color w:val="000000" w:themeColor="text1"/>
        </w:rPr>
        <w:t>esolución.</w:t>
      </w:r>
    </w:p>
    <w:p w:rsidR="007D1FA2" w:rsidRPr="001858E0" w:rsidRDefault="007D1FA2" w:rsidP="007D1FA2">
      <w:pPr>
        <w:spacing w:line="240" w:lineRule="auto"/>
        <w:jc w:val="both"/>
        <w:rPr>
          <w:rFonts w:ascii="Arial" w:hAnsi="Arial" w:cs="Arial"/>
        </w:rPr>
      </w:pPr>
    </w:p>
    <w:p w:rsidR="0034619A" w:rsidRPr="001858E0" w:rsidRDefault="0034619A" w:rsidP="007D1FA2">
      <w:pPr>
        <w:autoSpaceDE w:val="0"/>
        <w:autoSpaceDN w:val="0"/>
        <w:adjustRightInd w:val="0"/>
        <w:spacing w:line="0" w:lineRule="atLeast"/>
        <w:jc w:val="both"/>
        <w:rPr>
          <w:rFonts w:ascii="Arial" w:hAnsi="Arial" w:cs="Arial"/>
        </w:rPr>
      </w:pPr>
      <w:r w:rsidRPr="001858E0">
        <w:rPr>
          <w:rFonts w:ascii="Arial" w:hAnsi="Arial" w:cs="Arial"/>
        </w:rPr>
        <w:t xml:space="preserve">Dada en Bogotá D.C., a los </w:t>
      </w:r>
      <w:r w:rsidR="00661792" w:rsidRPr="001858E0">
        <w:rPr>
          <w:rFonts w:ascii="Arial" w:hAnsi="Arial" w:cs="Arial"/>
        </w:rPr>
        <w:t>catorce (14)</w:t>
      </w:r>
      <w:r w:rsidRPr="001858E0">
        <w:rPr>
          <w:rFonts w:ascii="Arial" w:hAnsi="Arial" w:cs="Arial"/>
        </w:rPr>
        <w:t xml:space="preserve"> días del mes de </w:t>
      </w:r>
      <w:r w:rsidR="00661792" w:rsidRPr="001858E0">
        <w:rPr>
          <w:rFonts w:ascii="Arial" w:hAnsi="Arial" w:cs="Arial"/>
        </w:rPr>
        <w:t>diciembre</w:t>
      </w:r>
      <w:r w:rsidRPr="001858E0">
        <w:rPr>
          <w:rFonts w:ascii="Arial" w:hAnsi="Arial" w:cs="Arial"/>
        </w:rPr>
        <w:t xml:space="preserve"> de </w:t>
      </w:r>
      <w:r w:rsidR="00661792" w:rsidRPr="001858E0">
        <w:rPr>
          <w:rFonts w:ascii="Arial" w:hAnsi="Arial" w:cs="Arial"/>
        </w:rPr>
        <w:t>2018</w:t>
      </w:r>
      <w:r w:rsidRPr="001858E0">
        <w:rPr>
          <w:rFonts w:ascii="Arial" w:hAnsi="Arial" w:cs="Arial"/>
        </w:rPr>
        <w:t>.</w:t>
      </w:r>
    </w:p>
    <w:p w:rsidR="0034619A" w:rsidRPr="001858E0" w:rsidRDefault="0034619A" w:rsidP="00994464">
      <w:pPr>
        <w:autoSpaceDE w:val="0"/>
        <w:autoSpaceDN w:val="0"/>
        <w:adjustRightInd w:val="0"/>
        <w:spacing w:line="0" w:lineRule="atLeast"/>
        <w:jc w:val="both"/>
        <w:rPr>
          <w:rFonts w:ascii="Arial" w:hAnsi="Arial" w:cs="Arial"/>
        </w:rPr>
      </w:pPr>
    </w:p>
    <w:p w:rsidR="0034619A" w:rsidRPr="001858E0" w:rsidRDefault="0034619A" w:rsidP="0091211B">
      <w:pPr>
        <w:spacing w:after="0" w:line="240" w:lineRule="auto"/>
        <w:jc w:val="both"/>
        <w:rPr>
          <w:rFonts w:ascii="Arial" w:hAnsi="Arial" w:cs="Arial"/>
          <w:bCs/>
        </w:rPr>
      </w:pPr>
    </w:p>
    <w:p w:rsidR="00B05E7B" w:rsidRPr="001858E0" w:rsidRDefault="00A9337D" w:rsidP="0091211B">
      <w:pPr>
        <w:spacing w:after="0"/>
        <w:rPr>
          <w:rFonts w:ascii="Arial" w:hAnsi="Arial" w:cs="Arial"/>
          <w:b/>
        </w:rPr>
      </w:pPr>
      <w:r w:rsidRPr="001858E0">
        <w:rPr>
          <w:rFonts w:ascii="Arial" w:hAnsi="Arial" w:cs="Arial"/>
          <w:b/>
        </w:rPr>
        <w:t>ANDRÉS VALENCIA PINZÓN</w:t>
      </w:r>
      <w:r w:rsidR="0034619A" w:rsidRPr="001858E0">
        <w:rPr>
          <w:rFonts w:ascii="Arial" w:hAnsi="Arial" w:cs="Arial"/>
        </w:rPr>
        <w:tab/>
      </w:r>
      <w:r w:rsidR="002C46C8" w:rsidRPr="001858E0">
        <w:rPr>
          <w:rFonts w:ascii="Arial" w:hAnsi="Arial" w:cs="Arial"/>
        </w:rPr>
        <w:t xml:space="preserve">              </w:t>
      </w:r>
      <w:r w:rsidR="00B05E7B" w:rsidRPr="001858E0">
        <w:rPr>
          <w:rFonts w:ascii="Arial" w:hAnsi="Arial" w:cs="Arial"/>
        </w:rPr>
        <w:tab/>
      </w:r>
      <w:r w:rsidR="00581426" w:rsidRPr="001858E0">
        <w:rPr>
          <w:rFonts w:ascii="Arial" w:hAnsi="Arial" w:cs="Arial"/>
        </w:rPr>
        <w:t xml:space="preserve">     </w:t>
      </w:r>
      <w:r w:rsidRPr="001858E0">
        <w:rPr>
          <w:rFonts w:ascii="Arial" w:hAnsi="Arial" w:cs="Arial"/>
          <w:b/>
        </w:rPr>
        <w:t xml:space="preserve">CLAUDIA </w:t>
      </w:r>
      <w:r w:rsidR="00B05E7B" w:rsidRPr="001858E0">
        <w:rPr>
          <w:rFonts w:ascii="Arial" w:hAnsi="Arial" w:cs="Arial"/>
          <w:b/>
        </w:rPr>
        <w:t>ACOSTA ECHEVERRÍA</w:t>
      </w:r>
    </w:p>
    <w:p w:rsidR="0034619A" w:rsidRDefault="0034619A" w:rsidP="00581426">
      <w:pPr>
        <w:spacing w:after="0"/>
        <w:rPr>
          <w:rFonts w:ascii="Arial" w:hAnsi="Arial" w:cs="Arial"/>
        </w:rPr>
      </w:pPr>
      <w:r w:rsidRPr="001858E0">
        <w:rPr>
          <w:rFonts w:ascii="Arial" w:hAnsi="Arial" w:cs="Arial"/>
        </w:rPr>
        <w:t>Presidente</w:t>
      </w:r>
      <w:r w:rsidRPr="001858E0">
        <w:rPr>
          <w:rFonts w:ascii="Arial" w:hAnsi="Arial" w:cs="Arial"/>
        </w:rPr>
        <w:tab/>
      </w:r>
      <w:r w:rsidRPr="001858E0">
        <w:rPr>
          <w:rFonts w:ascii="Arial" w:hAnsi="Arial" w:cs="Arial"/>
        </w:rPr>
        <w:tab/>
      </w:r>
      <w:r w:rsidRPr="001858E0">
        <w:rPr>
          <w:rFonts w:ascii="Arial" w:hAnsi="Arial" w:cs="Arial"/>
        </w:rPr>
        <w:tab/>
      </w:r>
      <w:r w:rsidRPr="001858E0">
        <w:rPr>
          <w:rFonts w:ascii="Arial" w:hAnsi="Arial" w:cs="Arial"/>
        </w:rPr>
        <w:tab/>
      </w:r>
      <w:r w:rsidR="002C46C8" w:rsidRPr="001858E0">
        <w:rPr>
          <w:rFonts w:ascii="Arial" w:hAnsi="Arial" w:cs="Arial"/>
        </w:rPr>
        <w:t xml:space="preserve">            </w:t>
      </w:r>
      <w:r w:rsidRPr="001858E0">
        <w:rPr>
          <w:rFonts w:ascii="Arial" w:hAnsi="Arial" w:cs="Arial"/>
        </w:rPr>
        <w:tab/>
      </w:r>
      <w:r w:rsidR="00581426" w:rsidRPr="001858E0">
        <w:rPr>
          <w:rFonts w:ascii="Arial" w:hAnsi="Arial" w:cs="Arial"/>
        </w:rPr>
        <w:t xml:space="preserve">     </w:t>
      </w:r>
      <w:r w:rsidRPr="001858E0">
        <w:rPr>
          <w:rFonts w:ascii="Arial" w:hAnsi="Arial" w:cs="Arial"/>
        </w:rPr>
        <w:t>Secretari</w:t>
      </w:r>
      <w:r w:rsidR="00661792" w:rsidRPr="001858E0">
        <w:rPr>
          <w:rFonts w:ascii="Arial" w:hAnsi="Arial" w:cs="Arial"/>
        </w:rPr>
        <w:t>a</w:t>
      </w:r>
      <w:r w:rsidR="005626B0" w:rsidRPr="001858E0">
        <w:rPr>
          <w:rFonts w:ascii="Arial" w:hAnsi="Arial" w:cs="Arial"/>
        </w:rPr>
        <w:t xml:space="preserve"> Técnic</w:t>
      </w:r>
      <w:r w:rsidR="00B63BF0" w:rsidRPr="001858E0">
        <w:rPr>
          <w:rFonts w:ascii="Arial" w:hAnsi="Arial" w:cs="Arial"/>
        </w:rPr>
        <w:t>a</w:t>
      </w:r>
      <w:r w:rsidR="005626B0" w:rsidRPr="001858E0">
        <w:rPr>
          <w:rFonts w:ascii="Arial" w:hAnsi="Arial" w:cs="Arial"/>
        </w:rPr>
        <w:t xml:space="preserve"> (E)</w:t>
      </w:r>
      <w:bookmarkStart w:id="1" w:name="_GoBack"/>
      <w:bookmarkEnd w:id="1"/>
    </w:p>
    <w:p w:rsidR="00024D1A" w:rsidRDefault="00024D1A" w:rsidP="005626B0"/>
    <w:sectPr w:rsidR="00024D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CA" w:rsidRDefault="009311CA" w:rsidP="00A561A3">
      <w:pPr>
        <w:spacing w:after="0" w:line="240" w:lineRule="auto"/>
      </w:pPr>
      <w:r>
        <w:separator/>
      </w:r>
    </w:p>
  </w:endnote>
  <w:endnote w:type="continuationSeparator" w:id="0">
    <w:p w:rsidR="009311CA" w:rsidRDefault="009311CA" w:rsidP="00A5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CA" w:rsidRDefault="009311CA" w:rsidP="00A561A3">
      <w:pPr>
        <w:spacing w:after="0" w:line="240" w:lineRule="auto"/>
      </w:pPr>
      <w:r>
        <w:separator/>
      </w:r>
    </w:p>
  </w:footnote>
  <w:footnote w:type="continuationSeparator" w:id="0">
    <w:p w:rsidR="009311CA" w:rsidRDefault="009311CA" w:rsidP="00A56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089A"/>
    <w:multiLevelType w:val="hybridMultilevel"/>
    <w:tmpl w:val="FF4A3FEC"/>
    <w:lvl w:ilvl="0" w:tplc="240A000F">
      <w:start w:val="1"/>
      <w:numFmt w:val="decimal"/>
      <w:lvlText w:val="%1."/>
      <w:lvlJc w:val="left"/>
      <w:pPr>
        <w:ind w:left="2586" w:hanging="360"/>
      </w:pPr>
    </w:lvl>
    <w:lvl w:ilvl="1" w:tplc="240A0019" w:tentative="1">
      <w:start w:val="1"/>
      <w:numFmt w:val="lowerLetter"/>
      <w:lvlText w:val="%2."/>
      <w:lvlJc w:val="left"/>
      <w:pPr>
        <w:ind w:left="3306" w:hanging="360"/>
      </w:pPr>
    </w:lvl>
    <w:lvl w:ilvl="2" w:tplc="240A001B" w:tentative="1">
      <w:start w:val="1"/>
      <w:numFmt w:val="lowerRoman"/>
      <w:lvlText w:val="%3."/>
      <w:lvlJc w:val="right"/>
      <w:pPr>
        <w:ind w:left="4026" w:hanging="180"/>
      </w:pPr>
    </w:lvl>
    <w:lvl w:ilvl="3" w:tplc="240A000F" w:tentative="1">
      <w:start w:val="1"/>
      <w:numFmt w:val="decimal"/>
      <w:lvlText w:val="%4."/>
      <w:lvlJc w:val="left"/>
      <w:pPr>
        <w:ind w:left="4746" w:hanging="360"/>
      </w:pPr>
    </w:lvl>
    <w:lvl w:ilvl="4" w:tplc="240A0019" w:tentative="1">
      <w:start w:val="1"/>
      <w:numFmt w:val="lowerLetter"/>
      <w:lvlText w:val="%5."/>
      <w:lvlJc w:val="left"/>
      <w:pPr>
        <w:ind w:left="5466" w:hanging="360"/>
      </w:pPr>
    </w:lvl>
    <w:lvl w:ilvl="5" w:tplc="240A001B" w:tentative="1">
      <w:start w:val="1"/>
      <w:numFmt w:val="lowerRoman"/>
      <w:lvlText w:val="%6."/>
      <w:lvlJc w:val="right"/>
      <w:pPr>
        <w:ind w:left="6186" w:hanging="180"/>
      </w:pPr>
    </w:lvl>
    <w:lvl w:ilvl="6" w:tplc="240A000F" w:tentative="1">
      <w:start w:val="1"/>
      <w:numFmt w:val="decimal"/>
      <w:lvlText w:val="%7."/>
      <w:lvlJc w:val="left"/>
      <w:pPr>
        <w:ind w:left="6906" w:hanging="360"/>
      </w:pPr>
    </w:lvl>
    <w:lvl w:ilvl="7" w:tplc="240A0019" w:tentative="1">
      <w:start w:val="1"/>
      <w:numFmt w:val="lowerLetter"/>
      <w:lvlText w:val="%8."/>
      <w:lvlJc w:val="left"/>
      <w:pPr>
        <w:ind w:left="7626" w:hanging="360"/>
      </w:pPr>
    </w:lvl>
    <w:lvl w:ilvl="8" w:tplc="240A001B" w:tentative="1">
      <w:start w:val="1"/>
      <w:numFmt w:val="lowerRoman"/>
      <w:lvlText w:val="%9."/>
      <w:lvlJc w:val="right"/>
      <w:pPr>
        <w:ind w:left="8346" w:hanging="180"/>
      </w:pPr>
    </w:lvl>
  </w:abstractNum>
  <w:abstractNum w:abstractNumId="1" w15:restartNumberingAfterBreak="0">
    <w:nsid w:val="353A4174"/>
    <w:multiLevelType w:val="hybridMultilevel"/>
    <w:tmpl w:val="12443F42"/>
    <w:lvl w:ilvl="0" w:tplc="240A001B">
      <w:start w:val="1"/>
      <w:numFmt w:val="lowerRoman"/>
      <w:lvlText w:val="%1."/>
      <w:lvlJc w:val="righ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CF01697"/>
    <w:multiLevelType w:val="hybridMultilevel"/>
    <w:tmpl w:val="8BF0D774"/>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0A14BF"/>
    <w:multiLevelType w:val="hybridMultilevel"/>
    <w:tmpl w:val="DB7E0BA6"/>
    <w:lvl w:ilvl="0" w:tplc="240A001B">
      <w:start w:val="1"/>
      <w:numFmt w:val="low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29766D1"/>
    <w:multiLevelType w:val="hybridMultilevel"/>
    <w:tmpl w:val="499692DC"/>
    <w:lvl w:ilvl="0" w:tplc="7DE068D0">
      <w:start w:val="1"/>
      <w:numFmt w:val="lowerLetter"/>
      <w:lvlText w:val="%1."/>
      <w:lvlJc w:val="left"/>
      <w:pPr>
        <w:ind w:left="720" w:hanging="360"/>
      </w:pPr>
      <w:rPr>
        <w:rFonts w:eastAsiaTheme="minorHAnsi"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9A6CB1"/>
    <w:multiLevelType w:val="hybridMultilevel"/>
    <w:tmpl w:val="969C87D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A"/>
    <w:rsid w:val="00006B03"/>
    <w:rsid w:val="000071B4"/>
    <w:rsid w:val="000228A1"/>
    <w:rsid w:val="00024269"/>
    <w:rsid w:val="00024D1A"/>
    <w:rsid w:val="000338CC"/>
    <w:rsid w:val="0005035E"/>
    <w:rsid w:val="00056BB7"/>
    <w:rsid w:val="000748D4"/>
    <w:rsid w:val="000856BD"/>
    <w:rsid w:val="000B0621"/>
    <w:rsid w:val="000C6F3C"/>
    <w:rsid w:val="000F3ADA"/>
    <w:rsid w:val="000F70DB"/>
    <w:rsid w:val="0013210D"/>
    <w:rsid w:val="00161278"/>
    <w:rsid w:val="00166A5A"/>
    <w:rsid w:val="00174BDF"/>
    <w:rsid w:val="0017513D"/>
    <w:rsid w:val="00176404"/>
    <w:rsid w:val="00176F64"/>
    <w:rsid w:val="001858E0"/>
    <w:rsid w:val="001913F7"/>
    <w:rsid w:val="001954CF"/>
    <w:rsid w:val="00196FD9"/>
    <w:rsid w:val="001A421A"/>
    <w:rsid w:val="001A4A9F"/>
    <w:rsid w:val="001B320D"/>
    <w:rsid w:val="001C1BF3"/>
    <w:rsid w:val="001C630D"/>
    <w:rsid w:val="001D3553"/>
    <w:rsid w:val="001D65C5"/>
    <w:rsid w:val="001D7D27"/>
    <w:rsid w:val="001E66FA"/>
    <w:rsid w:val="001E7914"/>
    <w:rsid w:val="001F117B"/>
    <w:rsid w:val="00205737"/>
    <w:rsid w:val="00207A11"/>
    <w:rsid w:val="00222AFB"/>
    <w:rsid w:val="00233552"/>
    <w:rsid w:val="002514F9"/>
    <w:rsid w:val="002601F0"/>
    <w:rsid w:val="002737C3"/>
    <w:rsid w:val="00281858"/>
    <w:rsid w:val="00287699"/>
    <w:rsid w:val="002A4FCA"/>
    <w:rsid w:val="002C46C8"/>
    <w:rsid w:val="002C6183"/>
    <w:rsid w:val="002C73F9"/>
    <w:rsid w:val="002D1F61"/>
    <w:rsid w:val="002E74BA"/>
    <w:rsid w:val="0030358D"/>
    <w:rsid w:val="00305E7E"/>
    <w:rsid w:val="0031246C"/>
    <w:rsid w:val="00317B2A"/>
    <w:rsid w:val="003219C1"/>
    <w:rsid w:val="00321DDE"/>
    <w:rsid w:val="003233BD"/>
    <w:rsid w:val="00325AED"/>
    <w:rsid w:val="00331C62"/>
    <w:rsid w:val="0034619A"/>
    <w:rsid w:val="0035176B"/>
    <w:rsid w:val="003538FC"/>
    <w:rsid w:val="003568DA"/>
    <w:rsid w:val="003720DC"/>
    <w:rsid w:val="00380F04"/>
    <w:rsid w:val="00395249"/>
    <w:rsid w:val="003B28DB"/>
    <w:rsid w:val="003E527F"/>
    <w:rsid w:val="003F69A7"/>
    <w:rsid w:val="003F761D"/>
    <w:rsid w:val="004005F2"/>
    <w:rsid w:val="00403365"/>
    <w:rsid w:val="0042120D"/>
    <w:rsid w:val="004427C8"/>
    <w:rsid w:val="00467973"/>
    <w:rsid w:val="00476141"/>
    <w:rsid w:val="004A4D57"/>
    <w:rsid w:val="004A50B7"/>
    <w:rsid w:val="004B4914"/>
    <w:rsid w:val="004C276E"/>
    <w:rsid w:val="004C3E04"/>
    <w:rsid w:val="004C4342"/>
    <w:rsid w:val="004D5F97"/>
    <w:rsid w:val="004E575B"/>
    <w:rsid w:val="005519A3"/>
    <w:rsid w:val="00551A94"/>
    <w:rsid w:val="00553A8E"/>
    <w:rsid w:val="005626B0"/>
    <w:rsid w:val="005738EF"/>
    <w:rsid w:val="00573CE1"/>
    <w:rsid w:val="00574E21"/>
    <w:rsid w:val="00581426"/>
    <w:rsid w:val="005816EC"/>
    <w:rsid w:val="00585D42"/>
    <w:rsid w:val="00593AF5"/>
    <w:rsid w:val="005B6907"/>
    <w:rsid w:val="005C39ED"/>
    <w:rsid w:val="005E7E17"/>
    <w:rsid w:val="0060530D"/>
    <w:rsid w:val="00641226"/>
    <w:rsid w:val="00661792"/>
    <w:rsid w:val="006663C5"/>
    <w:rsid w:val="006914C3"/>
    <w:rsid w:val="006C3771"/>
    <w:rsid w:val="006E4A1B"/>
    <w:rsid w:val="006E717E"/>
    <w:rsid w:val="006F227A"/>
    <w:rsid w:val="006F364C"/>
    <w:rsid w:val="006F4E38"/>
    <w:rsid w:val="00757F40"/>
    <w:rsid w:val="00763D51"/>
    <w:rsid w:val="00765CAF"/>
    <w:rsid w:val="00777F9D"/>
    <w:rsid w:val="00781CA1"/>
    <w:rsid w:val="007A509C"/>
    <w:rsid w:val="007D1FA2"/>
    <w:rsid w:val="007E141D"/>
    <w:rsid w:val="007E2229"/>
    <w:rsid w:val="007E3778"/>
    <w:rsid w:val="007E7803"/>
    <w:rsid w:val="008203E1"/>
    <w:rsid w:val="00826EA5"/>
    <w:rsid w:val="00846049"/>
    <w:rsid w:val="008538F2"/>
    <w:rsid w:val="00861F81"/>
    <w:rsid w:val="008A157A"/>
    <w:rsid w:val="008A71EE"/>
    <w:rsid w:val="008B11DF"/>
    <w:rsid w:val="008C3A86"/>
    <w:rsid w:val="008D1642"/>
    <w:rsid w:val="008D5653"/>
    <w:rsid w:val="008F4A4A"/>
    <w:rsid w:val="008F7C82"/>
    <w:rsid w:val="0090110C"/>
    <w:rsid w:val="00911232"/>
    <w:rsid w:val="0091211B"/>
    <w:rsid w:val="00914115"/>
    <w:rsid w:val="0091569D"/>
    <w:rsid w:val="0092109D"/>
    <w:rsid w:val="009311CA"/>
    <w:rsid w:val="009339C5"/>
    <w:rsid w:val="00947915"/>
    <w:rsid w:val="0095256F"/>
    <w:rsid w:val="009574D9"/>
    <w:rsid w:val="00986D67"/>
    <w:rsid w:val="00994464"/>
    <w:rsid w:val="009B3569"/>
    <w:rsid w:val="009B36B2"/>
    <w:rsid w:val="009C6122"/>
    <w:rsid w:val="009F2928"/>
    <w:rsid w:val="009F5C36"/>
    <w:rsid w:val="00A01BD5"/>
    <w:rsid w:val="00A22639"/>
    <w:rsid w:val="00A27758"/>
    <w:rsid w:val="00A319A9"/>
    <w:rsid w:val="00A31B67"/>
    <w:rsid w:val="00A35FFC"/>
    <w:rsid w:val="00A46B07"/>
    <w:rsid w:val="00A55D8B"/>
    <w:rsid w:val="00A561A3"/>
    <w:rsid w:val="00A70669"/>
    <w:rsid w:val="00A9337D"/>
    <w:rsid w:val="00AA22AF"/>
    <w:rsid w:val="00AC249A"/>
    <w:rsid w:val="00AC3018"/>
    <w:rsid w:val="00AD67DC"/>
    <w:rsid w:val="00AD6E30"/>
    <w:rsid w:val="00AE2974"/>
    <w:rsid w:val="00AF395C"/>
    <w:rsid w:val="00B05E7B"/>
    <w:rsid w:val="00B12375"/>
    <w:rsid w:val="00B25D54"/>
    <w:rsid w:val="00B32638"/>
    <w:rsid w:val="00B57526"/>
    <w:rsid w:val="00B63BF0"/>
    <w:rsid w:val="00B66D23"/>
    <w:rsid w:val="00B70ECC"/>
    <w:rsid w:val="00BA22CE"/>
    <w:rsid w:val="00BB5289"/>
    <w:rsid w:val="00BB60A6"/>
    <w:rsid w:val="00BC3FAB"/>
    <w:rsid w:val="00BF1424"/>
    <w:rsid w:val="00C003B2"/>
    <w:rsid w:val="00C13956"/>
    <w:rsid w:val="00C301E5"/>
    <w:rsid w:val="00C34F39"/>
    <w:rsid w:val="00C50C99"/>
    <w:rsid w:val="00C57CF2"/>
    <w:rsid w:val="00C75115"/>
    <w:rsid w:val="00C86AFE"/>
    <w:rsid w:val="00CA71E1"/>
    <w:rsid w:val="00CB3DAD"/>
    <w:rsid w:val="00CD0AD5"/>
    <w:rsid w:val="00CE4266"/>
    <w:rsid w:val="00D02D26"/>
    <w:rsid w:val="00D06232"/>
    <w:rsid w:val="00D112F5"/>
    <w:rsid w:val="00D12C99"/>
    <w:rsid w:val="00D34A7C"/>
    <w:rsid w:val="00D34EEA"/>
    <w:rsid w:val="00D53FE1"/>
    <w:rsid w:val="00D54A98"/>
    <w:rsid w:val="00D573B9"/>
    <w:rsid w:val="00D57846"/>
    <w:rsid w:val="00D60FC3"/>
    <w:rsid w:val="00D713EA"/>
    <w:rsid w:val="00D77998"/>
    <w:rsid w:val="00DA3251"/>
    <w:rsid w:val="00DA3550"/>
    <w:rsid w:val="00DA5786"/>
    <w:rsid w:val="00DA5D47"/>
    <w:rsid w:val="00DE2B41"/>
    <w:rsid w:val="00DE2B83"/>
    <w:rsid w:val="00DE43B5"/>
    <w:rsid w:val="00DF02A5"/>
    <w:rsid w:val="00DF51C1"/>
    <w:rsid w:val="00E15FE8"/>
    <w:rsid w:val="00E61EF0"/>
    <w:rsid w:val="00E72C70"/>
    <w:rsid w:val="00E75B5F"/>
    <w:rsid w:val="00EA3159"/>
    <w:rsid w:val="00EC1281"/>
    <w:rsid w:val="00EE0F30"/>
    <w:rsid w:val="00EE697B"/>
    <w:rsid w:val="00EF0EBA"/>
    <w:rsid w:val="00F06D0F"/>
    <w:rsid w:val="00F176E7"/>
    <w:rsid w:val="00F25226"/>
    <w:rsid w:val="00F30332"/>
    <w:rsid w:val="00F41BF9"/>
    <w:rsid w:val="00F651CF"/>
    <w:rsid w:val="00F8095D"/>
    <w:rsid w:val="00F82026"/>
    <w:rsid w:val="00F8369D"/>
    <w:rsid w:val="00FF21F1"/>
    <w:rsid w:val="00FF3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35D1-D66B-4C76-94DC-11A14DD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619A"/>
    <w:pPr>
      <w:spacing w:after="200" w:line="276" w:lineRule="auto"/>
    </w:pPr>
    <w:rPr>
      <w:rFonts w:ascii="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4619A"/>
    <w:pPr>
      <w:spacing w:after="120"/>
    </w:pPr>
  </w:style>
  <w:style w:type="character" w:customStyle="1" w:styleId="TextoindependienteCar">
    <w:name w:val="Texto independiente Car"/>
    <w:basedOn w:val="Fuentedeprrafopredeter"/>
    <w:link w:val="Textoindependiente"/>
    <w:uiPriority w:val="99"/>
    <w:semiHidden/>
    <w:rsid w:val="0034619A"/>
    <w:rPr>
      <w:rFonts w:ascii="Calibri" w:hAnsi="Calibri" w:cs="Times New Roman"/>
    </w:rPr>
  </w:style>
  <w:style w:type="paragraph" w:styleId="Textoindependiente2">
    <w:name w:val="Body Text 2"/>
    <w:basedOn w:val="Normal"/>
    <w:link w:val="Textoindependiente2Car"/>
    <w:uiPriority w:val="99"/>
    <w:unhideWhenUsed/>
    <w:rsid w:val="0034619A"/>
    <w:pPr>
      <w:spacing w:after="120" w:line="480" w:lineRule="auto"/>
      <w:jc w:val="both"/>
    </w:pPr>
    <w:rPr>
      <w:rFonts w:ascii="Arial" w:hAnsi="Arial" w:cs="Arial"/>
      <w:sz w:val="24"/>
      <w:szCs w:val="24"/>
      <w:lang w:eastAsia="x-none"/>
    </w:rPr>
  </w:style>
  <w:style w:type="character" w:customStyle="1" w:styleId="Textoindependiente2Car">
    <w:name w:val="Texto independiente 2 Car"/>
    <w:basedOn w:val="Fuentedeprrafopredeter"/>
    <w:link w:val="Textoindependiente2"/>
    <w:uiPriority w:val="99"/>
    <w:rsid w:val="0034619A"/>
    <w:rPr>
      <w:rFonts w:ascii="Arial" w:hAnsi="Arial" w:cs="Arial"/>
      <w:sz w:val="24"/>
      <w:szCs w:val="24"/>
      <w:lang w:eastAsia="x-none"/>
    </w:rPr>
  </w:style>
  <w:style w:type="paragraph" w:styleId="Textoindependiente3">
    <w:name w:val="Body Text 3"/>
    <w:basedOn w:val="Normal"/>
    <w:link w:val="Textoindependiente3Car"/>
    <w:uiPriority w:val="99"/>
    <w:unhideWhenUsed/>
    <w:rsid w:val="0034619A"/>
    <w:pPr>
      <w:spacing w:after="120"/>
      <w:jc w:val="both"/>
    </w:pPr>
    <w:rPr>
      <w:rFonts w:ascii="Arial" w:hAnsi="Arial" w:cs="Arial"/>
      <w:sz w:val="16"/>
      <w:szCs w:val="16"/>
      <w:lang w:eastAsia="x-none"/>
    </w:rPr>
  </w:style>
  <w:style w:type="character" w:customStyle="1" w:styleId="Textoindependiente3Car">
    <w:name w:val="Texto independiente 3 Car"/>
    <w:basedOn w:val="Fuentedeprrafopredeter"/>
    <w:link w:val="Textoindependiente3"/>
    <w:uiPriority w:val="99"/>
    <w:rsid w:val="0034619A"/>
    <w:rPr>
      <w:rFonts w:ascii="Arial" w:hAnsi="Arial" w:cs="Arial"/>
      <w:sz w:val="16"/>
      <w:szCs w:val="16"/>
      <w:lang w:eastAsia="x-none"/>
    </w:rPr>
  </w:style>
  <w:style w:type="paragraph" w:styleId="Textosinformato">
    <w:name w:val="Plain Text"/>
    <w:basedOn w:val="Normal"/>
    <w:link w:val="TextosinformatoCar"/>
    <w:uiPriority w:val="99"/>
    <w:unhideWhenUsed/>
    <w:rsid w:val="0034619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34619A"/>
    <w:rPr>
      <w:rFonts w:ascii="Consolas" w:hAnsi="Consolas" w:cs="Consolas"/>
      <w:sz w:val="21"/>
      <w:szCs w:val="21"/>
    </w:rPr>
  </w:style>
  <w:style w:type="paragraph" w:styleId="Prrafodelista">
    <w:name w:val="List Paragraph"/>
    <w:aliases w:val="Segundo nivel de viñetas"/>
    <w:basedOn w:val="Normal"/>
    <w:uiPriority w:val="34"/>
    <w:qFormat/>
    <w:rsid w:val="0034619A"/>
    <w:pPr>
      <w:ind w:left="720"/>
      <w:contextualSpacing/>
    </w:pPr>
  </w:style>
  <w:style w:type="paragraph" w:customStyle="1" w:styleId="Cuerpo">
    <w:name w:val="Cuerpo"/>
    <w:rsid w:val="0034619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Textodeglobo">
    <w:name w:val="Balloon Text"/>
    <w:basedOn w:val="Normal"/>
    <w:link w:val="TextodegloboCar"/>
    <w:uiPriority w:val="99"/>
    <w:semiHidden/>
    <w:unhideWhenUsed/>
    <w:rsid w:val="00781C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CA1"/>
    <w:rPr>
      <w:rFonts w:ascii="Segoe UI" w:hAnsi="Segoe UI" w:cs="Segoe UI"/>
      <w:sz w:val="18"/>
      <w:szCs w:val="18"/>
    </w:rPr>
  </w:style>
  <w:style w:type="paragraph" w:styleId="Sinespaciado">
    <w:name w:val="No Spacing"/>
    <w:uiPriority w:val="1"/>
    <w:qFormat/>
    <w:rsid w:val="00AD67DC"/>
    <w:pPr>
      <w:spacing w:after="0" w:line="240" w:lineRule="auto"/>
    </w:pPr>
    <w:rPr>
      <w:rFonts w:ascii="Calibri" w:hAnsi="Calibri" w:cs="Times New Roman"/>
    </w:rPr>
  </w:style>
  <w:style w:type="character" w:styleId="Refdecomentario">
    <w:name w:val="annotation reference"/>
    <w:basedOn w:val="Fuentedeprrafopredeter"/>
    <w:uiPriority w:val="99"/>
    <w:semiHidden/>
    <w:unhideWhenUsed/>
    <w:rsid w:val="00B32638"/>
    <w:rPr>
      <w:sz w:val="16"/>
      <w:szCs w:val="16"/>
    </w:rPr>
  </w:style>
  <w:style w:type="paragraph" w:styleId="Textocomentario">
    <w:name w:val="annotation text"/>
    <w:basedOn w:val="Normal"/>
    <w:link w:val="TextocomentarioCar"/>
    <w:uiPriority w:val="99"/>
    <w:semiHidden/>
    <w:unhideWhenUsed/>
    <w:rsid w:val="00B326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2638"/>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2638"/>
    <w:rPr>
      <w:b/>
      <w:bCs/>
    </w:rPr>
  </w:style>
  <w:style w:type="character" w:customStyle="1" w:styleId="AsuntodelcomentarioCar">
    <w:name w:val="Asunto del comentario Car"/>
    <w:basedOn w:val="TextocomentarioCar"/>
    <w:link w:val="Asuntodelcomentario"/>
    <w:uiPriority w:val="99"/>
    <w:semiHidden/>
    <w:rsid w:val="00B32638"/>
    <w:rPr>
      <w:rFonts w:ascii="Calibri" w:hAnsi="Calibri" w:cs="Times New Roman"/>
      <w:b/>
      <w:bCs/>
      <w:sz w:val="20"/>
      <w:szCs w:val="20"/>
    </w:rPr>
  </w:style>
  <w:style w:type="paragraph" w:styleId="NormalWeb">
    <w:name w:val="Normal (Web)"/>
    <w:basedOn w:val="Normal"/>
    <w:uiPriority w:val="99"/>
    <w:semiHidden/>
    <w:unhideWhenUsed/>
    <w:rsid w:val="00CE4266"/>
    <w:pPr>
      <w:spacing w:before="100" w:beforeAutospacing="1" w:after="100" w:afterAutospacing="1" w:line="240" w:lineRule="auto"/>
    </w:pPr>
    <w:rPr>
      <w:rFonts w:ascii="Times New Roman" w:eastAsia="Times New Roman" w:hAnsi="Times New Roman"/>
      <w:sz w:val="24"/>
      <w:szCs w:val="24"/>
      <w:lang w:eastAsia="es-ES_tradnl"/>
    </w:rPr>
  </w:style>
  <w:style w:type="paragraph" w:styleId="Revisin">
    <w:name w:val="Revision"/>
    <w:hidden/>
    <w:uiPriority w:val="99"/>
    <w:semiHidden/>
    <w:rsid w:val="00C57CF2"/>
    <w:pPr>
      <w:spacing w:after="0" w:line="240" w:lineRule="auto"/>
    </w:pPr>
    <w:rPr>
      <w:rFonts w:ascii="Calibri" w:hAnsi="Calibri" w:cs="Times New Roman"/>
      <w:lang w:val="es-ES"/>
    </w:rPr>
  </w:style>
  <w:style w:type="paragraph" w:styleId="Encabezado">
    <w:name w:val="header"/>
    <w:basedOn w:val="Normal"/>
    <w:link w:val="EncabezadoCar"/>
    <w:uiPriority w:val="99"/>
    <w:unhideWhenUsed/>
    <w:rsid w:val="00A56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1A3"/>
    <w:rPr>
      <w:rFonts w:ascii="Calibri" w:hAnsi="Calibri" w:cs="Times New Roman"/>
      <w:lang w:val="es-ES"/>
    </w:rPr>
  </w:style>
  <w:style w:type="paragraph" w:styleId="Piedepgina">
    <w:name w:val="footer"/>
    <w:basedOn w:val="Normal"/>
    <w:link w:val="PiedepginaCar"/>
    <w:uiPriority w:val="99"/>
    <w:unhideWhenUsed/>
    <w:rsid w:val="00A56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1A3"/>
    <w:rPr>
      <w:rFonts w:ascii="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1637">
      <w:bodyDiv w:val="1"/>
      <w:marLeft w:val="0"/>
      <w:marRight w:val="0"/>
      <w:marTop w:val="0"/>
      <w:marBottom w:val="0"/>
      <w:divBdr>
        <w:top w:val="none" w:sz="0" w:space="0" w:color="auto"/>
        <w:left w:val="none" w:sz="0" w:space="0" w:color="auto"/>
        <w:bottom w:val="none" w:sz="0" w:space="0" w:color="auto"/>
        <w:right w:val="none" w:sz="0" w:space="0" w:color="auto"/>
      </w:divBdr>
      <w:divsChild>
        <w:div w:id="81805193">
          <w:marLeft w:val="0"/>
          <w:marRight w:val="0"/>
          <w:marTop w:val="0"/>
          <w:marBottom w:val="0"/>
          <w:divBdr>
            <w:top w:val="none" w:sz="0" w:space="0" w:color="auto"/>
            <w:left w:val="none" w:sz="0" w:space="0" w:color="auto"/>
            <w:bottom w:val="none" w:sz="0" w:space="0" w:color="auto"/>
            <w:right w:val="none" w:sz="0" w:space="0" w:color="auto"/>
          </w:divBdr>
          <w:divsChild>
            <w:div w:id="1486243301">
              <w:marLeft w:val="0"/>
              <w:marRight w:val="0"/>
              <w:marTop w:val="0"/>
              <w:marBottom w:val="0"/>
              <w:divBdr>
                <w:top w:val="none" w:sz="0" w:space="0" w:color="auto"/>
                <w:left w:val="none" w:sz="0" w:space="0" w:color="auto"/>
                <w:bottom w:val="none" w:sz="0" w:space="0" w:color="auto"/>
                <w:right w:val="none" w:sz="0" w:space="0" w:color="auto"/>
              </w:divBdr>
              <w:divsChild>
                <w:div w:id="257370651">
                  <w:marLeft w:val="0"/>
                  <w:marRight w:val="0"/>
                  <w:marTop w:val="0"/>
                  <w:marBottom w:val="0"/>
                  <w:divBdr>
                    <w:top w:val="none" w:sz="0" w:space="0" w:color="auto"/>
                    <w:left w:val="none" w:sz="0" w:space="0" w:color="auto"/>
                    <w:bottom w:val="none" w:sz="0" w:space="0" w:color="auto"/>
                    <w:right w:val="none" w:sz="0" w:space="0" w:color="auto"/>
                  </w:divBdr>
                  <w:divsChild>
                    <w:div w:id="7977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978">
      <w:bodyDiv w:val="1"/>
      <w:marLeft w:val="0"/>
      <w:marRight w:val="0"/>
      <w:marTop w:val="0"/>
      <w:marBottom w:val="0"/>
      <w:divBdr>
        <w:top w:val="none" w:sz="0" w:space="0" w:color="auto"/>
        <w:left w:val="none" w:sz="0" w:space="0" w:color="auto"/>
        <w:bottom w:val="none" w:sz="0" w:space="0" w:color="auto"/>
        <w:right w:val="none" w:sz="0" w:space="0" w:color="auto"/>
      </w:divBdr>
      <w:divsChild>
        <w:div w:id="1750036892">
          <w:marLeft w:val="0"/>
          <w:marRight w:val="0"/>
          <w:marTop w:val="0"/>
          <w:marBottom w:val="0"/>
          <w:divBdr>
            <w:top w:val="none" w:sz="0" w:space="0" w:color="auto"/>
            <w:left w:val="none" w:sz="0" w:space="0" w:color="auto"/>
            <w:bottom w:val="none" w:sz="0" w:space="0" w:color="auto"/>
            <w:right w:val="none" w:sz="0" w:space="0" w:color="auto"/>
          </w:divBdr>
          <w:divsChild>
            <w:div w:id="124079232">
              <w:marLeft w:val="0"/>
              <w:marRight w:val="0"/>
              <w:marTop w:val="0"/>
              <w:marBottom w:val="0"/>
              <w:divBdr>
                <w:top w:val="none" w:sz="0" w:space="0" w:color="auto"/>
                <w:left w:val="none" w:sz="0" w:space="0" w:color="auto"/>
                <w:bottom w:val="none" w:sz="0" w:space="0" w:color="auto"/>
                <w:right w:val="none" w:sz="0" w:space="0" w:color="auto"/>
              </w:divBdr>
              <w:divsChild>
                <w:div w:id="1354453498">
                  <w:marLeft w:val="0"/>
                  <w:marRight w:val="0"/>
                  <w:marTop w:val="0"/>
                  <w:marBottom w:val="0"/>
                  <w:divBdr>
                    <w:top w:val="none" w:sz="0" w:space="0" w:color="auto"/>
                    <w:left w:val="none" w:sz="0" w:space="0" w:color="auto"/>
                    <w:bottom w:val="none" w:sz="0" w:space="0" w:color="auto"/>
                    <w:right w:val="none" w:sz="0" w:space="0" w:color="auto"/>
                  </w:divBdr>
                  <w:divsChild>
                    <w:div w:id="1119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AFCE-1B84-4B72-B4BD-9D70F900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2817</Words>
  <Characters>15498</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Pio Gracia Lobo</dc:creator>
  <cp:keywords/>
  <dc:description/>
  <cp:lastModifiedBy>Maria Fernanda Guerra Charry</cp:lastModifiedBy>
  <cp:revision>5</cp:revision>
  <cp:lastPrinted>2018-12-05T23:58:00Z</cp:lastPrinted>
  <dcterms:created xsi:type="dcterms:W3CDTF">2018-12-11T21:59:00Z</dcterms:created>
  <dcterms:modified xsi:type="dcterms:W3CDTF">2018-12-11T22:55:00Z</dcterms:modified>
</cp:coreProperties>
</file>