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4E" w:rsidRPr="00CA5ABF" w:rsidRDefault="00FB7F4E">
      <w:pPr>
        <w:spacing w:before="0" w:after="0"/>
        <w:jc w:val="center"/>
        <w:rPr>
          <w:rFonts w:cs="Arial"/>
          <w:b/>
          <w:bCs/>
          <w:color w:val="000000" w:themeColor="text1"/>
          <w:sz w:val="22"/>
          <w:szCs w:val="22"/>
        </w:rPr>
      </w:pPr>
      <w:r w:rsidRPr="00CA5ABF">
        <w:rPr>
          <w:rFonts w:cs="Arial"/>
          <w:b/>
          <w:bCs/>
          <w:color w:val="000000" w:themeColor="text1"/>
          <w:sz w:val="22"/>
          <w:szCs w:val="22"/>
        </w:rPr>
        <w:t>PROYECTO</w:t>
      </w:r>
    </w:p>
    <w:p w:rsidR="00FB7F4E" w:rsidRPr="00CA5ABF" w:rsidRDefault="00FB7F4E">
      <w:pPr>
        <w:spacing w:before="0" w:after="0"/>
        <w:jc w:val="center"/>
        <w:rPr>
          <w:rFonts w:cs="Arial"/>
          <w:b/>
          <w:bCs/>
          <w:color w:val="000000" w:themeColor="text1"/>
          <w:sz w:val="22"/>
          <w:szCs w:val="22"/>
        </w:rPr>
      </w:pPr>
    </w:p>
    <w:p w:rsidR="00AB5D1E" w:rsidRPr="00CA5ABF" w:rsidRDefault="00A778B6">
      <w:pPr>
        <w:spacing w:before="0" w:after="0"/>
        <w:jc w:val="center"/>
        <w:rPr>
          <w:rFonts w:cs="Arial"/>
          <w:b/>
          <w:bCs/>
          <w:color w:val="000000" w:themeColor="text1"/>
          <w:sz w:val="22"/>
          <w:szCs w:val="22"/>
        </w:rPr>
      </w:pPr>
      <w:r w:rsidRPr="00CA5ABF">
        <w:rPr>
          <w:rFonts w:cs="Arial"/>
          <w:b/>
          <w:bCs/>
          <w:color w:val="000000" w:themeColor="text1"/>
          <w:sz w:val="22"/>
          <w:szCs w:val="22"/>
        </w:rPr>
        <w:t>REPÚBLICA DE COLOMBIA</w:t>
      </w:r>
    </w:p>
    <w:p w:rsidR="001355C2" w:rsidRPr="00CA5ABF" w:rsidRDefault="001355C2">
      <w:pPr>
        <w:spacing w:before="0" w:after="0"/>
        <w:jc w:val="center"/>
        <w:rPr>
          <w:rFonts w:cs="Arial"/>
          <w:b/>
          <w:bCs/>
          <w:color w:val="000000" w:themeColor="text1"/>
          <w:sz w:val="22"/>
          <w:szCs w:val="22"/>
        </w:rPr>
      </w:pPr>
    </w:p>
    <w:p w:rsidR="00AB5D1E" w:rsidRPr="00CA5ABF" w:rsidRDefault="00AB5D1E">
      <w:pPr>
        <w:spacing w:before="0" w:after="0"/>
        <w:jc w:val="center"/>
        <w:rPr>
          <w:rFonts w:cs="Arial"/>
          <w:b/>
          <w:bCs/>
          <w:color w:val="000000" w:themeColor="text1"/>
          <w:sz w:val="22"/>
          <w:szCs w:val="22"/>
        </w:rPr>
      </w:pPr>
    </w:p>
    <w:p w:rsidR="00AB5D1E" w:rsidRPr="00CA5ABF" w:rsidRDefault="00A778B6">
      <w:pPr>
        <w:spacing w:before="0" w:after="0"/>
        <w:jc w:val="center"/>
        <w:rPr>
          <w:rFonts w:cs="Arial"/>
          <w:b/>
          <w:bCs/>
          <w:color w:val="000000" w:themeColor="text1"/>
          <w:sz w:val="22"/>
          <w:szCs w:val="22"/>
        </w:rPr>
      </w:pPr>
      <w:r w:rsidRPr="00CA5ABF">
        <w:rPr>
          <w:rFonts w:cs="Arial"/>
          <w:b/>
          <w:bCs/>
          <w:color w:val="000000" w:themeColor="text1"/>
          <w:sz w:val="22"/>
          <w:szCs w:val="22"/>
        </w:rPr>
        <w:t>COMISIÓN NACIONAL DE CRÉDITO AGROPECUARIO</w:t>
      </w:r>
    </w:p>
    <w:p w:rsidR="00AB5D1E" w:rsidRPr="00CA5ABF" w:rsidRDefault="00AB5D1E">
      <w:pPr>
        <w:spacing w:before="0" w:after="0"/>
        <w:jc w:val="center"/>
        <w:rPr>
          <w:rFonts w:cs="Arial"/>
          <w:b/>
          <w:bCs/>
          <w:color w:val="000000" w:themeColor="text1"/>
          <w:sz w:val="22"/>
          <w:szCs w:val="22"/>
        </w:rPr>
      </w:pPr>
    </w:p>
    <w:p w:rsidR="00AB5D1E" w:rsidRPr="00CA5ABF" w:rsidRDefault="00A96CF4">
      <w:pPr>
        <w:spacing w:before="0" w:after="0"/>
        <w:jc w:val="center"/>
        <w:rPr>
          <w:rFonts w:cs="Arial"/>
          <w:b/>
          <w:bCs/>
          <w:color w:val="000000" w:themeColor="text1"/>
          <w:sz w:val="22"/>
          <w:szCs w:val="22"/>
        </w:rPr>
      </w:pPr>
      <w:r w:rsidRPr="00CA5ABF">
        <w:rPr>
          <w:rFonts w:cs="Arial"/>
          <w:b/>
          <w:bCs/>
          <w:color w:val="000000" w:themeColor="text1"/>
          <w:sz w:val="22"/>
          <w:szCs w:val="22"/>
        </w:rPr>
        <w:t>RESOLUCIÓN No. ______</w:t>
      </w:r>
      <w:r w:rsidR="00A778B6" w:rsidRPr="00CA5ABF">
        <w:rPr>
          <w:rFonts w:cs="Arial"/>
          <w:b/>
          <w:bCs/>
          <w:color w:val="000000" w:themeColor="text1"/>
          <w:sz w:val="22"/>
          <w:szCs w:val="22"/>
        </w:rPr>
        <w:t xml:space="preserve"> </w:t>
      </w:r>
      <w:r w:rsidR="00A778B6" w:rsidRPr="00CA5ABF">
        <w:rPr>
          <w:rFonts w:cs="Arial"/>
          <w:b/>
          <w:bCs/>
          <w:sz w:val="22"/>
          <w:szCs w:val="22"/>
        </w:rPr>
        <w:t xml:space="preserve">DE </w:t>
      </w:r>
      <w:r w:rsidR="00A778B6" w:rsidRPr="00CA5ABF">
        <w:rPr>
          <w:rFonts w:cs="Arial"/>
          <w:b/>
          <w:bCs/>
          <w:color w:val="000000" w:themeColor="text1"/>
          <w:sz w:val="22"/>
          <w:szCs w:val="22"/>
        </w:rPr>
        <w:t>201</w:t>
      </w:r>
      <w:r w:rsidR="005C68CD" w:rsidRPr="00CA5ABF">
        <w:rPr>
          <w:rFonts w:cs="Arial"/>
          <w:b/>
          <w:bCs/>
          <w:color w:val="000000" w:themeColor="text1"/>
          <w:sz w:val="22"/>
          <w:szCs w:val="22"/>
        </w:rPr>
        <w:t>8</w:t>
      </w:r>
    </w:p>
    <w:p w:rsidR="00AB5D1E" w:rsidRPr="00CA5ABF" w:rsidRDefault="00AB5D1E">
      <w:pPr>
        <w:pStyle w:val="Ttulo1"/>
        <w:numPr>
          <w:ilvl w:val="0"/>
          <w:numId w:val="0"/>
        </w:numPr>
        <w:spacing w:before="0" w:after="0"/>
        <w:jc w:val="center"/>
        <w:rPr>
          <w:rFonts w:cs="Arial"/>
          <w:bCs w:val="0"/>
          <w:color w:val="000000" w:themeColor="text1"/>
          <w:sz w:val="22"/>
          <w:szCs w:val="22"/>
        </w:rPr>
      </w:pPr>
    </w:p>
    <w:p w:rsidR="00AB5D1E" w:rsidRPr="00CA5ABF" w:rsidRDefault="00AB5D1E">
      <w:pPr>
        <w:pStyle w:val="Textoindependiente2"/>
        <w:spacing w:before="0" w:after="0" w:line="0" w:lineRule="atLeast"/>
        <w:rPr>
          <w:rFonts w:cs="Arial"/>
          <w:color w:val="000000" w:themeColor="text1"/>
          <w:sz w:val="22"/>
          <w:szCs w:val="22"/>
        </w:rPr>
      </w:pPr>
    </w:p>
    <w:p w:rsidR="00AB5D1E" w:rsidRPr="00CA5ABF" w:rsidRDefault="00A778B6">
      <w:pPr>
        <w:pStyle w:val="Textoindependiente2"/>
        <w:spacing w:before="0" w:after="0" w:line="0" w:lineRule="atLeast"/>
        <w:rPr>
          <w:rFonts w:cs="Arial"/>
          <w:color w:val="000000" w:themeColor="text1"/>
          <w:sz w:val="22"/>
          <w:szCs w:val="22"/>
        </w:rPr>
      </w:pPr>
      <w:bookmarkStart w:id="0" w:name="_Hlk532296860"/>
      <w:r w:rsidRPr="00CA5ABF">
        <w:rPr>
          <w:rFonts w:cs="Arial"/>
          <w:color w:val="000000" w:themeColor="text1"/>
          <w:sz w:val="22"/>
          <w:szCs w:val="22"/>
        </w:rPr>
        <w:t xml:space="preserve">“Por la cual se aprueba el Plan Anual de Gestión de Riesgos Agropecuarios para el </w:t>
      </w:r>
      <w:r w:rsidR="003974CF" w:rsidRPr="00CA5ABF">
        <w:rPr>
          <w:rFonts w:cs="Arial"/>
          <w:color w:val="000000" w:themeColor="text1"/>
          <w:sz w:val="22"/>
          <w:szCs w:val="22"/>
        </w:rPr>
        <w:t>A</w:t>
      </w:r>
      <w:r w:rsidR="00A96CF4" w:rsidRPr="00CA5ABF">
        <w:rPr>
          <w:rFonts w:cs="Arial"/>
          <w:color w:val="000000" w:themeColor="text1"/>
          <w:sz w:val="22"/>
          <w:szCs w:val="22"/>
        </w:rPr>
        <w:t>ño</w:t>
      </w:r>
      <w:r w:rsidRPr="00CA5ABF">
        <w:rPr>
          <w:rFonts w:cs="Arial"/>
          <w:color w:val="000000" w:themeColor="text1"/>
          <w:sz w:val="22"/>
          <w:szCs w:val="22"/>
        </w:rPr>
        <w:t xml:space="preserve"> 201</w:t>
      </w:r>
      <w:r w:rsidR="005C68CD" w:rsidRPr="00CA5ABF">
        <w:rPr>
          <w:rFonts w:cs="Arial"/>
          <w:color w:val="000000" w:themeColor="text1"/>
          <w:sz w:val="22"/>
          <w:szCs w:val="22"/>
        </w:rPr>
        <w:t>9</w:t>
      </w:r>
      <w:r w:rsidRPr="00CA5ABF">
        <w:rPr>
          <w:rFonts w:cs="Arial"/>
          <w:color w:val="000000" w:themeColor="text1"/>
          <w:sz w:val="22"/>
          <w:szCs w:val="22"/>
        </w:rPr>
        <w:t>, y se dictan otras disposiciones”</w:t>
      </w:r>
    </w:p>
    <w:bookmarkEnd w:id="0"/>
    <w:p w:rsidR="00AB5D1E" w:rsidRPr="00CA5ABF" w:rsidRDefault="00AB5D1E">
      <w:pPr>
        <w:spacing w:before="0" w:after="0" w:line="0" w:lineRule="atLeast"/>
        <w:jc w:val="center"/>
        <w:rPr>
          <w:rFonts w:cs="Arial"/>
          <w:b/>
          <w:bCs/>
          <w:color w:val="000000" w:themeColor="text1"/>
          <w:sz w:val="22"/>
          <w:szCs w:val="22"/>
          <w:lang w:val="es-ES"/>
        </w:rPr>
      </w:pPr>
    </w:p>
    <w:p w:rsidR="000613FB" w:rsidRPr="00CA5ABF" w:rsidRDefault="000613FB">
      <w:pPr>
        <w:spacing w:before="0" w:after="0" w:line="0" w:lineRule="atLeast"/>
        <w:jc w:val="center"/>
        <w:rPr>
          <w:rFonts w:cs="Arial"/>
          <w:b/>
          <w:bCs/>
          <w:color w:val="000000" w:themeColor="text1"/>
          <w:sz w:val="22"/>
          <w:szCs w:val="22"/>
          <w:lang w:val="es-ES"/>
        </w:rPr>
      </w:pPr>
    </w:p>
    <w:p w:rsidR="00AB5D1E" w:rsidRPr="00CA5ABF" w:rsidRDefault="00A778B6">
      <w:pPr>
        <w:spacing w:before="0" w:after="0" w:line="0" w:lineRule="atLeast"/>
        <w:jc w:val="center"/>
        <w:rPr>
          <w:rFonts w:cs="Arial"/>
          <w:b/>
          <w:bCs/>
          <w:color w:val="000000" w:themeColor="text1"/>
          <w:sz w:val="22"/>
          <w:szCs w:val="22"/>
        </w:rPr>
      </w:pPr>
      <w:r w:rsidRPr="00CA5ABF">
        <w:rPr>
          <w:rFonts w:cs="Arial"/>
          <w:b/>
          <w:bCs/>
          <w:color w:val="000000" w:themeColor="text1"/>
          <w:sz w:val="22"/>
          <w:szCs w:val="22"/>
        </w:rPr>
        <w:t>LA COMISIÓN NACIONAL DE CRÉDITO AGROPECUARIO</w:t>
      </w:r>
    </w:p>
    <w:p w:rsidR="00AB5D1E" w:rsidRPr="00CA5ABF" w:rsidRDefault="00AB5D1E">
      <w:pPr>
        <w:spacing w:before="0" w:after="0" w:line="0" w:lineRule="atLeast"/>
        <w:jc w:val="center"/>
        <w:rPr>
          <w:rFonts w:cs="Arial"/>
          <w:b/>
          <w:bCs/>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color w:val="000000" w:themeColor="text1"/>
          <w:sz w:val="22"/>
          <w:szCs w:val="22"/>
        </w:rPr>
        <w:t>En ejercicio de las facultades consagradas en las Leyes 16 de 1990, 69 de 1993, 101 de 1993, 812 de 2003, 1151 de 2007, 1450 de 20</w:t>
      </w:r>
      <w:r w:rsidR="00175B65" w:rsidRPr="00CA5ABF">
        <w:rPr>
          <w:rFonts w:cs="Arial"/>
          <w:color w:val="000000" w:themeColor="text1"/>
          <w:sz w:val="22"/>
          <w:szCs w:val="22"/>
        </w:rPr>
        <w:t xml:space="preserve">11, 1731 de 2014, 1753 de 2015, el Decreto Ley 2371 de 2015 y el Decreto </w:t>
      </w:r>
      <w:r w:rsidRPr="00CA5ABF">
        <w:rPr>
          <w:rFonts w:cs="Arial"/>
          <w:color w:val="000000" w:themeColor="text1"/>
          <w:sz w:val="22"/>
          <w:szCs w:val="22"/>
        </w:rPr>
        <w:t>2555 de 2010</w:t>
      </w:r>
      <w:r w:rsidR="00175B65" w:rsidRPr="00CA5ABF">
        <w:rPr>
          <w:rFonts w:cs="Arial"/>
          <w:color w:val="000000" w:themeColor="text1"/>
          <w:sz w:val="22"/>
          <w:szCs w:val="22"/>
        </w:rPr>
        <w:t xml:space="preserve">, </w:t>
      </w:r>
      <w:r w:rsidRPr="00CA5ABF">
        <w:rPr>
          <w:rFonts w:cs="Arial"/>
          <w:color w:val="000000" w:themeColor="text1"/>
          <w:sz w:val="22"/>
          <w:szCs w:val="22"/>
        </w:rPr>
        <w:t>y,</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center"/>
        <w:rPr>
          <w:rFonts w:cs="Arial"/>
          <w:b/>
          <w:color w:val="000000" w:themeColor="text1"/>
          <w:sz w:val="22"/>
          <w:szCs w:val="22"/>
        </w:rPr>
      </w:pPr>
      <w:r w:rsidRPr="00CA5ABF">
        <w:rPr>
          <w:rFonts w:cs="Arial"/>
          <w:b/>
          <w:color w:val="000000" w:themeColor="text1"/>
          <w:sz w:val="22"/>
          <w:szCs w:val="22"/>
        </w:rPr>
        <w:t>CONSIDERANDO</w:t>
      </w:r>
    </w:p>
    <w:p w:rsidR="00AB5D1E" w:rsidRPr="00CA5ABF" w:rsidRDefault="00AB5D1E">
      <w:pPr>
        <w:spacing w:before="0" w:after="0" w:line="0" w:lineRule="atLeast"/>
        <w:jc w:val="center"/>
        <w:rPr>
          <w:rFonts w:cs="Arial"/>
          <w:color w:val="000000" w:themeColor="text1"/>
          <w:sz w:val="22"/>
          <w:szCs w:val="22"/>
        </w:rPr>
      </w:pPr>
    </w:p>
    <w:p w:rsidR="00CE3B60" w:rsidRPr="00CA5ABF" w:rsidRDefault="00ED1137" w:rsidP="00CE3B60">
      <w:pPr>
        <w:pStyle w:val="Default"/>
        <w:jc w:val="both"/>
        <w:rPr>
          <w:color w:val="000000" w:themeColor="text1"/>
          <w:sz w:val="22"/>
          <w:szCs w:val="22"/>
          <w:lang w:eastAsia="es-CO"/>
        </w:rPr>
      </w:pPr>
      <w:r w:rsidRPr="00CA5ABF">
        <w:rPr>
          <w:b/>
          <w:color w:val="000000" w:themeColor="text1"/>
          <w:sz w:val="22"/>
          <w:szCs w:val="22"/>
        </w:rPr>
        <w:t>Primero</w:t>
      </w:r>
      <w:r w:rsidR="00C14E1F" w:rsidRPr="00CA5ABF">
        <w:rPr>
          <w:b/>
          <w:color w:val="000000" w:themeColor="text1"/>
          <w:sz w:val="22"/>
          <w:szCs w:val="22"/>
        </w:rPr>
        <w:t>.</w:t>
      </w:r>
      <w:r w:rsidRPr="00CA5ABF">
        <w:rPr>
          <w:b/>
          <w:color w:val="000000" w:themeColor="text1"/>
          <w:sz w:val="22"/>
          <w:szCs w:val="22"/>
        </w:rPr>
        <w:t xml:space="preserve"> </w:t>
      </w:r>
      <w:r w:rsidR="00CE3B60" w:rsidRPr="00CA5ABF">
        <w:rPr>
          <w:sz w:val="22"/>
          <w:szCs w:val="22"/>
          <w:lang w:eastAsia="es-CO"/>
        </w:rPr>
        <w:t xml:space="preserve">Que el artículo 218 del Estatuto Orgánico del Presupuesto modificado por el artículo 2 del Decreto Ley 2371 de 2015, </w:t>
      </w:r>
      <w:r w:rsidR="00CE3B60" w:rsidRPr="00CA5ABF">
        <w:rPr>
          <w:color w:val="000000" w:themeColor="text1"/>
          <w:sz w:val="22"/>
          <w:szCs w:val="22"/>
        </w:rPr>
        <w:t xml:space="preserve">le </w:t>
      </w:r>
      <w:r w:rsidR="00CE3B60" w:rsidRPr="00CA5ABF">
        <w:rPr>
          <w:color w:val="000000" w:themeColor="text1"/>
          <w:sz w:val="22"/>
          <w:szCs w:val="22"/>
          <w:lang w:eastAsia="es-CO"/>
        </w:rPr>
        <w:t>asignó a la Comisión Nacional de Crédito Agropecuario - CNCA la función específica en materia de riesgos agropecuarios así:</w:t>
      </w:r>
    </w:p>
    <w:p w:rsidR="00CE3B60" w:rsidRPr="00CA5ABF" w:rsidRDefault="00CE3B60" w:rsidP="00CE3B60">
      <w:pPr>
        <w:pStyle w:val="Default"/>
        <w:jc w:val="both"/>
        <w:rPr>
          <w:color w:val="000000" w:themeColor="text1"/>
          <w:sz w:val="22"/>
          <w:szCs w:val="22"/>
          <w:lang w:eastAsia="es-CO"/>
        </w:rPr>
      </w:pPr>
    </w:p>
    <w:p w:rsidR="00CE3B60" w:rsidRPr="00CA5ABF" w:rsidRDefault="00CE3B60" w:rsidP="00CE3B60">
      <w:pPr>
        <w:pStyle w:val="Default"/>
        <w:jc w:val="both"/>
        <w:rPr>
          <w:i/>
          <w:color w:val="000000" w:themeColor="text1"/>
          <w:sz w:val="22"/>
          <w:szCs w:val="22"/>
          <w:lang w:eastAsia="es-CO"/>
        </w:rPr>
      </w:pPr>
      <w:r w:rsidRPr="00CA5ABF">
        <w:rPr>
          <w:i/>
          <w:color w:val="000000" w:themeColor="text1"/>
          <w:sz w:val="22"/>
          <w:szCs w:val="22"/>
          <w:lang w:eastAsia="es-CO"/>
        </w:rPr>
        <w:t>“(…)</w:t>
      </w:r>
    </w:p>
    <w:p w:rsidR="00CE3B60" w:rsidRPr="00CA5ABF" w:rsidRDefault="00CE3B60" w:rsidP="00CE3B60">
      <w:pPr>
        <w:pStyle w:val="Default"/>
        <w:jc w:val="both"/>
        <w:rPr>
          <w:i/>
          <w:color w:val="000000" w:themeColor="text1"/>
          <w:sz w:val="22"/>
          <w:szCs w:val="22"/>
          <w:lang w:eastAsia="es-CO"/>
        </w:rPr>
      </w:pPr>
      <w:r w:rsidRPr="00CA5ABF">
        <w:rPr>
          <w:i/>
          <w:color w:val="000000" w:themeColor="text1"/>
          <w:sz w:val="22"/>
          <w:szCs w:val="22"/>
          <w:lang w:eastAsia="es-CO"/>
        </w:rPr>
        <w:t>p) Establecer los lineamientos de política de manejo de riesgos agropecuarios, en los que se debe contemplar el desarrollo de instrumentos de riesgos climáticos, de mercado, cambiario, entre otros, así como determinar las condiciones generales de asegurabilidad de los proyectos agropecuarios, las condiciones en las cuales se aplican los apoyos e incentivos del Estado, y el destino de los recursos del Fondo Nacional de Riesgos Agropecuarios</w:t>
      </w:r>
    </w:p>
    <w:p w:rsidR="00CE3B60" w:rsidRPr="00CA5ABF" w:rsidRDefault="00CE3B60" w:rsidP="00CE3B60">
      <w:pPr>
        <w:pStyle w:val="Default"/>
        <w:jc w:val="both"/>
        <w:rPr>
          <w:i/>
          <w:color w:val="000000" w:themeColor="text1"/>
          <w:sz w:val="22"/>
          <w:szCs w:val="22"/>
          <w:lang w:eastAsia="es-CO"/>
        </w:rPr>
      </w:pPr>
      <w:r w:rsidRPr="00CA5ABF">
        <w:rPr>
          <w:i/>
          <w:color w:val="000000" w:themeColor="text1"/>
          <w:sz w:val="22"/>
          <w:szCs w:val="22"/>
          <w:lang w:eastAsia="es-CO"/>
        </w:rPr>
        <w:t>(…)</w:t>
      </w:r>
    </w:p>
    <w:p w:rsidR="00CE3B60" w:rsidRPr="00CA5ABF" w:rsidRDefault="00CE3B60" w:rsidP="00CE3B60">
      <w:pPr>
        <w:pStyle w:val="Default"/>
        <w:jc w:val="both"/>
        <w:rPr>
          <w:sz w:val="22"/>
          <w:szCs w:val="22"/>
          <w:lang w:eastAsia="es-CO"/>
        </w:rPr>
      </w:pPr>
    </w:p>
    <w:p w:rsidR="00CE3B60" w:rsidRPr="00CA5ABF" w:rsidRDefault="00CE3B60" w:rsidP="00CE3B60">
      <w:pPr>
        <w:pStyle w:val="Default"/>
        <w:jc w:val="both"/>
        <w:rPr>
          <w:sz w:val="22"/>
          <w:szCs w:val="22"/>
          <w:lang w:eastAsia="es-CO"/>
        </w:rPr>
      </w:pPr>
      <w:r w:rsidRPr="00CA5ABF">
        <w:rPr>
          <w:sz w:val="22"/>
          <w:szCs w:val="22"/>
          <w:lang w:eastAsia="es-CO"/>
        </w:rPr>
        <w:t>A su vez, el parágrafo del mismo artículo estableció que</w:t>
      </w:r>
      <w:r w:rsidRPr="00CA5ABF">
        <w:rPr>
          <w:i/>
          <w:sz w:val="22"/>
          <w:szCs w:val="22"/>
          <w:lang w:eastAsia="es-CO"/>
        </w:rPr>
        <w:t xml:space="preserve"> “La Comisión Nacional de Crédito Agropecuario - CNCA, podrá crear comités consultivos especializados para el cumplimiento de sus funciones”.</w:t>
      </w:r>
      <w:r w:rsidRPr="00CA5ABF">
        <w:rPr>
          <w:sz w:val="22"/>
          <w:szCs w:val="22"/>
          <w:lang w:eastAsia="es-CO"/>
        </w:rPr>
        <w:t xml:space="preserve"> </w:t>
      </w:r>
    </w:p>
    <w:p w:rsidR="009117C5" w:rsidRPr="00CA5ABF" w:rsidRDefault="009117C5">
      <w:pPr>
        <w:spacing w:before="0" w:after="0" w:line="0" w:lineRule="atLeast"/>
        <w:jc w:val="both"/>
        <w:rPr>
          <w:rFonts w:cs="Arial"/>
          <w:b/>
          <w:color w:val="000000" w:themeColor="text1"/>
          <w:sz w:val="22"/>
          <w:szCs w:val="22"/>
        </w:rPr>
      </w:pPr>
    </w:p>
    <w:p w:rsidR="00AB5D1E" w:rsidRPr="00CA5ABF" w:rsidRDefault="00CE3B60">
      <w:pPr>
        <w:spacing w:before="0" w:after="0" w:line="0" w:lineRule="atLeast"/>
        <w:jc w:val="both"/>
        <w:rPr>
          <w:rFonts w:cs="Arial"/>
          <w:b/>
          <w:color w:val="000000" w:themeColor="text1"/>
          <w:sz w:val="22"/>
          <w:szCs w:val="22"/>
        </w:rPr>
      </w:pPr>
      <w:r w:rsidRPr="00CA5ABF">
        <w:rPr>
          <w:rFonts w:cs="Arial"/>
          <w:b/>
          <w:color w:val="000000" w:themeColor="text1"/>
          <w:sz w:val="22"/>
          <w:szCs w:val="22"/>
        </w:rPr>
        <w:t xml:space="preserve">Segundo. </w:t>
      </w:r>
      <w:r w:rsidR="00A778B6" w:rsidRPr="00CA5ABF">
        <w:rPr>
          <w:rFonts w:cs="Arial"/>
          <w:color w:val="000000" w:themeColor="text1"/>
          <w:sz w:val="22"/>
          <w:szCs w:val="22"/>
        </w:rPr>
        <w:t xml:space="preserve">Que la Ley 69 de 1993 establece el seguro agropecuario en Colombia como instrumento para incentivar y proteger la producción de alimentos, buscar el mejoramiento económico del sector rural, promoviendo el ordenamiento económico del sector agropecuario y la protección de las inversiones agropecuarias. </w:t>
      </w:r>
    </w:p>
    <w:p w:rsidR="00AB5D1E" w:rsidRPr="00CA5ABF" w:rsidRDefault="00AB5D1E">
      <w:pPr>
        <w:spacing w:before="0" w:after="0" w:line="0" w:lineRule="atLeast"/>
        <w:jc w:val="both"/>
        <w:rPr>
          <w:rFonts w:cs="Arial"/>
          <w:color w:val="000000" w:themeColor="text1"/>
          <w:sz w:val="22"/>
          <w:szCs w:val="22"/>
        </w:rPr>
      </w:pPr>
    </w:p>
    <w:p w:rsidR="00AB5D1E" w:rsidRPr="00CA5ABF" w:rsidRDefault="00CE3B60">
      <w:pPr>
        <w:spacing w:before="0" w:after="0" w:line="0" w:lineRule="atLeast"/>
        <w:jc w:val="both"/>
        <w:rPr>
          <w:rFonts w:cs="Arial"/>
          <w:b/>
          <w:color w:val="000000" w:themeColor="text1"/>
          <w:sz w:val="22"/>
          <w:szCs w:val="22"/>
        </w:rPr>
      </w:pPr>
      <w:r w:rsidRPr="00CA5ABF">
        <w:rPr>
          <w:rFonts w:cs="Arial"/>
          <w:b/>
          <w:color w:val="000000" w:themeColor="text1"/>
          <w:sz w:val="22"/>
          <w:szCs w:val="22"/>
        </w:rPr>
        <w:t xml:space="preserve">Tercero. </w:t>
      </w:r>
      <w:r w:rsidR="002270F6" w:rsidRPr="00CA5ABF">
        <w:rPr>
          <w:rFonts w:cs="Arial"/>
          <w:color w:val="000000" w:themeColor="text1"/>
          <w:sz w:val="22"/>
          <w:szCs w:val="22"/>
        </w:rPr>
        <w:t>Que la Ley 101 de 1993 determinó</w:t>
      </w:r>
      <w:r w:rsidR="00A778B6" w:rsidRPr="00CA5ABF">
        <w:rPr>
          <w:rFonts w:cs="Arial"/>
          <w:color w:val="000000" w:themeColor="text1"/>
          <w:sz w:val="22"/>
          <w:szCs w:val="22"/>
        </w:rPr>
        <w:t xml:space="preserve"> que el Estado concurrirá al pago de las primas que los productores agropecuarios deban sufragar para tomar el seguro agropecuario.</w:t>
      </w:r>
    </w:p>
    <w:p w:rsidR="00AB5D1E" w:rsidRPr="00CA5ABF" w:rsidRDefault="00AB5D1E">
      <w:pPr>
        <w:spacing w:before="0" w:after="0" w:line="0" w:lineRule="atLeast"/>
        <w:jc w:val="both"/>
        <w:rPr>
          <w:rFonts w:cs="Arial"/>
          <w:color w:val="000000" w:themeColor="text1"/>
          <w:sz w:val="22"/>
          <w:szCs w:val="22"/>
        </w:rPr>
      </w:pPr>
    </w:p>
    <w:p w:rsidR="00AB5D1E" w:rsidRPr="00CA5ABF" w:rsidRDefault="00CE3B60">
      <w:pPr>
        <w:spacing w:before="0" w:after="0" w:line="0" w:lineRule="atLeast"/>
        <w:jc w:val="both"/>
        <w:rPr>
          <w:rFonts w:cs="Arial"/>
          <w:color w:val="000000" w:themeColor="text1"/>
          <w:sz w:val="22"/>
          <w:szCs w:val="22"/>
        </w:rPr>
      </w:pPr>
      <w:r w:rsidRPr="00CA5ABF">
        <w:rPr>
          <w:rFonts w:cs="Arial"/>
          <w:b/>
          <w:color w:val="000000" w:themeColor="text1"/>
          <w:sz w:val="22"/>
          <w:szCs w:val="22"/>
        </w:rPr>
        <w:t>Cuarto.</w:t>
      </w:r>
      <w:r w:rsidRPr="00CA5ABF">
        <w:rPr>
          <w:rFonts w:cs="Arial"/>
          <w:color w:val="000000" w:themeColor="text1"/>
          <w:sz w:val="22"/>
          <w:szCs w:val="22"/>
        </w:rPr>
        <w:t xml:space="preserve"> </w:t>
      </w:r>
      <w:r w:rsidR="00A778B6" w:rsidRPr="00CA5ABF">
        <w:rPr>
          <w:rFonts w:cs="Arial"/>
          <w:color w:val="000000" w:themeColor="text1"/>
          <w:sz w:val="22"/>
          <w:szCs w:val="22"/>
        </w:rPr>
        <w:t>Que de conformidad con el artículo 75 de la Ley 1450 de 2011 corresponde al Ministerio de Agricultura y Desarrollo Rural reglamentar lo relacionado con los riesgos naturales y biológicos amparados por el seguro agropecuario.</w:t>
      </w:r>
    </w:p>
    <w:p w:rsidR="00AB5D1E" w:rsidRPr="00CA5ABF" w:rsidRDefault="00AB5D1E">
      <w:pPr>
        <w:spacing w:before="0" w:after="0" w:line="0" w:lineRule="atLeast"/>
        <w:jc w:val="both"/>
        <w:rPr>
          <w:rFonts w:cs="Arial"/>
          <w:color w:val="000000" w:themeColor="text1"/>
          <w:sz w:val="22"/>
          <w:szCs w:val="22"/>
        </w:rPr>
      </w:pPr>
    </w:p>
    <w:p w:rsidR="00AB5D1E" w:rsidRPr="00CA5ABF" w:rsidRDefault="004E7BD6">
      <w:pPr>
        <w:spacing w:before="0" w:after="0" w:line="0" w:lineRule="atLeast"/>
        <w:jc w:val="both"/>
        <w:rPr>
          <w:rFonts w:cs="Arial"/>
          <w:color w:val="000000" w:themeColor="text1"/>
          <w:sz w:val="22"/>
          <w:szCs w:val="22"/>
          <w:lang w:eastAsia="es-CO"/>
        </w:rPr>
      </w:pPr>
      <w:r w:rsidRPr="00CA5ABF">
        <w:rPr>
          <w:rFonts w:cs="Arial"/>
          <w:b/>
          <w:color w:val="000000" w:themeColor="text1"/>
          <w:sz w:val="22"/>
          <w:szCs w:val="22"/>
          <w:lang w:eastAsia="es-CO"/>
        </w:rPr>
        <w:t>Quinto.</w:t>
      </w:r>
      <w:r w:rsidRPr="00CA5ABF">
        <w:rPr>
          <w:rFonts w:cs="Arial"/>
          <w:color w:val="000000" w:themeColor="text1"/>
          <w:sz w:val="22"/>
          <w:szCs w:val="22"/>
          <w:lang w:eastAsia="es-CO"/>
        </w:rPr>
        <w:t xml:space="preserve"> </w:t>
      </w:r>
      <w:r w:rsidR="00A96CF4" w:rsidRPr="00CA5ABF">
        <w:rPr>
          <w:rFonts w:cs="Arial"/>
          <w:color w:val="000000" w:themeColor="text1"/>
          <w:sz w:val="22"/>
          <w:szCs w:val="22"/>
          <w:lang w:eastAsia="es-CO"/>
        </w:rPr>
        <w:t>Que el artículo 5</w:t>
      </w:r>
      <w:r w:rsidR="00A778B6" w:rsidRPr="00CA5ABF">
        <w:rPr>
          <w:rFonts w:cs="Arial"/>
          <w:color w:val="000000" w:themeColor="text1"/>
          <w:sz w:val="22"/>
          <w:szCs w:val="22"/>
          <w:lang w:eastAsia="es-CO"/>
        </w:rPr>
        <w:t xml:space="preserve"> de la Ley 1731 de 2014</w:t>
      </w:r>
      <w:r w:rsidR="003974CF" w:rsidRPr="00CA5ABF">
        <w:rPr>
          <w:rFonts w:cs="Arial"/>
          <w:color w:val="000000" w:themeColor="text1"/>
          <w:sz w:val="22"/>
          <w:szCs w:val="22"/>
          <w:lang w:eastAsia="es-CO"/>
        </w:rPr>
        <w:t>, señala</w:t>
      </w:r>
      <w:r w:rsidR="00A778B6" w:rsidRPr="00CA5ABF">
        <w:rPr>
          <w:rFonts w:cs="Arial"/>
          <w:color w:val="000000" w:themeColor="text1"/>
          <w:sz w:val="22"/>
          <w:szCs w:val="22"/>
          <w:lang w:eastAsia="es-CO"/>
        </w:rPr>
        <w:t>:</w:t>
      </w:r>
    </w:p>
    <w:p w:rsidR="00AB5D1E" w:rsidRPr="00CA5ABF" w:rsidRDefault="00AB5D1E">
      <w:pPr>
        <w:spacing w:before="0" w:after="0" w:line="0" w:lineRule="atLeast"/>
        <w:jc w:val="both"/>
        <w:rPr>
          <w:rFonts w:cs="Arial"/>
          <w:color w:val="000000" w:themeColor="text1"/>
          <w:sz w:val="22"/>
          <w:szCs w:val="22"/>
          <w:lang w:eastAsia="es-CO"/>
        </w:rPr>
      </w:pPr>
    </w:p>
    <w:p w:rsidR="00AB5D1E" w:rsidRPr="00CA5ABF" w:rsidRDefault="00A778B6">
      <w:pPr>
        <w:spacing w:before="0" w:after="0" w:line="0" w:lineRule="atLeast"/>
        <w:jc w:val="both"/>
        <w:rPr>
          <w:rFonts w:cs="Arial"/>
          <w:i/>
          <w:color w:val="000000" w:themeColor="text1"/>
          <w:sz w:val="22"/>
          <w:szCs w:val="22"/>
          <w:lang w:eastAsia="es-CO"/>
        </w:rPr>
      </w:pPr>
      <w:r w:rsidRPr="00CA5ABF">
        <w:rPr>
          <w:rFonts w:cs="Arial"/>
          <w:i/>
          <w:color w:val="000000" w:themeColor="text1"/>
          <w:sz w:val="22"/>
          <w:szCs w:val="22"/>
          <w:lang w:eastAsia="es-CO"/>
        </w:rPr>
        <w:t>“Ampliación del objeto del Fondo Nacional de Riesgos Agropecuarios y medidas para facilitar la toma de seguros agropecuarios. Con el propósito de fomentar la oferta del seguro agropecuario, y con cargo a los recursos disponibles por el Fondo Nacional de Riesgos Agropecuarios de que trata la Ley 69 de 1993, que será administrado por FINAGRO, se podrán cofinanciar los costos para el fortalecimiento técnico del seguro agropecuario y la obtención de información que no sea pública. Para efectos de la información que reposa en entidades públicas, esta no tendrá costo alguno para FINAGRO y las otras entidades que defina el Gobierno Nacional, el cual además definirá las condiciones de acceso a ella. Igualmente, con el propósito de fomentar la gestión de riesgos en el sector agropecuario, se podrán otorgar subsidios, apoyos o incentivos para la implementación de instrumentos de gestión de riesgos en el sector agropecuario, forestal, pesquero y de la acuicultura, tales como derivados financieros climáticos, coberturas de precios o de riesgo cambiario. La Comisión Nacional de Crédito Agropecuario reglamentará estas cofinanciaciones, subsidios, apoyos o incentivos. En todo caso, se tendrán en cuenta los recursos aprobados en el Marco de Gasto de Mediano Plazo del sector agropecuario.</w:t>
      </w:r>
    </w:p>
    <w:p w:rsidR="00AB5D1E" w:rsidRPr="00CA5ABF" w:rsidRDefault="00AB5D1E" w:rsidP="002073D0">
      <w:pPr>
        <w:spacing w:before="0" w:after="0" w:line="0" w:lineRule="atLeast"/>
        <w:jc w:val="right"/>
        <w:rPr>
          <w:rFonts w:cs="Arial"/>
          <w:i/>
          <w:color w:val="000000" w:themeColor="text1"/>
          <w:sz w:val="22"/>
          <w:szCs w:val="22"/>
          <w:lang w:eastAsia="es-CO"/>
        </w:rPr>
      </w:pPr>
    </w:p>
    <w:p w:rsidR="00AB5D1E" w:rsidRPr="00CA5ABF" w:rsidRDefault="00A778B6">
      <w:pPr>
        <w:spacing w:before="0" w:after="0" w:line="0" w:lineRule="atLeast"/>
        <w:jc w:val="both"/>
        <w:rPr>
          <w:rFonts w:cs="Arial"/>
          <w:i/>
          <w:color w:val="000000" w:themeColor="text1"/>
          <w:sz w:val="22"/>
          <w:szCs w:val="22"/>
          <w:lang w:eastAsia="es-CO"/>
        </w:rPr>
      </w:pPr>
      <w:r w:rsidRPr="00CA5ABF">
        <w:rPr>
          <w:rFonts w:cs="Arial"/>
          <w:i/>
          <w:color w:val="000000" w:themeColor="text1"/>
          <w:sz w:val="22"/>
          <w:szCs w:val="22"/>
          <w:lang w:eastAsia="es-CO"/>
        </w:rPr>
        <w:t>Las condiciones de asegurabilidad de los proyectos agropecuarios, forestales, pesqueros y de la acuicultura, objeto del seguro agropecuario serán definidas por la Comisión Nacional de Crédito Agropecuario”.</w:t>
      </w:r>
    </w:p>
    <w:p w:rsidR="00AB5D1E" w:rsidRPr="00CA5ABF" w:rsidRDefault="00AB5D1E">
      <w:pPr>
        <w:spacing w:before="0" w:after="0" w:line="0" w:lineRule="atLeast"/>
        <w:jc w:val="both"/>
        <w:rPr>
          <w:rFonts w:cs="Arial"/>
          <w:color w:val="000000" w:themeColor="text1"/>
          <w:sz w:val="22"/>
          <w:szCs w:val="22"/>
          <w:lang w:eastAsia="es-CO"/>
        </w:rPr>
      </w:pPr>
    </w:p>
    <w:p w:rsidR="00AB5D1E" w:rsidRPr="00CA5ABF" w:rsidRDefault="004E7BD6">
      <w:pPr>
        <w:spacing w:before="0" w:after="0" w:line="0" w:lineRule="atLeast"/>
        <w:jc w:val="both"/>
        <w:rPr>
          <w:rFonts w:cs="Arial"/>
          <w:color w:val="000000" w:themeColor="text1"/>
          <w:sz w:val="22"/>
          <w:szCs w:val="22"/>
          <w:lang w:eastAsia="es-CO"/>
        </w:rPr>
      </w:pPr>
      <w:r w:rsidRPr="00CA5ABF">
        <w:rPr>
          <w:rFonts w:cs="Arial"/>
          <w:b/>
          <w:color w:val="000000" w:themeColor="text1"/>
          <w:sz w:val="22"/>
          <w:szCs w:val="22"/>
          <w:lang w:eastAsia="es-CO"/>
        </w:rPr>
        <w:t>Sexto</w:t>
      </w:r>
      <w:r w:rsidR="00C14E1F" w:rsidRPr="00CA5ABF">
        <w:rPr>
          <w:rFonts w:cs="Arial"/>
          <w:b/>
          <w:color w:val="000000" w:themeColor="text1"/>
          <w:sz w:val="22"/>
          <w:szCs w:val="22"/>
          <w:lang w:eastAsia="es-CO"/>
        </w:rPr>
        <w:t>.</w:t>
      </w:r>
      <w:r w:rsidR="00ED1137" w:rsidRPr="00CA5ABF">
        <w:rPr>
          <w:rFonts w:cs="Arial"/>
          <w:b/>
          <w:color w:val="000000" w:themeColor="text1"/>
          <w:sz w:val="22"/>
          <w:szCs w:val="22"/>
          <w:lang w:eastAsia="es-CO"/>
        </w:rPr>
        <w:t xml:space="preserve"> </w:t>
      </w:r>
      <w:r w:rsidR="00A778B6" w:rsidRPr="00CA5ABF">
        <w:rPr>
          <w:rFonts w:cs="Arial"/>
          <w:color w:val="000000" w:themeColor="text1"/>
          <w:sz w:val="22"/>
          <w:szCs w:val="22"/>
          <w:lang w:eastAsia="es-CO"/>
        </w:rPr>
        <w:t xml:space="preserve">Que el Decreto 1449 de 2015, por medio del cual se adiciona al </w:t>
      </w:r>
      <w:r w:rsidR="00A97754" w:rsidRPr="00CA5ABF">
        <w:rPr>
          <w:rFonts w:cs="Arial"/>
          <w:color w:val="000000" w:themeColor="text1"/>
          <w:sz w:val="22"/>
          <w:szCs w:val="22"/>
          <w:lang w:eastAsia="es-CO"/>
        </w:rPr>
        <w:t xml:space="preserve">libro </w:t>
      </w:r>
      <w:r w:rsidR="00A778B6" w:rsidRPr="00CA5ABF">
        <w:rPr>
          <w:rFonts w:cs="Arial"/>
          <w:color w:val="000000" w:themeColor="text1"/>
          <w:sz w:val="22"/>
          <w:szCs w:val="22"/>
          <w:lang w:eastAsia="es-CO"/>
        </w:rPr>
        <w:t>2 del Decreto 1071</w:t>
      </w:r>
      <w:r w:rsidR="00D873D7" w:rsidRPr="00CA5ABF">
        <w:rPr>
          <w:rFonts w:cs="Arial"/>
          <w:color w:val="000000" w:themeColor="text1"/>
          <w:sz w:val="22"/>
          <w:szCs w:val="22"/>
          <w:lang w:eastAsia="es-CO"/>
        </w:rPr>
        <w:t xml:space="preserve"> </w:t>
      </w:r>
      <w:r w:rsidR="00A778B6" w:rsidRPr="00CA5ABF">
        <w:rPr>
          <w:rFonts w:cs="Arial"/>
          <w:color w:val="000000" w:themeColor="text1"/>
          <w:sz w:val="22"/>
          <w:szCs w:val="22"/>
          <w:lang w:eastAsia="es-CO"/>
        </w:rPr>
        <w:t xml:space="preserve">de 2015, Decreto Único Reglamentario del Sector Administrativo Agropecuario, Pesquero y de Desarrollo Rural, el </w:t>
      </w:r>
      <w:r w:rsidR="00A97754" w:rsidRPr="00CA5ABF">
        <w:rPr>
          <w:rFonts w:cs="Arial"/>
          <w:color w:val="000000" w:themeColor="text1"/>
          <w:sz w:val="22"/>
          <w:szCs w:val="22"/>
          <w:lang w:eastAsia="es-CO"/>
        </w:rPr>
        <w:t xml:space="preserve">título </w:t>
      </w:r>
      <w:r w:rsidR="00A778B6" w:rsidRPr="00CA5ABF">
        <w:rPr>
          <w:rFonts w:cs="Arial"/>
          <w:color w:val="000000" w:themeColor="text1"/>
          <w:sz w:val="22"/>
          <w:szCs w:val="22"/>
          <w:lang w:eastAsia="es-CO"/>
        </w:rPr>
        <w:t xml:space="preserve">1 de la </w:t>
      </w:r>
      <w:r w:rsidR="00A97754" w:rsidRPr="00CA5ABF">
        <w:rPr>
          <w:rFonts w:cs="Arial"/>
          <w:color w:val="000000" w:themeColor="text1"/>
          <w:sz w:val="22"/>
          <w:szCs w:val="22"/>
          <w:lang w:eastAsia="es-CO"/>
        </w:rPr>
        <w:t xml:space="preserve">parte </w:t>
      </w:r>
      <w:r w:rsidR="003974CF" w:rsidRPr="00CA5ABF">
        <w:rPr>
          <w:rFonts w:cs="Arial"/>
          <w:color w:val="000000" w:themeColor="text1"/>
          <w:sz w:val="22"/>
          <w:szCs w:val="22"/>
          <w:lang w:eastAsia="es-CO"/>
        </w:rPr>
        <w:t>17, desarrolla</w:t>
      </w:r>
      <w:r w:rsidR="00A778B6" w:rsidRPr="00CA5ABF">
        <w:rPr>
          <w:rFonts w:cs="Arial"/>
          <w:color w:val="000000" w:themeColor="text1"/>
          <w:sz w:val="22"/>
          <w:szCs w:val="22"/>
          <w:lang w:eastAsia="es-CO"/>
        </w:rPr>
        <w:t xml:space="preserve"> lo relacionado con la información pública para la gestión de riesgos en el sector agropecuario. </w:t>
      </w:r>
    </w:p>
    <w:p w:rsidR="00AB5D1E" w:rsidRPr="00CA5ABF" w:rsidRDefault="00AB5D1E">
      <w:pPr>
        <w:spacing w:before="0" w:after="0" w:line="0" w:lineRule="atLeast"/>
        <w:jc w:val="both"/>
        <w:rPr>
          <w:rFonts w:cs="Arial"/>
          <w:color w:val="000000" w:themeColor="text1"/>
          <w:sz w:val="22"/>
          <w:szCs w:val="22"/>
          <w:lang w:eastAsia="es-CO"/>
        </w:rPr>
      </w:pPr>
    </w:p>
    <w:p w:rsidR="00AB5D1E" w:rsidRPr="00CA5ABF" w:rsidRDefault="004E7BD6">
      <w:pPr>
        <w:pStyle w:val="Default"/>
        <w:jc w:val="both"/>
        <w:rPr>
          <w:color w:val="000000" w:themeColor="text1"/>
          <w:sz w:val="22"/>
          <w:szCs w:val="22"/>
          <w:lang w:eastAsia="es-CO"/>
        </w:rPr>
      </w:pPr>
      <w:r w:rsidRPr="00CA5ABF">
        <w:rPr>
          <w:b/>
          <w:color w:val="000000" w:themeColor="text1"/>
          <w:sz w:val="22"/>
          <w:szCs w:val="22"/>
          <w:lang w:eastAsia="es-CO"/>
        </w:rPr>
        <w:t>Séptimo</w:t>
      </w:r>
      <w:r w:rsidR="00847DC6" w:rsidRPr="00CA5ABF">
        <w:rPr>
          <w:b/>
          <w:color w:val="000000" w:themeColor="text1"/>
          <w:sz w:val="22"/>
          <w:szCs w:val="22"/>
          <w:lang w:eastAsia="es-CO"/>
        </w:rPr>
        <w:t>.</w:t>
      </w:r>
      <w:r w:rsidR="00ED1137" w:rsidRPr="00CA5ABF">
        <w:rPr>
          <w:b/>
          <w:color w:val="000000" w:themeColor="text1"/>
          <w:sz w:val="22"/>
          <w:szCs w:val="22"/>
          <w:lang w:eastAsia="es-CO"/>
        </w:rPr>
        <w:t xml:space="preserve"> </w:t>
      </w:r>
      <w:r w:rsidR="00A778B6" w:rsidRPr="00CA5ABF">
        <w:rPr>
          <w:color w:val="000000" w:themeColor="text1"/>
          <w:sz w:val="22"/>
          <w:szCs w:val="22"/>
          <w:lang w:eastAsia="es-CO"/>
        </w:rPr>
        <w:t>Que e</w:t>
      </w:r>
      <w:r w:rsidR="003974CF" w:rsidRPr="00CA5ABF">
        <w:rPr>
          <w:color w:val="000000" w:themeColor="text1"/>
          <w:sz w:val="22"/>
          <w:szCs w:val="22"/>
          <w:lang w:eastAsia="es-CO"/>
        </w:rPr>
        <w:t>l Decreto 2555 de 2010 establece</w:t>
      </w:r>
      <w:r w:rsidR="00A778B6" w:rsidRPr="00CA5ABF">
        <w:rPr>
          <w:color w:val="000000" w:themeColor="text1"/>
          <w:sz w:val="22"/>
          <w:szCs w:val="22"/>
          <w:lang w:eastAsia="es-CO"/>
        </w:rPr>
        <w:t xml:space="preserve"> los lineamientos generales del seguro agropecuario.</w:t>
      </w:r>
    </w:p>
    <w:p w:rsidR="00CE3B60" w:rsidRPr="00CA5ABF" w:rsidRDefault="00CE3B60">
      <w:pPr>
        <w:pStyle w:val="Default"/>
        <w:jc w:val="both"/>
        <w:rPr>
          <w:sz w:val="22"/>
          <w:szCs w:val="22"/>
          <w:lang w:eastAsia="es-CO"/>
        </w:rPr>
      </w:pPr>
    </w:p>
    <w:p w:rsidR="00A965BE" w:rsidRPr="00CA5ABF" w:rsidRDefault="00847DC6" w:rsidP="00A965BE">
      <w:pPr>
        <w:pStyle w:val="Default"/>
        <w:jc w:val="both"/>
        <w:rPr>
          <w:sz w:val="22"/>
          <w:szCs w:val="22"/>
          <w:lang w:eastAsia="es-CO"/>
        </w:rPr>
      </w:pPr>
      <w:r w:rsidRPr="00CA5ABF">
        <w:rPr>
          <w:b/>
          <w:sz w:val="22"/>
          <w:szCs w:val="22"/>
          <w:lang w:eastAsia="es-CO"/>
        </w:rPr>
        <w:t>Octav</w:t>
      </w:r>
      <w:r w:rsidR="00ED1137" w:rsidRPr="00CA5ABF">
        <w:rPr>
          <w:b/>
          <w:sz w:val="22"/>
          <w:szCs w:val="22"/>
          <w:lang w:eastAsia="es-CO"/>
        </w:rPr>
        <w:t>o</w:t>
      </w:r>
      <w:r w:rsidR="00C14E1F" w:rsidRPr="00CA5ABF">
        <w:rPr>
          <w:b/>
          <w:sz w:val="22"/>
          <w:szCs w:val="22"/>
          <w:lang w:eastAsia="es-CO"/>
        </w:rPr>
        <w:t>.</w:t>
      </w:r>
      <w:r w:rsidR="004E7BD6" w:rsidRPr="00CA5ABF">
        <w:rPr>
          <w:b/>
          <w:sz w:val="22"/>
          <w:szCs w:val="22"/>
          <w:lang w:eastAsia="es-CO"/>
        </w:rPr>
        <w:t xml:space="preserve"> </w:t>
      </w:r>
      <w:r w:rsidR="009C5A37" w:rsidRPr="00CA5ABF">
        <w:rPr>
          <w:sz w:val="22"/>
          <w:szCs w:val="22"/>
          <w:lang w:eastAsia="es-CO"/>
        </w:rPr>
        <w:t xml:space="preserve"> </w:t>
      </w:r>
      <w:r w:rsidR="00A965BE" w:rsidRPr="00CA5ABF">
        <w:rPr>
          <w:color w:val="000000" w:themeColor="text1"/>
          <w:sz w:val="22"/>
          <w:szCs w:val="22"/>
          <w:lang w:eastAsia="es-CO"/>
        </w:rPr>
        <w:t xml:space="preserve">Que el Decreto Ley 2371 </w:t>
      </w:r>
      <w:r w:rsidR="00A965BE" w:rsidRPr="00CA5ABF">
        <w:rPr>
          <w:color w:val="000000" w:themeColor="text1"/>
          <w:sz w:val="22"/>
          <w:szCs w:val="22"/>
        </w:rPr>
        <w:t xml:space="preserve">de 2015, </w:t>
      </w:r>
      <w:r w:rsidR="00A965BE" w:rsidRPr="00CA5ABF">
        <w:rPr>
          <w:i/>
          <w:color w:val="000000" w:themeColor="text1"/>
          <w:sz w:val="22"/>
          <w:szCs w:val="22"/>
        </w:rPr>
        <w:t>“</w:t>
      </w:r>
      <w:r w:rsidR="00A965BE" w:rsidRPr="00CA5ABF">
        <w:rPr>
          <w:i/>
          <w:sz w:val="22"/>
          <w:szCs w:val="22"/>
          <w:lang w:eastAsia="es-CO"/>
        </w:rPr>
        <w:t>Por el cual se crean y modifican unas funciones de la Comisión Nacional de Crédito Agropecuario y se modifica el objeto y las competencias del Fondo para el Financiamiento del Sector Agropecuario –FINAGRO</w:t>
      </w:r>
      <w:r w:rsidR="00A965BE" w:rsidRPr="00CA5ABF">
        <w:rPr>
          <w:sz w:val="22"/>
          <w:szCs w:val="22"/>
          <w:lang w:eastAsia="es-CO"/>
        </w:rPr>
        <w:t>”, en el artículo 5 referente a su vigencia, derogó expresamente el artículo 85 de la Ley 101 de 1993, que adicionaba tres (3) miembros a la CNCA para efectos de desarrollar el seguro agropecuario.</w:t>
      </w:r>
    </w:p>
    <w:p w:rsidR="00AB5D1E" w:rsidRPr="00CA5ABF" w:rsidRDefault="00AB5D1E" w:rsidP="00A965BE">
      <w:pPr>
        <w:pStyle w:val="Default"/>
        <w:jc w:val="both"/>
        <w:rPr>
          <w:sz w:val="22"/>
          <w:szCs w:val="22"/>
          <w:lang w:eastAsia="es-CO"/>
        </w:rPr>
      </w:pPr>
    </w:p>
    <w:p w:rsidR="00A965BE" w:rsidRPr="00CA5ABF" w:rsidRDefault="00847DC6" w:rsidP="00A965BE">
      <w:pPr>
        <w:spacing w:before="0" w:after="0" w:line="0" w:lineRule="atLeast"/>
        <w:jc w:val="both"/>
        <w:rPr>
          <w:rFonts w:eastAsia="Calibri" w:cs="Arial"/>
          <w:color w:val="000000"/>
          <w:sz w:val="22"/>
          <w:szCs w:val="22"/>
          <w:lang w:eastAsia="es-CO"/>
        </w:rPr>
      </w:pPr>
      <w:r w:rsidRPr="00CA5ABF">
        <w:rPr>
          <w:rFonts w:eastAsia="Calibri" w:cs="Arial"/>
          <w:b/>
          <w:color w:val="000000"/>
          <w:sz w:val="22"/>
          <w:szCs w:val="22"/>
          <w:lang w:eastAsia="es-CO"/>
        </w:rPr>
        <w:t>Noven</w:t>
      </w:r>
      <w:r w:rsidR="00ED1137" w:rsidRPr="00CA5ABF">
        <w:rPr>
          <w:rFonts w:eastAsia="Calibri" w:cs="Arial"/>
          <w:b/>
          <w:color w:val="000000"/>
          <w:sz w:val="22"/>
          <w:szCs w:val="22"/>
          <w:lang w:eastAsia="es-CO"/>
        </w:rPr>
        <w:t>o</w:t>
      </w:r>
      <w:r w:rsidR="00C14E1F" w:rsidRPr="00CA5ABF">
        <w:rPr>
          <w:rFonts w:eastAsia="Calibri" w:cs="Arial"/>
          <w:b/>
          <w:color w:val="000000"/>
          <w:sz w:val="22"/>
          <w:szCs w:val="22"/>
          <w:lang w:eastAsia="es-CO"/>
        </w:rPr>
        <w:t>.</w:t>
      </w:r>
      <w:r w:rsidR="00ED1137" w:rsidRPr="00CA5ABF">
        <w:rPr>
          <w:rFonts w:eastAsia="Calibri" w:cs="Arial"/>
          <w:b/>
          <w:color w:val="000000"/>
          <w:sz w:val="22"/>
          <w:szCs w:val="22"/>
          <w:lang w:eastAsia="es-CO"/>
        </w:rPr>
        <w:t xml:space="preserve"> </w:t>
      </w:r>
      <w:r w:rsidR="00A965BE" w:rsidRPr="00CA5ABF">
        <w:rPr>
          <w:rFonts w:eastAsia="Calibri" w:cs="Arial"/>
          <w:color w:val="000000"/>
          <w:sz w:val="22"/>
          <w:szCs w:val="22"/>
          <w:lang w:eastAsia="es-CO"/>
        </w:rPr>
        <w:t xml:space="preserve">Que el proyecto de resolución </w:t>
      </w:r>
      <w:r w:rsidR="00A965BE" w:rsidRPr="00CA5ABF">
        <w:rPr>
          <w:rFonts w:eastAsia="Calibri" w:cs="Arial"/>
          <w:i/>
          <w:color w:val="000000"/>
          <w:sz w:val="22"/>
          <w:szCs w:val="22"/>
          <w:lang w:eastAsia="es-CO"/>
        </w:rPr>
        <w:t>“Por la cual se aprueba el Plan Anual de Gestión de Riesgos Agropecuarios para el año 2019, y se dictan otras disposiciones”</w:t>
      </w:r>
      <w:r w:rsidR="00A965BE" w:rsidRPr="00CA5ABF">
        <w:rPr>
          <w:rFonts w:eastAsia="Calibri" w:cs="Arial"/>
          <w:color w:val="000000"/>
          <w:sz w:val="22"/>
          <w:szCs w:val="22"/>
          <w:lang w:eastAsia="es-CO"/>
        </w:rPr>
        <w:t xml:space="preserve"> estuvo publicado en la página web de FINAGRO para comentarios. </w:t>
      </w:r>
    </w:p>
    <w:p w:rsidR="00D120F5" w:rsidRPr="00CA5ABF" w:rsidRDefault="00D120F5" w:rsidP="00D120F5">
      <w:pPr>
        <w:pStyle w:val="Default"/>
        <w:jc w:val="both"/>
        <w:rPr>
          <w:sz w:val="22"/>
          <w:szCs w:val="22"/>
          <w:lang w:eastAsia="es-CO"/>
        </w:rPr>
      </w:pPr>
    </w:p>
    <w:p w:rsidR="00AB5D1E" w:rsidRPr="00CA5ABF" w:rsidRDefault="00847DC6">
      <w:pPr>
        <w:spacing w:before="0" w:after="0" w:line="0" w:lineRule="atLeast"/>
        <w:jc w:val="both"/>
        <w:rPr>
          <w:rFonts w:eastAsia="Calibri" w:cs="Arial"/>
          <w:color w:val="000000"/>
          <w:sz w:val="22"/>
          <w:szCs w:val="22"/>
          <w:lang w:eastAsia="es-CO"/>
        </w:rPr>
      </w:pPr>
      <w:r w:rsidRPr="00CA5ABF">
        <w:rPr>
          <w:rFonts w:eastAsia="Calibri" w:cs="Arial"/>
          <w:b/>
          <w:color w:val="000000"/>
          <w:sz w:val="22"/>
          <w:szCs w:val="22"/>
          <w:lang w:eastAsia="es-CO"/>
        </w:rPr>
        <w:t>D</w:t>
      </w:r>
      <w:r w:rsidR="00ED1137" w:rsidRPr="00CA5ABF">
        <w:rPr>
          <w:rFonts w:eastAsia="Calibri" w:cs="Arial"/>
          <w:b/>
          <w:color w:val="000000"/>
          <w:sz w:val="22"/>
          <w:szCs w:val="22"/>
          <w:lang w:eastAsia="es-CO"/>
        </w:rPr>
        <w:t>écimo</w:t>
      </w:r>
      <w:r w:rsidR="00C14E1F" w:rsidRPr="00CA5ABF">
        <w:rPr>
          <w:rFonts w:eastAsia="Calibri" w:cs="Arial"/>
          <w:b/>
          <w:color w:val="000000"/>
          <w:sz w:val="22"/>
          <w:szCs w:val="22"/>
          <w:lang w:eastAsia="es-CO"/>
        </w:rPr>
        <w:t>.</w:t>
      </w:r>
      <w:r w:rsidR="00ED1137" w:rsidRPr="00CA5ABF">
        <w:rPr>
          <w:rFonts w:eastAsia="Calibri" w:cs="Arial"/>
          <w:b/>
          <w:color w:val="000000"/>
          <w:sz w:val="22"/>
          <w:szCs w:val="22"/>
          <w:lang w:eastAsia="es-CO"/>
        </w:rPr>
        <w:t xml:space="preserve"> </w:t>
      </w:r>
      <w:r w:rsidR="000655DD" w:rsidRPr="00CA5ABF">
        <w:rPr>
          <w:rFonts w:cs="Arial"/>
          <w:sz w:val="22"/>
          <w:szCs w:val="22"/>
        </w:rPr>
        <w:t xml:space="preserve">Que, el documento con la justificación jurídica y técnica de la presente resolución fue presentado para consideración de la CNCA y discutido en la reunión llevada a cabo el </w:t>
      </w:r>
      <w:r w:rsidR="000655DD" w:rsidRPr="00CA5ABF">
        <w:rPr>
          <w:rFonts w:cs="Arial"/>
          <w:snapToGrid w:val="0"/>
          <w:sz w:val="22"/>
          <w:szCs w:val="22"/>
        </w:rPr>
        <w:t xml:space="preserve">14 </w:t>
      </w:r>
      <w:r w:rsidR="000655DD" w:rsidRPr="00CA5ABF">
        <w:rPr>
          <w:rFonts w:cs="Arial"/>
          <w:sz w:val="22"/>
          <w:szCs w:val="22"/>
        </w:rPr>
        <w:t xml:space="preserve">de </w:t>
      </w:r>
      <w:r w:rsidR="000655DD" w:rsidRPr="00CA5ABF">
        <w:rPr>
          <w:rFonts w:cs="Arial"/>
          <w:snapToGrid w:val="0"/>
          <w:sz w:val="22"/>
          <w:szCs w:val="22"/>
        </w:rPr>
        <w:t>diciembre</w:t>
      </w:r>
      <w:r w:rsidR="000655DD" w:rsidRPr="00CA5ABF">
        <w:rPr>
          <w:rFonts w:cs="Arial"/>
          <w:b/>
          <w:snapToGrid w:val="0"/>
          <w:sz w:val="22"/>
          <w:szCs w:val="22"/>
        </w:rPr>
        <w:t xml:space="preserve"> </w:t>
      </w:r>
      <w:r w:rsidR="000655DD" w:rsidRPr="00CA5ABF">
        <w:rPr>
          <w:rFonts w:cs="Arial"/>
          <w:sz w:val="22"/>
          <w:szCs w:val="22"/>
        </w:rPr>
        <w:t>de 2018.</w:t>
      </w:r>
    </w:p>
    <w:p w:rsidR="00AB5D1E" w:rsidRPr="00CA5ABF" w:rsidRDefault="00AB5D1E">
      <w:pPr>
        <w:spacing w:before="0" w:after="0" w:line="0" w:lineRule="atLeast"/>
        <w:jc w:val="both"/>
        <w:rPr>
          <w:rFonts w:eastAsia="Calibri" w:cs="Arial"/>
          <w:color w:val="000000"/>
          <w:sz w:val="22"/>
          <w:szCs w:val="22"/>
          <w:lang w:eastAsia="es-CO"/>
        </w:rPr>
      </w:pPr>
    </w:p>
    <w:p w:rsidR="00AB5D1E" w:rsidRPr="00CA5ABF" w:rsidRDefault="00ED1137">
      <w:pPr>
        <w:spacing w:before="0" w:after="0" w:line="0" w:lineRule="atLeast"/>
        <w:jc w:val="both"/>
        <w:rPr>
          <w:rFonts w:eastAsia="Calibri" w:cs="Arial"/>
          <w:color w:val="000000"/>
          <w:sz w:val="22"/>
          <w:szCs w:val="22"/>
          <w:lang w:eastAsia="es-CO"/>
        </w:rPr>
      </w:pPr>
      <w:r w:rsidRPr="00CA5ABF">
        <w:rPr>
          <w:rFonts w:eastAsia="Calibri" w:cs="Arial"/>
          <w:color w:val="000000"/>
          <w:sz w:val="22"/>
          <w:szCs w:val="22"/>
          <w:lang w:eastAsia="es-CO"/>
        </w:rPr>
        <w:t>E</w:t>
      </w:r>
      <w:r w:rsidR="00A778B6" w:rsidRPr="00CA5ABF">
        <w:rPr>
          <w:rFonts w:eastAsia="Calibri" w:cs="Arial"/>
          <w:color w:val="000000"/>
          <w:sz w:val="22"/>
          <w:szCs w:val="22"/>
          <w:lang w:eastAsia="es-CO"/>
        </w:rPr>
        <w:t xml:space="preserve">n mérito de lo anterior, </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center"/>
        <w:rPr>
          <w:rFonts w:cs="Arial"/>
          <w:b/>
          <w:bCs/>
          <w:color w:val="000000" w:themeColor="text1"/>
          <w:sz w:val="22"/>
          <w:szCs w:val="22"/>
        </w:rPr>
      </w:pPr>
      <w:r w:rsidRPr="00CA5ABF">
        <w:rPr>
          <w:rFonts w:cs="Arial"/>
          <w:b/>
          <w:bCs/>
          <w:color w:val="000000" w:themeColor="text1"/>
          <w:sz w:val="22"/>
          <w:szCs w:val="22"/>
        </w:rPr>
        <w:t>RESUELVE:</w:t>
      </w:r>
    </w:p>
    <w:p w:rsidR="00AB5D1E" w:rsidRPr="00CA5ABF" w:rsidRDefault="00AB5D1E">
      <w:pPr>
        <w:spacing w:before="0" w:after="0" w:line="0" w:lineRule="atLeast"/>
        <w:jc w:val="center"/>
        <w:rPr>
          <w:rFonts w:cs="Arial"/>
          <w:b/>
          <w:bCs/>
          <w:color w:val="000000" w:themeColor="text1"/>
          <w:sz w:val="22"/>
          <w:szCs w:val="22"/>
        </w:rPr>
      </w:pPr>
    </w:p>
    <w:p w:rsidR="00AB5D1E" w:rsidRPr="00CA5ABF" w:rsidRDefault="00A778B6">
      <w:pPr>
        <w:spacing w:before="0" w:after="0" w:line="0" w:lineRule="atLeast"/>
        <w:jc w:val="both"/>
        <w:rPr>
          <w:rFonts w:cs="Arial"/>
          <w:sz w:val="22"/>
          <w:szCs w:val="22"/>
        </w:rPr>
      </w:pPr>
      <w:r w:rsidRPr="00CA5ABF">
        <w:rPr>
          <w:rFonts w:cs="Arial"/>
          <w:b/>
          <w:sz w:val="22"/>
          <w:szCs w:val="22"/>
        </w:rPr>
        <w:lastRenderedPageBreak/>
        <w:t>Artículo 1</w:t>
      </w:r>
      <w:r w:rsidR="00ED1137" w:rsidRPr="00CA5ABF">
        <w:rPr>
          <w:rFonts w:cs="Arial"/>
          <w:b/>
          <w:sz w:val="22"/>
          <w:szCs w:val="22"/>
        </w:rPr>
        <w:t>o</w:t>
      </w:r>
      <w:r w:rsidRPr="00CA5ABF">
        <w:rPr>
          <w:rFonts w:cs="Arial"/>
          <w:b/>
          <w:sz w:val="22"/>
          <w:szCs w:val="22"/>
        </w:rPr>
        <w:t>. Presupuesto</w:t>
      </w:r>
      <w:r w:rsidRPr="00CA5ABF">
        <w:rPr>
          <w:rFonts w:cs="Arial"/>
          <w:sz w:val="22"/>
          <w:szCs w:val="22"/>
        </w:rPr>
        <w:t xml:space="preserve">. Aprobar el Plan Anual de Gestión de Riesgos Agropecuarios para el </w:t>
      </w:r>
      <w:r w:rsidR="003B1267" w:rsidRPr="00CA5ABF">
        <w:rPr>
          <w:rFonts w:cs="Arial"/>
          <w:sz w:val="22"/>
          <w:szCs w:val="22"/>
        </w:rPr>
        <w:t>año</w:t>
      </w:r>
      <w:r w:rsidRPr="00CA5ABF">
        <w:rPr>
          <w:rFonts w:cs="Arial"/>
          <w:sz w:val="22"/>
          <w:szCs w:val="22"/>
        </w:rPr>
        <w:t xml:space="preserve"> 201</w:t>
      </w:r>
      <w:r w:rsidR="005C68CD" w:rsidRPr="00CA5ABF">
        <w:rPr>
          <w:rFonts w:cs="Arial"/>
          <w:sz w:val="22"/>
          <w:szCs w:val="22"/>
        </w:rPr>
        <w:t>9</w:t>
      </w:r>
      <w:r w:rsidRPr="00CA5ABF">
        <w:rPr>
          <w:rFonts w:cs="Arial"/>
          <w:sz w:val="22"/>
          <w:szCs w:val="22"/>
        </w:rPr>
        <w:t xml:space="preserve"> en la suma de </w:t>
      </w:r>
      <w:r w:rsidR="00CC4E4E" w:rsidRPr="00CA5ABF">
        <w:rPr>
          <w:rFonts w:cs="Arial"/>
          <w:sz w:val="22"/>
          <w:szCs w:val="22"/>
        </w:rPr>
        <w:t xml:space="preserve">OCHENTA MIL OCHOCIENTOS </w:t>
      </w:r>
      <w:r w:rsidRPr="00CA5ABF">
        <w:rPr>
          <w:rFonts w:cs="Arial"/>
          <w:sz w:val="22"/>
          <w:szCs w:val="22"/>
        </w:rPr>
        <w:t>MILLONES DE PESOS ($</w:t>
      </w:r>
      <w:r w:rsidR="00CC4E4E" w:rsidRPr="00CA5ABF">
        <w:rPr>
          <w:rFonts w:cs="Arial"/>
          <w:sz w:val="22"/>
          <w:szCs w:val="22"/>
        </w:rPr>
        <w:t>80.800.000.000</w:t>
      </w:r>
      <w:r w:rsidRPr="00CA5ABF">
        <w:rPr>
          <w:rFonts w:cs="Arial"/>
          <w:sz w:val="22"/>
          <w:szCs w:val="22"/>
        </w:rPr>
        <w:t xml:space="preserve">), </w:t>
      </w:r>
      <w:r w:rsidRPr="00CA5ABF">
        <w:rPr>
          <w:rFonts w:cs="Arial"/>
          <w:bCs/>
          <w:sz w:val="22"/>
          <w:szCs w:val="22"/>
        </w:rPr>
        <w:t>sin perjuicio de que el Gobierno Nacional pueda tra</w:t>
      </w:r>
      <w:r w:rsidR="00795602" w:rsidRPr="00CA5ABF">
        <w:rPr>
          <w:rFonts w:cs="Arial"/>
          <w:bCs/>
          <w:sz w:val="22"/>
          <w:szCs w:val="22"/>
        </w:rPr>
        <w:t>n</w:t>
      </w:r>
      <w:r w:rsidRPr="00CA5ABF">
        <w:rPr>
          <w:rFonts w:cs="Arial"/>
          <w:bCs/>
          <w:sz w:val="22"/>
          <w:szCs w:val="22"/>
        </w:rPr>
        <w:t xml:space="preserve">sferir recursos adicionales, bien directamente o a través de aportes al Fondo </w:t>
      </w:r>
      <w:r w:rsidRPr="00CA5ABF">
        <w:rPr>
          <w:rFonts w:cs="Arial"/>
          <w:color w:val="000000" w:themeColor="text1"/>
          <w:sz w:val="22"/>
          <w:szCs w:val="22"/>
          <w:lang w:eastAsia="es-CO"/>
        </w:rPr>
        <w:t xml:space="preserve">Nacional de Riesgos Agropecuarios </w:t>
      </w:r>
      <w:r w:rsidRPr="00CA5ABF">
        <w:rPr>
          <w:rFonts w:cs="Arial"/>
          <w:i/>
          <w:color w:val="000000" w:themeColor="text1"/>
          <w:sz w:val="22"/>
          <w:szCs w:val="22"/>
          <w:lang w:eastAsia="es-CO"/>
        </w:rPr>
        <w:t xml:space="preserve">- </w:t>
      </w:r>
      <w:r w:rsidRPr="00CA5ABF">
        <w:rPr>
          <w:rFonts w:cs="Arial"/>
          <w:color w:val="000000" w:themeColor="text1"/>
          <w:sz w:val="22"/>
          <w:szCs w:val="22"/>
          <w:lang w:eastAsia="es-CO"/>
        </w:rPr>
        <w:t>F</w:t>
      </w:r>
      <w:r w:rsidRPr="00CA5ABF">
        <w:rPr>
          <w:rFonts w:cs="Arial"/>
          <w:bCs/>
          <w:sz w:val="22"/>
          <w:szCs w:val="22"/>
        </w:rPr>
        <w:t xml:space="preserve">NRA, </w:t>
      </w:r>
      <w:r w:rsidR="00A97849" w:rsidRPr="00CA5ABF">
        <w:rPr>
          <w:rFonts w:cs="Arial"/>
          <w:bCs/>
          <w:sz w:val="22"/>
          <w:szCs w:val="22"/>
        </w:rPr>
        <w:t>de acuerdo con</w:t>
      </w:r>
      <w:r w:rsidRPr="00CA5ABF">
        <w:rPr>
          <w:rFonts w:cs="Arial"/>
          <w:bCs/>
          <w:sz w:val="22"/>
          <w:szCs w:val="22"/>
        </w:rPr>
        <w:t xml:space="preserve"> la disponibilidad presupuestal. Dichos recursos se cargarán al </w:t>
      </w:r>
      <w:r w:rsidRPr="00CA5ABF">
        <w:rPr>
          <w:rFonts w:cs="Arial"/>
          <w:sz w:val="22"/>
          <w:szCs w:val="22"/>
        </w:rPr>
        <w:t>Fondo y se distribuirán así:</w:t>
      </w:r>
    </w:p>
    <w:p w:rsidR="00AB5D1E" w:rsidRPr="00CA5ABF" w:rsidRDefault="00AB5D1E">
      <w:pPr>
        <w:spacing w:before="0" w:after="0" w:line="0" w:lineRule="atLeast"/>
        <w:jc w:val="both"/>
        <w:rPr>
          <w:rFonts w:cs="Arial"/>
          <w:sz w:val="22"/>
          <w:szCs w:val="22"/>
        </w:rPr>
      </w:pPr>
    </w:p>
    <w:p w:rsidR="006A20F8" w:rsidRPr="00CA5ABF" w:rsidRDefault="00A97849" w:rsidP="0023530A">
      <w:pPr>
        <w:pStyle w:val="Prrafodelista"/>
        <w:numPr>
          <w:ilvl w:val="0"/>
          <w:numId w:val="61"/>
        </w:numPr>
        <w:spacing w:before="0" w:after="0" w:line="0" w:lineRule="atLeast"/>
        <w:jc w:val="both"/>
        <w:rPr>
          <w:rFonts w:cs="Arial"/>
          <w:sz w:val="22"/>
          <w:szCs w:val="22"/>
        </w:rPr>
      </w:pPr>
      <w:r w:rsidRPr="00CA5ABF">
        <w:rPr>
          <w:rFonts w:cs="Arial"/>
          <w:bCs/>
          <w:color w:val="000000" w:themeColor="text1"/>
          <w:sz w:val="22"/>
          <w:szCs w:val="22"/>
        </w:rPr>
        <w:t xml:space="preserve">Hasta la suma de </w:t>
      </w:r>
      <w:r w:rsidR="00CC4E4E" w:rsidRPr="00CA5ABF">
        <w:rPr>
          <w:rFonts w:cs="Arial"/>
          <w:bCs/>
          <w:color w:val="000000" w:themeColor="text1"/>
          <w:sz w:val="22"/>
          <w:szCs w:val="22"/>
        </w:rPr>
        <w:t xml:space="preserve">SETENTA Y OCHO </w:t>
      </w:r>
      <w:r w:rsidR="001F1825" w:rsidRPr="00CA5ABF">
        <w:rPr>
          <w:rFonts w:cs="Arial"/>
          <w:bCs/>
          <w:color w:val="000000" w:themeColor="text1"/>
          <w:sz w:val="22"/>
          <w:szCs w:val="22"/>
        </w:rPr>
        <w:t xml:space="preserve">MIL CIENTO CINCO </w:t>
      </w:r>
      <w:r w:rsidR="007D5877" w:rsidRPr="00CA5ABF">
        <w:rPr>
          <w:rFonts w:cs="Arial"/>
          <w:bCs/>
          <w:color w:val="000000" w:themeColor="text1"/>
          <w:sz w:val="22"/>
          <w:szCs w:val="22"/>
        </w:rPr>
        <w:t>MILLONES</w:t>
      </w:r>
      <w:r w:rsidR="001F1825" w:rsidRPr="00CA5ABF">
        <w:rPr>
          <w:rFonts w:cs="Arial"/>
          <w:bCs/>
          <w:color w:val="000000" w:themeColor="text1"/>
          <w:sz w:val="22"/>
          <w:szCs w:val="22"/>
        </w:rPr>
        <w:t xml:space="preserve"> NOVECIENTOS ONCE MIL TRESCIENTOS TREINTA</w:t>
      </w:r>
      <w:r w:rsidR="007D5877" w:rsidRPr="00CA5ABF">
        <w:rPr>
          <w:rFonts w:cs="Arial"/>
          <w:bCs/>
          <w:color w:val="000000" w:themeColor="text1"/>
          <w:sz w:val="22"/>
          <w:szCs w:val="22"/>
        </w:rPr>
        <w:t xml:space="preserve"> </w:t>
      </w:r>
      <w:r w:rsidR="00CC4E4E" w:rsidRPr="00CA5ABF">
        <w:rPr>
          <w:rFonts w:cs="Arial"/>
          <w:bCs/>
          <w:color w:val="000000" w:themeColor="text1"/>
          <w:sz w:val="22"/>
          <w:szCs w:val="22"/>
        </w:rPr>
        <w:t xml:space="preserve">PESOS </w:t>
      </w:r>
      <w:r w:rsidR="007D5877" w:rsidRPr="00CA5ABF">
        <w:rPr>
          <w:rFonts w:cs="Arial"/>
          <w:color w:val="000000" w:themeColor="text1"/>
          <w:sz w:val="22"/>
          <w:szCs w:val="22"/>
        </w:rPr>
        <w:t>($</w:t>
      </w:r>
      <w:r w:rsidR="00CC4E4E" w:rsidRPr="00CA5ABF">
        <w:rPr>
          <w:rFonts w:cs="Arial"/>
          <w:bCs/>
          <w:color w:val="000000" w:themeColor="text1"/>
          <w:sz w:val="22"/>
          <w:szCs w:val="22"/>
        </w:rPr>
        <w:t>78.</w:t>
      </w:r>
      <w:r w:rsidR="001F1825" w:rsidRPr="00CA5ABF">
        <w:rPr>
          <w:rFonts w:cs="Arial"/>
          <w:bCs/>
          <w:color w:val="000000" w:themeColor="text1"/>
          <w:sz w:val="22"/>
          <w:szCs w:val="22"/>
        </w:rPr>
        <w:t>105.911.330</w:t>
      </w:r>
      <w:r w:rsidRPr="00CA5ABF">
        <w:rPr>
          <w:rFonts w:cs="Arial"/>
          <w:color w:val="000000" w:themeColor="text1"/>
          <w:sz w:val="22"/>
          <w:szCs w:val="22"/>
        </w:rPr>
        <w:t>) p</w:t>
      </w:r>
      <w:r w:rsidR="00A778B6" w:rsidRPr="00CA5ABF">
        <w:rPr>
          <w:rFonts w:cs="Arial"/>
          <w:sz w:val="22"/>
          <w:szCs w:val="22"/>
        </w:rPr>
        <w:t xml:space="preserve">ara la aplicación del </w:t>
      </w:r>
      <w:r w:rsidR="006730CB" w:rsidRPr="00CA5ABF">
        <w:rPr>
          <w:rFonts w:cs="Arial"/>
          <w:sz w:val="22"/>
          <w:szCs w:val="22"/>
        </w:rPr>
        <w:t>incentivo</w:t>
      </w:r>
      <w:r w:rsidR="00A778B6" w:rsidRPr="00CA5ABF">
        <w:rPr>
          <w:rFonts w:cs="Arial"/>
          <w:sz w:val="22"/>
          <w:szCs w:val="22"/>
        </w:rPr>
        <w:t xml:space="preserve"> a las primas</w:t>
      </w:r>
      <w:r w:rsidRPr="00CA5ABF">
        <w:rPr>
          <w:rFonts w:cs="Arial"/>
          <w:sz w:val="22"/>
          <w:szCs w:val="22"/>
        </w:rPr>
        <w:t>. Este presupuesto</w:t>
      </w:r>
      <w:r w:rsidR="00A778B6" w:rsidRPr="00CA5ABF">
        <w:rPr>
          <w:rFonts w:cs="Arial"/>
          <w:sz w:val="22"/>
          <w:szCs w:val="22"/>
        </w:rPr>
        <w:t xml:space="preserve"> </w:t>
      </w:r>
      <w:r w:rsidR="001B2E70" w:rsidRPr="00CA5ABF">
        <w:rPr>
          <w:rFonts w:cs="Arial"/>
          <w:sz w:val="22"/>
          <w:szCs w:val="22"/>
        </w:rPr>
        <w:t xml:space="preserve">se </w:t>
      </w:r>
      <w:r w:rsidRPr="00CA5ABF">
        <w:rPr>
          <w:rFonts w:cs="Arial"/>
          <w:sz w:val="22"/>
          <w:szCs w:val="22"/>
        </w:rPr>
        <w:t>distribuirá</w:t>
      </w:r>
      <w:r w:rsidR="006A20F8" w:rsidRPr="00CA5ABF">
        <w:rPr>
          <w:rFonts w:cs="Arial"/>
          <w:sz w:val="22"/>
          <w:szCs w:val="22"/>
        </w:rPr>
        <w:t xml:space="preserve"> por bolsas </w:t>
      </w:r>
      <w:r w:rsidR="00D44C1F" w:rsidRPr="00CA5ABF">
        <w:rPr>
          <w:rFonts w:cs="Arial"/>
          <w:sz w:val="22"/>
          <w:szCs w:val="22"/>
        </w:rPr>
        <w:t>de la siguiente forma:</w:t>
      </w:r>
    </w:p>
    <w:p w:rsidR="00D44C1F" w:rsidRPr="00CA5ABF" w:rsidRDefault="00D44C1F" w:rsidP="0023530A">
      <w:pPr>
        <w:pStyle w:val="Prrafodelista"/>
        <w:spacing w:before="0" w:after="0" w:line="0" w:lineRule="atLeast"/>
        <w:ind w:left="360"/>
        <w:jc w:val="both"/>
        <w:rPr>
          <w:rFonts w:cs="Arial"/>
          <w:sz w:val="22"/>
          <w:szCs w:val="22"/>
        </w:rPr>
      </w:pPr>
    </w:p>
    <w:p w:rsidR="00ED1137" w:rsidRPr="00CA5ABF" w:rsidRDefault="000824E5" w:rsidP="003B1267">
      <w:pPr>
        <w:pStyle w:val="Prrafodelista"/>
        <w:numPr>
          <w:ilvl w:val="0"/>
          <w:numId w:val="59"/>
        </w:numPr>
        <w:spacing w:before="0" w:after="0" w:line="0" w:lineRule="atLeast"/>
        <w:ind w:left="567" w:hanging="142"/>
        <w:jc w:val="both"/>
        <w:rPr>
          <w:rFonts w:cs="Arial"/>
          <w:sz w:val="22"/>
          <w:szCs w:val="22"/>
        </w:rPr>
      </w:pPr>
      <w:r w:rsidRPr="00CA5ABF">
        <w:rPr>
          <w:rFonts w:cs="Arial"/>
          <w:b/>
          <w:sz w:val="22"/>
          <w:szCs w:val="22"/>
        </w:rPr>
        <w:t>Bolsa 1.</w:t>
      </w:r>
      <w:r w:rsidRPr="00CA5ABF">
        <w:rPr>
          <w:rFonts w:cs="Arial"/>
          <w:sz w:val="22"/>
          <w:szCs w:val="22"/>
        </w:rPr>
        <w:t xml:space="preserve"> Pólizas para seguros comerciales tradicionales agrícolas (por rendimiento</w:t>
      </w:r>
      <w:r w:rsidR="00110D15" w:rsidRPr="00CA5ABF">
        <w:rPr>
          <w:rFonts w:cs="Arial"/>
          <w:sz w:val="22"/>
          <w:szCs w:val="22"/>
        </w:rPr>
        <w:t xml:space="preserve"> garantizado</w:t>
      </w:r>
      <w:r w:rsidRPr="00CA5ABF">
        <w:rPr>
          <w:rFonts w:cs="Arial"/>
          <w:sz w:val="22"/>
          <w:szCs w:val="22"/>
        </w:rPr>
        <w:t xml:space="preserve">, daño </w:t>
      </w:r>
      <w:r w:rsidR="00110D15" w:rsidRPr="00CA5ABF">
        <w:rPr>
          <w:rFonts w:cs="Arial"/>
          <w:sz w:val="22"/>
          <w:szCs w:val="22"/>
        </w:rPr>
        <w:t xml:space="preserve">directo </w:t>
      </w:r>
      <w:r w:rsidRPr="00CA5ABF">
        <w:rPr>
          <w:rFonts w:cs="Arial"/>
          <w:sz w:val="22"/>
          <w:szCs w:val="22"/>
        </w:rPr>
        <w:t xml:space="preserve">a </w:t>
      </w:r>
      <w:r w:rsidR="00110D15" w:rsidRPr="00CA5ABF">
        <w:rPr>
          <w:rFonts w:cs="Arial"/>
          <w:sz w:val="22"/>
          <w:szCs w:val="22"/>
        </w:rPr>
        <w:t xml:space="preserve">la </w:t>
      </w:r>
      <w:r w:rsidRPr="00CA5ABF">
        <w:rPr>
          <w:rFonts w:cs="Arial"/>
          <w:sz w:val="22"/>
          <w:szCs w:val="22"/>
        </w:rPr>
        <w:t>planta o combinado</w:t>
      </w:r>
      <w:r w:rsidR="004A1264" w:rsidRPr="00CA5ABF">
        <w:rPr>
          <w:rFonts w:cs="Arial"/>
          <w:sz w:val="22"/>
          <w:szCs w:val="22"/>
        </w:rPr>
        <w:t>, entre otros</w:t>
      </w:r>
      <w:r w:rsidRPr="00CA5ABF">
        <w:rPr>
          <w:rFonts w:cs="Arial"/>
          <w:sz w:val="22"/>
          <w:szCs w:val="22"/>
        </w:rPr>
        <w:t xml:space="preserve">) </w:t>
      </w:r>
      <w:r w:rsidR="00A778B6" w:rsidRPr="00CA5ABF">
        <w:rPr>
          <w:rFonts w:cs="Arial"/>
          <w:sz w:val="22"/>
          <w:szCs w:val="22"/>
        </w:rPr>
        <w:t xml:space="preserve">hasta </w:t>
      </w:r>
      <w:r w:rsidR="00D44C1F" w:rsidRPr="00CA5ABF">
        <w:rPr>
          <w:rFonts w:cs="Arial"/>
          <w:sz w:val="22"/>
          <w:szCs w:val="22"/>
        </w:rPr>
        <w:t xml:space="preserve">una suma de </w:t>
      </w:r>
      <w:r w:rsidR="00CC4E4E" w:rsidRPr="00CA5ABF">
        <w:rPr>
          <w:rFonts w:cs="Arial"/>
          <w:sz w:val="22"/>
          <w:szCs w:val="22"/>
        </w:rPr>
        <w:t xml:space="preserve">CINCUENTA </w:t>
      </w:r>
      <w:r w:rsidR="001F1825" w:rsidRPr="00CA5ABF">
        <w:rPr>
          <w:rFonts w:cs="Arial"/>
          <w:sz w:val="22"/>
          <w:szCs w:val="22"/>
        </w:rPr>
        <w:t>Y SEIS</w:t>
      </w:r>
      <w:r w:rsidR="007D5877" w:rsidRPr="00CA5ABF">
        <w:rPr>
          <w:rFonts w:cs="Arial"/>
          <w:sz w:val="22"/>
          <w:szCs w:val="22"/>
        </w:rPr>
        <w:t xml:space="preserve"> MIL </w:t>
      </w:r>
      <w:r w:rsidR="001F1825" w:rsidRPr="00CA5ABF">
        <w:rPr>
          <w:rFonts w:cs="Arial"/>
          <w:sz w:val="22"/>
          <w:szCs w:val="22"/>
        </w:rPr>
        <w:t>DOSCIENTOS TREINTA Y SEIS</w:t>
      </w:r>
      <w:r w:rsidR="007D5877" w:rsidRPr="00CA5ABF">
        <w:rPr>
          <w:rFonts w:cs="Arial"/>
          <w:sz w:val="22"/>
          <w:szCs w:val="22"/>
        </w:rPr>
        <w:t xml:space="preserve"> MILLONES </w:t>
      </w:r>
      <w:r w:rsidR="001F1825" w:rsidRPr="00CA5ABF">
        <w:rPr>
          <w:rFonts w:cs="Arial"/>
          <w:sz w:val="22"/>
          <w:szCs w:val="22"/>
        </w:rPr>
        <w:t>DOSCIENTOS CINCUENTA Y SEIS MIL CIENTO CINCUENTA Y OCHO</w:t>
      </w:r>
      <w:r w:rsidR="007D5877" w:rsidRPr="00CA5ABF">
        <w:rPr>
          <w:rFonts w:cs="Arial"/>
          <w:sz w:val="22"/>
          <w:szCs w:val="22"/>
        </w:rPr>
        <w:t xml:space="preserve"> </w:t>
      </w:r>
      <w:r w:rsidR="00A778B6" w:rsidRPr="00CA5ABF">
        <w:rPr>
          <w:rFonts w:cs="Arial"/>
          <w:sz w:val="22"/>
          <w:szCs w:val="22"/>
        </w:rPr>
        <w:t xml:space="preserve">PESOS </w:t>
      </w:r>
      <w:r w:rsidR="00A778B6" w:rsidRPr="00CA5ABF">
        <w:rPr>
          <w:rFonts w:cs="Arial"/>
          <w:bCs/>
          <w:sz w:val="22"/>
          <w:szCs w:val="22"/>
        </w:rPr>
        <w:t>($</w:t>
      </w:r>
      <w:r w:rsidR="001F1825" w:rsidRPr="00CA5ABF">
        <w:rPr>
          <w:rFonts w:cs="Arial"/>
          <w:bCs/>
          <w:sz w:val="22"/>
          <w:szCs w:val="22"/>
        </w:rPr>
        <w:t>56.236.256.158</w:t>
      </w:r>
      <w:r w:rsidR="00A778B6" w:rsidRPr="00CA5ABF">
        <w:rPr>
          <w:rFonts w:cs="Arial"/>
          <w:bCs/>
          <w:sz w:val="22"/>
          <w:szCs w:val="22"/>
        </w:rPr>
        <w:t>).</w:t>
      </w:r>
    </w:p>
    <w:p w:rsidR="00E103DF" w:rsidRPr="00CA5ABF" w:rsidRDefault="000824E5" w:rsidP="005715F1">
      <w:pPr>
        <w:pStyle w:val="Prrafodelista"/>
        <w:numPr>
          <w:ilvl w:val="0"/>
          <w:numId w:val="59"/>
        </w:numPr>
        <w:spacing w:before="0" w:after="0" w:line="0" w:lineRule="atLeast"/>
        <w:ind w:left="567" w:hanging="142"/>
        <w:jc w:val="both"/>
        <w:rPr>
          <w:rFonts w:cs="Arial"/>
          <w:sz w:val="22"/>
          <w:szCs w:val="22"/>
        </w:rPr>
      </w:pPr>
      <w:r w:rsidRPr="00CA5ABF">
        <w:rPr>
          <w:rFonts w:cs="Arial"/>
          <w:b/>
          <w:sz w:val="22"/>
          <w:szCs w:val="22"/>
        </w:rPr>
        <w:t>Bolsa 2.</w:t>
      </w:r>
      <w:r w:rsidRPr="00CA5ABF">
        <w:rPr>
          <w:rFonts w:cs="Arial"/>
          <w:sz w:val="22"/>
          <w:szCs w:val="22"/>
        </w:rPr>
        <w:t xml:space="preserve"> Pólizas para nuevos modelos de aseguramiento agropecuarios y esquemas de aseguramiento que impliquen un índice o un parámetro</w:t>
      </w:r>
      <w:r w:rsidR="00E103DF" w:rsidRPr="00CA5ABF">
        <w:rPr>
          <w:rFonts w:cs="Arial"/>
          <w:sz w:val="22"/>
          <w:szCs w:val="22"/>
        </w:rPr>
        <w:t>, hasta por un monto</w:t>
      </w:r>
      <w:r w:rsidRPr="00CA5ABF">
        <w:rPr>
          <w:rFonts w:cs="Arial"/>
          <w:sz w:val="22"/>
          <w:szCs w:val="22"/>
        </w:rPr>
        <w:t xml:space="preserve"> de </w:t>
      </w:r>
      <w:r w:rsidR="007D5877" w:rsidRPr="00CA5ABF">
        <w:rPr>
          <w:rFonts w:cs="Arial"/>
          <w:sz w:val="22"/>
          <w:szCs w:val="22"/>
        </w:rPr>
        <w:t>VEINTI</w:t>
      </w:r>
      <w:r w:rsidR="001F1825" w:rsidRPr="00CA5ABF">
        <w:rPr>
          <w:rFonts w:cs="Arial"/>
          <w:sz w:val="22"/>
          <w:szCs w:val="22"/>
        </w:rPr>
        <w:t>UN</w:t>
      </w:r>
      <w:r w:rsidR="007D5877" w:rsidRPr="00CA5ABF">
        <w:rPr>
          <w:rFonts w:cs="Arial"/>
          <w:sz w:val="22"/>
          <w:szCs w:val="22"/>
        </w:rPr>
        <w:t xml:space="preserve"> MIL </w:t>
      </w:r>
      <w:r w:rsidR="001F1825" w:rsidRPr="00CA5ABF">
        <w:rPr>
          <w:rFonts w:cs="Arial"/>
          <w:sz w:val="22"/>
          <w:szCs w:val="22"/>
        </w:rPr>
        <w:t>OCHOCIENTOS SESENTA Y NUEVE</w:t>
      </w:r>
      <w:r w:rsidR="007D5877" w:rsidRPr="00CA5ABF">
        <w:rPr>
          <w:rFonts w:cs="Arial"/>
          <w:sz w:val="22"/>
          <w:szCs w:val="22"/>
        </w:rPr>
        <w:t xml:space="preserve"> MILLONES </w:t>
      </w:r>
      <w:r w:rsidR="001F1825" w:rsidRPr="00CA5ABF">
        <w:rPr>
          <w:rFonts w:cs="Arial"/>
          <w:sz w:val="22"/>
          <w:szCs w:val="22"/>
        </w:rPr>
        <w:t>SEISCIENTOS CINCUENTA Y CINCO</w:t>
      </w:r>
      <w:r w:rsidR="007D5877" w:rsidRPr="00CA5ABF">
        <w:rPr>
          <w:rFonts w:cs="Arial"/>
          <w:sz w:val="22"/>
          <w:szCs w:val="22"/>
        </w:rPr>
        <w:t xml:space="preserve"> MIL</w:t>
      </w:r>
      <w:r w:rsidR="001F1825" w:rsidRPr="00CA5ABF">
        <w:rPr>
          <w:rFonts w:cs="Arial"/>
          <w:sz w:val="22"/>
          <w:szCs w:val="22"/>
        </w:rPr>
        <w:t xml:space="preserve"> CIENTO SETENTA Y DOS</w:t>
      </w:r>
      <w:r w:rsidR="00CC4E4E" w:rsidRPr="00CA5ABF">
        <w:rPr>
          <w:rFonts w:cs="Arial"/>
          <w:sz w:val="22"/>
          <w:szCs w:val="22"/>
        </w:rPr>
        <w:t xml:space="preserve"> PESOS </w:t>
      </w:r>
      <w:r w:rsidRPr="00CA5ABF">
        <w:rPr>
          <w:rFonts w:cs="Arial"/>
          <w:sz w:val="22"/>
          <w:szCs w:val="22"/>
        </w:rPr>
        <w:t>($</w:t>
      </w:r>
      <w:r w:rsidR="001F1825" w:rsidRPr="00CA5ABF">
        <w:rPr>
          <w:rFonts w:cs="Arial"/>
          <w:sz w:val="22"/>
          <w:szCs w:val="22"/>
        </w:rPr>
        <w:t>21.869.655.172</w:t>
      </w:r>
      <w:r w:rsidR="00E103DF" w:rsidRPr="00CA5ABF">
        <w:rPr>
          <w:rFonts w:cs="Arial"/>
          <w:sz w:val="22"/>
          <w:szCs w:val="22"/>
        </w:rPr>
        <w:t>).</w:t>
      </w:r>
    </w:p>
    <w:p w:rsidR="00AB5D1E" w:rsidRPr="00CA5ABF" w:rsidRDefault="00A778B6" w:rsidP="0023530A">
      <w:pPr>
        <w:pStyle w:val="Prrafodelista"/>
        <w:numPr>
          <w:ilvl w:val="0"/>
          <w:numId w:val="61"/>
        </w:numPr>
        <w:jc w:val="both"/>
        <w:rPr>
          <w:rFonts w:cs="Arial"/>
          <w:sz w:val="22"/>
          <w:szCs w:val="22"/>
        </w:rPr>
      </w:pPr>
      <w:r w:rsidRPr="00CA5ABF">
        <w:rPr>
          <w:rFonts w:cs="Arial"/>
          <w:sz w:val="22"/>
          <w:szCs w:val="22"/>
        </w:rPr>
        <w:t xml:space="preserve">Hasta la suma de </w:t>
      </w:r>
      <w:r w:rsidR="00CC4E4E" w:rsidRPr="00CA5ABF">
        <w:rPr>
          <w:rFonts w:cs="Arial"/>
          <w:sz w:val="22"/>
          <w:szCs w:val="22"/>
        </w:rPr>
        <w:t xml:space="preserve">MIL QUINIENTOS </w:t>
      </w:r>
      <w:r w:rsidRPr="00CA5ABF">
        <w:rPr>
          <w:rFonts w:cs="Arial"/>
          <w:sz w:val="22"/>
          <w:szCs w:val="22"/>
        </w:rPr>
        <w:t>MILLONES DE PESOS ($</w:t>
      </w:r>
      <w:r w:rsidR="00CC4E4E" w:rsidRPr="00CA5ABF">
        <w:rPr>
          <w:rFonts w:cs="Arial"/>
          <w:sz w:val="22"/>
          <w:szCs w:val="22"/>
        </w:rPr>
        <w:t>1.500.000.000</w:t>
      </w:r>
      <w:r w:rsidRPr="00CA5ABF">
        <w:rPr>
          <w:rFonts w:cs="Arial"/>
          <w:sz w:val="22"/>
          <w:szCs w:val="22"/>
        </w:rPr>
        <w:t>) para que FINAGRO adelante el programa de fomento a la gestión de riesgos agropecuarios, mediante el cual podrá realizar gestiones tales como: recopilar y efectuar análisis de la información de riesgos agropecuarios, contratar estudios sobre la gestión del riesgo agropecuario, así como estudios sobre instrumentos de gestión y transferencia de riesgo; y el desarrollo de actividades de capacitación, socialización, divulgación, actualización e intercambio, entre otras, que contribuyan a la generación de capacidades dentro del sector agropecuario, sector asegurador, autoridades de regulación y supervisión</w:t>
      </w:r>
      <w:r w:rsidR="00D05628" w:rsidRPr="00CA5ABF">
        <w:rPr>
          <w:rFonts w:cs="Arial"/>
          <w:sz w:val="22"/>
          <w:szCs w:val="22"/>
        </w:rPr>
        <w:t>,</w:t>
      </w:r>
      <w:r w:rsidRPr="00CA5ABF">
        <w:rPr>
          <w:rFonts w:cs="Arial"/>
          <w:sz w:val="22"/>
          <w:szCs w:val="22"/>
        </w:rPr>
        <w:t xml:space="preserve"> y demás actores involucrados.</w:t>
      </w:r>
    </w:p>
    <w:p w:rsidR="00AB5D1E" w:rsidRPr="00CA5ABF" w:rsidRDefault="00AB5D1E">
      <w:pPr>
        <w:spacing w:before="0" w:after="0" w:line="0" w:lineRule="atLeast"/>
        <w:jc w:val="both"/>
        <w:rPr>
          <w:rFonts w:cs="Arial"/>
          <w:bCs/>
          <w:color w:val="000000" w:themeColor="text1"/>
          <w:sz w:val="22"/>
          <w:szCs w:val="22"/>
        </w:rPr>
      </w:pPr>
    </w:p>
    <w:p w:rsidR="00AB5D1E" w:rsidRPr="00CA5ABF" w:rsidRDefault="00A778B6" w:rsidP="000824E5">
      <w:pPr>
        <w:spacing w:before="0" w:after="0" w:line="0" w:lineRule="atLeast"/>
        <w:jc w:val="both"/>
        <w:rPr>
          <w:rFonts w:cs="Arial"/>
          <w:color w:val="000000" w:themeColor="text1"/>
          <w:sz w:val="22"/>
          <w:szCs w:val="22"/>
        </w:rPr>
      </w:pPr>
      <w:r w:rsidRPr="00CA5ABF">
        <w:rPr>
          <w:rFonts w:cs="Arial"/>
          <w:bCs/>
          <w:color w:val="000000" w:themeColor="text1"/>
          <w:sz w:val="22"/>
          <w:szCs w:val="22"/>
        </w:rPr>
        <w:t xml:space="preserve">En todo caso, estos valores no podrán exceder el monto de recursos disponibles en </w:t>
      </w:r>
      <w:proofErr w:type="gramStart"/>
      <w:r w:rsidRPr="00CA5ABF">
        <w:rPr>
          <w:rFonts w:cs="Arial"/>
          <w:bCs/>
          <w:color w:val="000000" w:themeColor="text1"/>
          <w:sz w:val="22"/>
          <w:szCs w:val="22"/>
        </w:rPr>
        <w:t xml:space="preserve">el </w:t>
      </w:r>
      <w:r w:rsidRPr="00CA5ABF">
        <w:rPr>
          <w:rFonts w:cs="Arial"/>
          <w:i/>
          <w:color w:val="000000" w:themeColor="text1"/>
          <w:sz w:val="22"/>
          <w:szCs w:val="22"/>
          <w:lang w:eastAsia="es-CO"/>
        </w:rPr>
        <w:t xml:space="preserve"> </w:t>
      </w:r>
      <w:r w:rsidRPr="00CA5ABF">
        <w:rPr>
          <w:rFonts w:cs="Arial"/>
          <w:bCs/>
          <w:color w:val="000000" w:themeColor="text1"/>
          <w:sz w:val="22"/>
          <w:szCs w:val="22"/>
        </w:rPr>
        <w:t>FNRA</w:t>
      </w:r>
      <w:proofErr w:type="gramEnd"/>
      <w:r w:rsidRPr="00CA5ABF">
        <w:rPr>
          <w:rFonts w:cs="Arial"/>
          <w:bCs/>
          <w:color w:val="000000" w:themeColor="text1"/>
          <w:sz w:val="22"/>
          <w:szCs w:val="22"/>
        </w:rPr>
        <w:t xml:space="preserve">. </w:t>
      </w:r>
    </w:p>
    <w:p w:rsidR="00AB5D1E" w:rsidRPr="00CA5ABF" w:rsidRDefault="00AB5D1E">
      <w:pPr>
        <w:spacing w:before="0" w:after="0" w:line="0" w:lineRule="atLeast"/>
        <w:jc w:val="both"/>
        <w:rPr>
          <w:rFonts w:cs="Arial"/>
          <w:color w:val="000000" w:themeColor="text1"/>
          <w:sz w:val="22"/>
          <w:szCs w:val="22"/>
        </w:rPr>
      </w:pPr>
    </w:p>
    <w:p w:rsidR="000824E5" w:rsidRPr="00CA5ABF" w:rsidRDefault="000824E5">
      <w:pPr>
        <w:spacing w:before="0" w:after="0" w:line="0" w:lineRule="atLeast"/>
        <w:jc w:val="both"/>
        <w:rPr>
          <w:rFonts w:cs="Arial"/>
          <w:color w:val="000000" w:themeColor="text1"/>
          <w:sz w:val="22"/>
          <w:szCs w:val="22"/>
        </w:rPr>
      </w:pPr>
      <w:r w:rsidRPr="00CA5ABF">
        <w:rPr>
          <w:rFonts w:cs="Arial"/>
          <w:b/>
          <w:color w:val="000000" w:themeColor="text1"/>
          <w:sz w:val="22"/>
          <w:szCs w:val="22"/>
        </w:rPr>
        <w:t xml:space="preserve">Parágrafo </w:t>
      </w:r>
      <w:r w:rsidR="003249AF" w:rsidRPr="00CA5ABF">
        <w:rPr>
          <w:rFonts w:cs="Arial"/>
          <w:b/>
          <w:color w:val="000000" w:themeColor="text1"/>
          <w:sz w:val="22"/>
          <w:szCs w:val="22"/>
        </w:rPr>
        <w:t>p</w:t>
      </w:r>
      <w:r w:rsidR="00ED1137" w:rsidRPr="00CA5ABF">
        <w:rPr>
          <w:rFonts w:cs="Arial"/>
          <w:b/>
          <w:color w:val="000000" w:themeColor="text1"/>
          <w:sz w:val="22"/>
          <w:szCs w:val="22"/>
        </w:rPr>
        <w:t>rimero</w:t>
      </w:r>
      <w:r w:rsidR="00C14E1F" w:rsidRPr="00CA5ABF">
        <w:rPr>
          <w:rFonts w:cs="Arial"/>
          <w:color w:val="000000" w:themeColor="text1"/>
          <w:sz w:val="22"/>
          <w:szCs w:val="22"/>
        </w:rPr>
        <w:t>.</w:t>
      </w:r>
      <w:r w:rsidRPr="00CA5ABF">
        <w:rPr>
          <w:rFonts w:cs="Arial"/>
          <w:color w:val="000000" w:themeColor="text1"/>
          <w:sz w:val="22"/>
          <w:szCs w:val="22"/>
        </w:rPr>
        <w:t xml:space="preserve"> Cuando la ejecución de alguna de las dos bolsas planteadas para el incentivo supere el 70%, se dispondrá una bolsa única a la cual </w:t>
      </w:r>
      <w:r w:rsidR="001B2E70" w:rsidRPr="00CA5ABF">
        <w:rPr>
          <w:rFonts w:cs="Arial"/>
          <w:color w:val="000000" w:themeColor="text1"/>
          <w:sz w:val="22"/>
          <w:szCs w:val="22"/>
        </w:rPr>
        <w:t>podrán entrar todas las pólizas.</w:t>
      </w:r>
    </w:p>
    <w:p w:rsidR="00446A0E" w:rsidRPr="00CA5ABF" w:rsidRDefault="00446A0E" w:rsidP="00446A0E">
      <w:pPr>
        <w:spacing w:before="0" w:after="0" w:line="0" w:lineRule="atLeast"/>
        <w:jc w:val="both"/>
        <w:rPr>
          <w:rFonts w:cs="Arial"/>
          <w:b/>
          <w:color w:val="000000" w:themeColor="text1"/>
          <w:sz w:val="22"/>
          <w:szCs w:val="22"/>
        </w:rPr>
      </w:pPr>
    </w:p>
    <w:p w:rsidR="000824E5" w:rsidRPr="00CA5ABF" w:rsidRDefault="000824E5" w:rsidP="000824E5">
      <w:pPr>
        <w:spacing w:before="0" w:after="0" w:line="0" w:lineRule="atLeast"/>
        <w:jc w:val="both"/>
        <w:rPr>
          <w:rFonts w:cs="Arial"/>
          <w:color w:val="000000" w:themeColor="text1"/>
          <w:sz w:val="22"/>
          <w:szCs w:val="22"/>
        </w:rPr>
      </w:pPr>
      <w:r w:rsidRPr="00CA5ABF">
        <w:rPr>
          <w:rFonts w:cs="Arial"/>
          <w:b/>
          <w:color w:val="000000" w:themeColor="text1"/>
          <w:sz w:val="22"/>
          <w:szCs w:val="22"/>
        </w:rPr>
        <w:t xml:space="preserve">Parágrafo </w:t>
      </w:r>
      <w:r w:rsidR="003249AF" w:rsidRPr="00CA5ABF">
        <w:rPr>
          <w:rFonts w:cs="Arial"/>
          <w:b/>
          <w:color w:val="000000" w:themeColor="text1"/>
          <w:sz w:val="22"/>
          <w:szCs w:val="22"/>
        </w:rPr>
        <w:t>s</w:t>
      </w:r>
      <w:r w:rsidR="00ED1137" w:rsidRPr="00CA5ABF">
        <w:rPr>
          <w:rFonts w:cs="Arial"/>
          <w:b/>
          <w:color w:val="000000" w:themeColor="text1"/>
          <w:sz w:val="22"/>
          <w:szCs w:val="22"/>
        </w:rPr>
        <w:t>egundo</w:t>
      </w:r>
      <w:r w:rsidR="00C14E1F" w:rsidRPr="00CA5ABF">
        <w:rPr>
          <w:rFonts w:cs="Arial"/>
          <w:color w:val="000000" w:themeColor="text1"/>
          <w:sz w:val="22"/>
          <w:szCs w:val="22"/>
        </w:rPr>
        <w:t>.</w:t>
      </w:r>
      <w:r w:rsidRPr="00CA5ABF">
        <w:rPr>
          <w:rFonts w:cs="Arial"/>
          <w:color w:val="000000" w:themeColor="text1"/>
          <w:sz w:val="22"/>
          <w:szCs w:val="22"/>
        </w:rPr>
        <w:t xml:space="preserve"> </w:t>
      </w:r>
      <w:r w:rsidRPr="00CA5ABF">
        <w:rPr>
          <w:rFonts w:cs="Arial"/>
          <w:bCs/>
          <w:color w:val="000000" w:themeColor="text1"/>
          <w:sz w:val="22"/>
          <w:szCs w:val="22"/>
        </w:rPr>
        <w:t xml:space="preserve">El FNRA reconocerá por concepto de administración a FINAGRO </w:t>
      </w:r>
      <w:r w:rsidRPr="00CA5ABF">
        <w:rPr>
          <w:rFonts w:cs="Arial"/>
          <w:color w:val="000000" w:themeColor="text1"/>
          <w:sz w:val="22"/>
          <w:szCs w:val="22"/>
        </w:rPr>
        <w:t>el 1,5% sobre los recursos ejecutados del mencionado Plan.</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Artículo</w:t>
      </w:r>
      <w:r w:rsidRPr="00CA5ABF">
        <w:rPr>
          <w:rFonts w:cs="Arial"/>
          <w:b/>
          <w:bCs/>
          <w:color w:val="000000" w:themeColor="text1"/>
          <w:sz w:val="22"/>
          <w:szCs w:val="22"/>
        </w:rPr>
        <w:t xml:space="preserve"> </w:t>
      </w:r>
      <w:r w:rsidR="00ED1137" w:rsidRPr="00CA5ABF">
        <w:rPr>
          <w:rFonts w:cs="Arial"/>
          <w:b/>
          <w:bCs/>
          <w:color w:val="000000" w:themeColor="text1"/>
          <w:sz w:val="22"/>
          <w:szCs w:val="22"/>
        </w:rPr>
        <w:t>2o</w:t>
      </w:r>
      <w:r w:rsidRPr="00CA5ABF">
        <w:rPr>
          <w:rFonts w:cs="Arial"/>
          <w:b/>
          <w:bCs/>
          <w:color w:val="000000" w:themeColor="text1"/>
          <w:sz w:val="22"/>
          <w:szCs w:val="22"/>
        </w:rPr>
        <w:t>.</w:t>
      </w:r>
      <w:r w:rsidRPr="00CA5ABF">
        <w:rPr>
          <w:rFonts w:cs="Arial"/>
          <w:color w:val="000000" w:themeColor="text1"/>
          <w:sz w:val="22"/>
          <w:szCs w:val="22"/>
        </w:rPr>
        <w:t xml:space="preserve"> </w:t>
      </w:r>
      <w:r w:rsidRPr="00CA5ABF">
        <w:rPr>
          <w:rFonts w:cs="Arial"/>
          <w:b/>
          <w:color w:val="000000" w:themeColor="text1"/>
          <w:sz w:val="22"/>
          <w:szCs w:val="22"/>
        </w:rPr>
        <w:t>Ámbito de aplicación</w:t>
      </w:r>
      <w:r w:rsidRPr="00CA5ABF">
        <w:rPr>
          <w:rFonts w:cs="Arial"/>
          <w:color w:val="000000" w:themeColor="text1"/>
          <w:sz w:val="22"/>
          <w:szCs w:val="22"/>
        </w:rPr>
        <w:t>. El ámbito de aplicación del seguro agropecuario será todo el Territorio Nacional.</w:t>
      </w:r>
    </w:p>
    <w:p w:rsidR="00AB5D1E" w:rsidRPr="00CA5ABF" w:rsidRDefault="00AB5D1E">
      <w:pPr>
        <w:spacing w:before="0" w:after="0"/>
        <w:jc w:val="both"/>
        <w:rPr>
          <w:rFonts w:cs="Arial"/>
          <w:color w:val="000000" w:themeColor="text1"/>
          <w:sz w:val="22"/>
          <w:szCs w:val="22"/>
        </w:rPr>
      </w:pPr>
    </w:p>
    <w:p w:rsidR="00AB5D1E" w:rsidRPr="00CA5ABF" w:rsidRDefault="00A778B6">
      <w:pPr>
        <w:spacing w:before="0" w:after="0"/>
        <w:jc w:val="both"/>
        <w:rPr>
          <w:rFonts w:cs="Arial"/>
          <w:bCs/>
          <w:color w:val="000000" w:themeColor="text1"/>
          <w:sz w:val="22"/>
          <w:szCs w:val="22"/>
        </w:rPr>
      </w:pPr>
      <w:r w:rsidRPr="00CA5ABF">
        <w:rPr>
          <w:rFonts w:cs="Arial"/>
          <w:b/>
          <w:color w:val="000000" w:themeColor="text1"/>
          <w:sz w:val="22"/>
          <w:szCs w:val="22"/>
        </w:rPr>
        <w:t xml:space="preserve">Artículo </w:t>
      </w:r>
      <w:r w:rsidRPr="00CA5ABF">
        <w:rPr>
          <w:rFonts w:cs="Arial"/>
          <w:b/>
          <w:bCs/>
          <w:color w:val="000000" w:themeColor="text1"/>
          <w:sz w:val="22"/>
          <w:szCs w:val="22"/>
        </w:rPr>
        <w:t>3</w:t>
      </w:r>
      <w:r w:rsidR="00ED1137" w:rsidRPr="00CA5ABF">
        <w:rPr>
          <w:rFonts w:cs="Arial"/>
          <w:b/>
          <w:bCs/>
          <w:color w:val="000000" w:themeColor="text1"/>
          <w:sz w:val="22"/>
          <w:szCs w:val="22"/>
        </w:rPr>
        <w:t>o</w:t>
      </w:r>
      <w:r w:rsidRPr="00CA5ABF">
        <w:rPr>
          <w:rFonts w:cs="Arial"/>
          <w:b/>
          <w:bCs/>
          <w:color w:val="000000" w:themeColor="text1"/>
          <w:sz w:val="22"/>
          <w:szCs w:val="22"/>
        </w:rPr>
        <w:t xml:space="preserve">. </w:t>
      </w:r>
      <w:r w:rsidRPr="00CA5ABF">
        <w:rPr>
          <w:rFonts w:cs="Arial"/>
          <w:b/>
          <w:color w:val="000000" w:themeColor="text1"/>
          <w:sz w:val="22"/>
          <w:szCs w:val="22"/>
        </w:rPr>
        <w:t>Actividades sujetas a incentivo</w:t>
      </w:r>
      <w:r w:rsidRPr="00CA5ABF">
        <w:rPr>
          <w:rFonts w:cs="Arial"/>
          <w:color w:val="000000" w:themeColor="text1"/>
          <w:sz w:val="22"/>
          <w:szCs w:val="22"/>
        </w:rPr>
        <w:t xml:space="preserve">. Se podrán asegurar con el beneficio del </w:t>
      </w:r>
      <w:r w:rsidR="006730CB" w:rsidRPr="00CA5ABF">
        <w:rPr>
          <w:rFonts w:cs="Arial"/>
          <w:color w:val="000000" w:themeColor="text1"/>
          <w:sz w:val="22"/>
          <w:szCs w:val="22"/>
        </w:rPr>
        <w:t>incentivo</w:t>
      </w:r>
      <w:r w:rsidRPr="00CA5ABF">
        <w:rPr>
          <w:rFonts w:cs="Arial"/>
          <w:color w:val="000000" w:themeColor="text1"/>
          <w:sz w:val="22"/>
          <w:szCs w:val="22"/>
        </w:rPr>
        <w:t xml:space="preserve"> al seguro agropecuario los cultivos agrícolas, las pasturas, las plantaciones forestales atendiendo lo establecido en el Decreto 1071 de 2015; así como las </w:t>
      </w:r>
      <w:r w:rsidRPr="00CA5ABF">
        <w:rPr>
          <w:rFonts w:cs="Arial"/>
          <w:bCs/>
          <w:color w:val="000000" w:themeColor="text1"/>
          <w:sz w:val="22"/>
          <w:szCs w:val="22"/>
        </w:rPr>
        <w:t xml:space="preserve">actividades pecuarias (incluidas las silvopastoriles), </w:t>
      </w:r>
      <w:r w:rsidRPr="00CA5ABF">
        <w:rPr>
          <w:rFonts w:cs="Arial"/>
          <w:bCs/>
          <w:sz w:val="22"/>
          <w:szCs w:val="22"/>
        </w:rPr>
        <w:t xml:space="preserve">piscícolas y acuícolas (incluida la camaronicultura). </w:t>
      </w:r>
      <w:r w:rsidRPr="00CA5ABF">
        <w:rPr>
          <w:rFonts w:cs="Arial"/>
          <w:bCs/>
          <w:color w:val="000000" w:themeColor="text1"/>
          <w:sz w:val="22"/>
          <w:szCs w:val="22"/>
        </w:rPr>
        <w:t xml:space="preserve">El Ministerio de Agricultura y Desarrollo Rural </w:t>
      </w:r>
      <w:r w:rsidR="00224E4F" w:rsidRPr="00CA5ABF">
        <w:rPr>
          <w:rFonts w:cs="Arial"/>
          <w:bCs/>
          <w:color w:val="000000" w:themeColor="text1"/>
          <w:sz w:val="22"/>
          <w:szCs w:val="22"/>
        </w:rPr>
        <w:t xml:space="preserve">– MADR, </w:t>
      </w:r>
      <w:r w:rsidRPr="00CA5ABF">
        <w:rPr>
          <w:rFonts w:cs="Arial"/>
          <w:bCs/>
          <w:color w:val="000000" w:themeColor="text1"/>
          <w:sz w:val="22"/>
          <w:szCs w:val="22"/>
        </w:rPr>
        <w:t>determinará el valor máximo a asegurar para estas actividades.</w:t>
      </w:r>
    </w:p>
    <w:p w:rsidR="00AB5D1E" w:rsidRPr="00CA5ABF" w:rsidRDefault="00AB5D1E">
      <w:pPr>
        <w:spacing w:before="0" w:after="0"/>
        <w:jc w:val="both"/>
        <w:rPr>
          <w:rFonts w:cs="Arial"/>
          <w:bCs/>
          <w:color w:val="000000" w:themeColor="text1"/>
          <w:sz w:val="22"/>
          <w:szCs w:val="22"/>
        </w:rPr>
      </w:pPr>
    </w:p>
    <w:p w:rsidR="00AB5D1E" w:rsidRPr="00CA5ABF" w:rsidRDefault="00A778B6">
      <w:pPr>
        <w:spacing w:before="0" w:after="0" w:line="0" w:lineRule="atLeast"/>
        <w:jc w:val="both"/>
        <w:rPr>
          <w:rFonts w:cs="Arial"/>
          <w:b/>
          <w:bCs/>
          <w:color w:val="000000" w:themeColor="text1"/>
          <w:sz w:val="22"/>
          <w:szCs w:val="22"/>
        </w:rPr>
      </w:pPr>
      <w:r w:rsidRPr="00CA5ABF">
        <w:rPr>
          <w:rFonts w:cs="Arial"/>
          <w:b/>
          <w:color w:val="000000" w:themeColor="text1"/>
          <w:sz w:val="22"/>
          <w:szCs w:val="22"/>
        </w:rPr>
        <w:t>Parágrafo</w:t>
      </w:r>
      <w:r w:rsidR="00C14E1F" w:rsidRPr="00CA5ABF">
        <w:rPr>
          <w:rFonts w:cs="Arial"/>
          <w:b/>
          <w:color w:val="000000" w:themeColor="text1"/>
          <w:sz w:val="22"/>
          <w:szCs w:val="22"/>
        </w:rPr>
        <w:t>.</w:t>
      </w:r>
      <w:r w:rsidRPr="00CA5ABF">
        <w:rPr>
          <w:rFonts w:cs="Arial"/>
          <w:b/>
          <w:color w:val="000000" w:themeColor="text1"/>
          <w:sz w:val="22"/>
          <w:szCs w:val="22"/>
        </w:rPr>
        <w:t xml:space="preserve"> </w:t>
      </w:r>
      <w:r w:rsidRPr="00CA5ABF">
        <w:rPr>
          <w:rFonts w:cs="Arial"/>
          <w:color w:val="000000" w:themeColor="text1"/>
          <w:sz w:val="22"/>
          <w:szCs w:val="22"/>
        </w:rPr>
        <w:t xml:space="preserve">Para el caso de las pasturas, las </w:t>
      </w:r>
      <w:r w:rsidRPr="00CA5ABF">
        <w:rPr>
          <w:rFonts w:cs="Arial"/>
          <w:sz w:val="22"/>
          <w:szCs w:val="22"/>
        </w:rPr>
        <w:t>actividades pecuarias, acuícolas y piscícolas, las compañías aseguradoras deberán contar con el sustento técnico que justifique los criterios para la dete</w:t>
      </w:r>
      <w:r w:rsidR="000824E5" w:rsidRPr="00CA5ABF">
        <w:rPr>
          <w:rFonts w:cs="Arial"/>
          <w:sz w:val="22"/>
          <w:szCs w:val="22"/>
        </w:rPr>
        <w:t xml:space="preserve">rminación del valor asegurado. </w:t>
      </w:r>
      <w:r w:rsidR="00D05628" w:rsidRPr="00CA5ABF">
        <w:rPr>
          <w:rFonts w:cs="Arial"/>
          <w:sz w:val="22"/>
          <w:szCs w:val="22"/>
        </w:rPr>
        <w:t>É</w:t>
      </w:r>
      <w:r w:rsidR="000824E5" w:rsidRPr="00CA5ABF">
        <w:rPr>
          <w:rFonts w:cs="Arial"/>
          <w:sz w:val="22"/>
          <w:szCs w:val="22"/>
        </w:rPr>
        <w:t xml:space="preserve">ste </w:t>
      </w:r>
      <w:r w:rsidRPr="00CA5ABF">
        <w:rPr>
          <w:rFonts w:cs="Arial"/>
          <w:sz w:val="22"/>
          <w:szCs w:val="22"/>
        </w:rPr>
        <w:t>deberá</w:t>
      </w:r>
      <w:r w:rsidR="000824E5" w:rsidRPr="00CA5ABF">
        <w:rPr>
          <w:rFonts w:cs="Arial"/>
          <w:sz w:val="22"/>
          <w:szCs w:val="22"/>
        </w:rPr>
        <w:t xml:space="preserve"> ser</w:t>
      </w:r>
      <w:r w:rsidRPr="00CA5ABF">
        <w:rPr>
          <w:rFonts w:cs="Arial"/>
          <w:sz w:val="22"/>
          <w:szCs w:val="22"/>
        </w:rPr>
        <w:t xml:space="preserve"> envia</w:t>
      </w:r>
      <w:r w:rsidR="000824E5" w:rsidRPr="00CA5ABF">
        <w:rPr>
          <w:rFonts w:cs="Arial"/>
          <w:sz w:val="22"/>
          <w:szCs w:val="22"/>
        </w:rPr>
        <w:t>do</w:t>
      </w:r>
      <w:r w:rsidRPr="00CA5ABF">
        <w:rPr>
          <w:rFonts w:cs="Arial"/>
          <w:sz w:val="22"/>
          <w:szCs w:val="22"/>
        </w:rPr>
        <w:t xml:space="preserve"> a FINAGRO </w:t>
      </w:r>
      <w:r w:rsidR="00C465CA" w:rsidRPr="00CA5ABF">
        <w:rPr>
          <w:rFonts w:cs="Arial"/>
          <w:color w:val="000000" w:themeColor="text1"/>
          <w:sz w:val="22"/>
          <w:szCs w:val="22"/>
        </w:rPr>
        <w:t>para su análisis. C</w:t>
      </w:r>
      <w:r w:rsidRPr="00CA5ABF">
        <w:rPr>
          <w:rFonts w:cs="Arial"/>
          <w:color w:val="000000" w:themeColor="text1"/>
          <w:sz w:val="22"/>
          <w:szCs w:val="22"/>
        </w:rPr>
        <w:t xml:space="preserve">on base en </w:t>
      </w:r>
      <w:r w:rsidR="00C465CA" w:rsidRPr="00CA5ABF">
        <w:rPr>
          <w:rFonts w:cs="Arial"/>
          <w:color w:val="000000" w:themeColor="text1"/>
          <w:sz w:val="22"/>
          <w:szCs w:val="22"/>
        </w:rPr>
        <w:t xml:space="preserve">dicho análisis </w:t>
      </w:r>
      <w:r w:rsidRPr="00CA5ABF">
        <w:rPr>
          <w:rFonts w:cs="Arial"/>
          <w:color w:val="000000" w:themeColor="text1"/>
          <w:sz w:val="22"/>
          <w:szCs w:val="22"/>
        </w:rPr>
        <w:t>el</w:t>
      </w:r>
      <w:r w:rsidRPr="00CA5ABF">
        <w:rPr>
          <w:rFonts w:cs="Arial"/>
          <w:bCs/>
          <w:color w:val="000000" w:themeColor="text1"/>
          <w:sz w:val="22"/>
          <w:szCs w:val="22"/>
        </w:rPr>
        <w:t xml:space="preserve"> </w:t>
      </w:r>
      <w:r w:rsidR="00224E4F" w:rsidRPr="00CA5ABF">
        <w:rPr>
          <w:rFonts w:cs="Arial"/>
          <w:bCs/>
          <w:color w:val="000000" w:themeColor="text1"/>
          <w:sz w:val="22"/>
          <w:szCs w:val="22"/>
        </w:rPr>
        <w:t>MADR</w:t>
      </w:r>
      <w:r w:rsidRPr="00CA5ABF">
        <w:rPr>
          <w:rFonts w:cs="Arial"/>
          <w:bCs/>
          <w:color w:val="000000" w:themeColor="text1"/>
          <w:sz w:val="22"/>
          <w:szCs w:val="22"/>
        </w:rPr>
        <w:t xml:space="preserve"> fijará el valor máximo de que trata el presente artículo. </w:t>
      </w:r>
    </w:p>
    <w:p w:rsidR="00AB5D1E" w:rsidRPr="00CA5ABF" w:rsidRDefault="00AB5D1E">
      <w:pPr>
        <w:spacing w:before="0" w:after="0" w:line="0" w:lineRule="atLeast"/>
        <w:jc w:val="both"/>
        <w:rPr>
          <w:rFonts w:cs="Arial"/>
          <w:b/>
          <w:bCs/>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Artículo 4</w:t>
      </w:r>
      <w:r w:rsidR="00533C81" w:rsidRPr="00CA5ABF">
        <w:rPr>
          <w:rFonts w:cs="Arial"/>
          <w:b/>
          <w:color w:val="000000" w:themeColor="text1"/>
          <w:sz w:val="22"/>
          <w:szCs w:val="22"/>
        </w:rPr>
        <w:t>o</w:t>
      </w:r>
      <w:r w:rsidRPr="00CA5ABF">
        <w:rPr>
          <w:rFonts w:cs="Arial"/>
          <w:b/>
          <w:color w:val="000000" w:themeColor="text1"/>
          <w:sz w:val="22"/>
          <w:szCs w:val="22"/>
        </w:rPr>
        <w:t>. Amparos sujetos de incentivo</w:t>
      </w:r>
      <w:r w:rsidR="007241F6" w:rsidRPr="00CA5ABF">
        <w:rPr>
          <w:rFonts w:cs="Arial"/>
          <w:color w:val="000000" w:themeColor="text1"/>
          <w:sz w:val="22"/>
          <w:szCs w:val="22"/>
        </w:rPr>
        <w:t>. El seguro agropecuario ampara</w:t>
      </w:r>
      <w:r w:rsidRPr="00CA5ABF">
        <w:rPr>
          <w:rFonts w:cs="Arial"/>
          <w:color w:val="000000" w:themeColor="text1"/>
          <w:sz w:val="22"/>
          <w:szCs w:val="22"/>
        </w:rPr>
        <w:t xml:space="preserve"> los perjuicios causados por riesgos naturales y biológicos, ajenos al control del tomador, asegurado o beneficiario que afecten las actividades agropecuarias. El </w:t>
      </w:r>
      <w:r w:rsidR="00224E4F" w:rsidRPr="00CA5ABF">
        <w:rPr>
          <w:rFonts w:cs="Arial"/>
          <w:color w:val="000000" w:themeColor="text1"/>
          <w:sz w:val="22"/>
          <w:szCs w:val="22"/>
        </w:rPr>
        <w:t xml:space="preserve">MADR </w:t>
      </w:r>
      <w:r w:rsidRPr="00CA5ABF">
        <w:rPr>
          <w:rFonts w:cs="Arial"/>
          <w:color w:val="000000" w:themeColor="text1"/>
          <w:sz w:val="22"/>
          <w:szCs w:val="22"/>
        </w:rPr>
        <w:t xml:space="preserve">reglamentará la aplicación de esta norma. </w:t>
      </w:r>
    </w:p>
    <w:p w:rsidR="00AB5D1E" w:rsidRPr="00CA5ABF" w:rsidRDefault="00AB5D1E">
      <w:pPr>
        <w:spacing w:before="0" w:after="0" w:line="0" w:lineRule="atLeast"/>
        <w:jc w:val="center"/>
        <w:rPr>
          <w:rFonts w:cs="Arial"/>
          <w:b/>
          <w:bCs/>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 xml:space="preserve">Artículo </w:t>
      </w:r>
      <w:r w:rsidRPr="00CA5ABF">
        <w:rPr>
          <w:rFonts w:cs="Arial"/>
          <w:b/>
          <w:bCs/>
          <w:color w:val="000000" w:themeColor="text1"/>
          <w:sz w:val="22"/>
          <w:szCs w:val="22"/>
        </w:rPr>
        <w:t>5</w:t>
      </w:r>
      <w:r w:rsidR="00533C81" w:rsidRPr="00CA5ABF">
        <w:rPr>
          <w:rFonts w:cs="Arial"/>
          <w:b/>
          <w:bCs/>
          <w:color w:val="000000" w:themeColor="text1"/>
          <w:sz w:val="22"/>
          <w:szCs w:val="22"/>
        </w:rPr>
        <w:t>o</w:t>
      </w:r>
      <w:r w:rsidRPr="00CA5ABF">
        <w:rPr>
          <w:rFonts w:cs="Arial"/>
          <w:b/>
          <w:bCs/>
          <w:color w:val="000000" w:themeColor="text1"/>
          <w:sz w:val="22"/>
          <w:szCs w:val="22"/>
        </w:rPr>
        <w:t xml:space="preserve">. </w:t>
      </w:r>
      <w:r w:rsidRPr="00CA5ABF">
        <w:rPr>
          <w:rFonts w:cs="Arial"/>
          <w:b/>
          <w:bCs/>
          <w:sz w:val="22"/>
          <w:szCs w:val="22"/>
        </w:rPr>
        <w:t>Incentivos</w:t>
      </w:r>
      <w:r w:rsidRPr="00CA5ABF">
        <w:rPr>
          <w:rFonts w:cs="Arial"/>
          <w:b/>
          <w:bCs/>
          <w:color w:val="000000" w:themeColor="text1"/>
          <w:sz w:val="22"/>
          <w:szCs w:val="22"/>
        </w:rPr>
        <w:t xml:space="preserve">. </w:t>
      </w:r>
      <w:r w:rsidRPr="00CA5ABF">
        <w:rPr>
          <w:rFonts w:cs="Arial"/>
          <w:bCs/>
          <w:color w:val="000000" w:themeColor="text1"/>
          <w:sz w:val="22"/>
          <w:szCs w:val="22"/>
        </w:rPr>
        <w:t xml:space="preserve">Con cargo a los recursos del FNRA </w:t>
      </w:r>
      <w:r w:rsidRPr="00CA5ABF">
        <w:rPr>
          <w:rFonts w:cs="Arial"/>
          <w:color w:val="000000" w:themeColor="text1"/>
          <w:sz w:val="22"/>
          <w:szCs w:val="22"/>
        </w:rPr>
        <w:t xml:space="preserve">se establece un </w:t>
      </w:r>
      <w:r w:rsidR="006730CB" w:rsidRPr="00CA5ABF">
        <w:rPr>
          <w:rFonts w:cs="Arial"/>
          <w:color w:val="000000" w:themeColor="text1"/>
          <w:sz w:val="22"/>
          <w:szCs w:val="22"/>
        </w:rPr>
        <w:t>incentivo</w:t>
      </w:r>
      <w:r w:rsidRPr="00CA5ABF">
        <w:rPr>
          <w:rFonts w:cs="Arial"/>
          <w:color w:val="000000" w:themeColor="text1"/>
          <w:sz w:val="22"/>
          <w:szCs w:val="22"/>
        </w:rPr>
        <w:t xml:space="preserve"> a l</w:t>
      </w:r>
      <w:r w:rsidR="001B2E70" w:rsidRPr="00CA5ABF">
        <w:rPr>
          <w:rFonts w:cs="Arial"/>
          <w:color w:val="000000" w:themeColor="text1"/>
          <w:sz w:val="22"/>
          <w:szCs w:val="22"/>
        </w:rPr>
        <w:t>a prima del seguro agropecuario</w:t>
      </w:r>
      <w:r w:rsidR="00723D04" w:rsidRPr="00CA5ABF">
        <w:rPr>
          <w:rFonts w:cs="Arial"/>
          <w:color w:val="000000" w:themeColor="text1"/>
          <w:sz w:val="22"/>
          <w:szCs w:val="22"/>
        </w:rPr>
        <w:t xml:space="preserve"> </w:t>
      </w:r>
      <w:r w:rsidRPr="00CA5ABF">
        <w:rPr>
          <w:rFonts w:cs="Arial"/>
          <w:color w:val="000000" w:themeColor="text1"/>
          <w:sz w:val="22"/>
          <w:szCs w:val="22"/>
        </w:rPr>
        <w:t xml:space="preserve">de hasta el </w:t>
      </w:r>
      <w:r w:rsidR="009408A9" w:rsidRPr="00CA5ABF">
        <w:rPr>
          <w:rFonts w:cs="Arial"/>
          <w:color w:val="000000" w:themeColor="text1"/>
          <w:sz w:val="22"/>
          <w:szCs w:val="22"/>
        </w:rPr>
        <w:t>5</w:t>
      </w:r>
      <w:r w:rsidR="004E6B65" w:rsidRPr="00CA5ABF">
        <w:rPr>
          <w:rFonts w:cs="Arial"/>
          <w:color w:val="000000" w:themeColor="text1"/>
          <w:sz w:val="22"/>
          <w:szCs w:val="22"/>
        </w:rPr>
        <w:t>0</w:t>
      </w:r>
      <w:r w:rsidRPr="00CA5ABF">
        <w:rPr>
          <w:rFonts w:cs="Arial"/>
          <w:color w:val="000000" w:themeColor="text1"/>
          <w:sz w:val="22"/>
          <w:szCs w:val="22"/>
        </w:rPr>
        <w:t>% sobre la prima neta que se aplicará en su totalidad al inicio de la vigencia de la póliza.</w:t>
      </w:r>
    </w:p>
    <w:p w:rsidR="00AB5D1E" w:rsidRPr="00CA5ABF" w:rsidRDefault="00AB5D1E">
      <w:pPr>
        <w:spacing w:before="0" w:after="0" w:line="0" w:lineRule="atLeast"/>
        <w:jc w:val="both"/>
        <w:rPr>
          <w:rFonts w:cs="Arial"/>
          <w:color w:val="000000" w:themeColor="text1"/>
          <w:sz w:val="22"/>
          <w:szCs w:val="22"/>
        </w:rPr>
      </w:pPr>
    </w:p>
    <w:p w:rsidR="00AB5D1E" w:rsidRPr="00CA5ABF" w:rsidRDefault="00446A0E" w:rsidP="00723D04">
      <w:pPr>
        <w:spacing w:before="0" w:after="0" w:line="0" w:lineRule="atLeast"/>
        <w:jc w:val="both"/>
        <w:rPr>
          <w:rFonts w:cs="Arial"/>
          <w:color w:val="000000" w:themeColor="text1"/>
          <w:sz w:val="22"/>
          <w:szCs w:val="22"/>
        </w:rPr>
      </w:pPr>
      <w:r w:rsidRPr="00CA5ABF">
        <w:rPr>
          <w:rFonts w:cs="Arial"/>
          <w:color w:val="000000" w:themeColor="text1"/>
          <w:sz w:val="22"/>
          <w:szCs w:val="22"/>
        </w:rPr>
        <w:t xml:space="preserve">Se podrá acceder a incentivos adicionales </w:t>
      </w:r>
      <w:r w:rsidR="00667D5F" w:rsidRPr="00CA5ABF">
        <w:rPr>
          <w:rFonts w:cs="Arial"/>
          <w:color w:val="000000" w:themeColor="text1"/>
          <w:sz w:val="22"/>
          <w:szCs w:val="22"/>
        </w:rPr>
        <w:t xml:space="preserve">si </w:t>
      </w:r>
      <w:r w:rsidR="00E4709A" w:rsidRPr="00CA5ABF">
        <w:rPr>
          <w:rFonts w:cs="Arial"/>
          <w:color w:val="000000" w:themeColor="text1"/>
          <w:sz w:val="22"/>
          <w:szCs w:val="22"/>
        </w:rPr>
        <w:t xml:space="preserve">se </w:t>
      </w:r>
      <w:r w:rsidR="00667D5F" w:rsidRPr="00CA5ABF">
        <w:rPr>
          <w:rFonts w:cs="Arial"/>
          <w:color w:val="000000" w:themeColor="text1"/>
          <w:sz w:val="22"/>
          <w:szCs w:val="22"/>
        </w:rPr>
        <w:t xml:space="preserve">cumple </w:t>
      </w:r>
      <w:r w:rsidR="00E4709A" w:rsidRPr="00CA5ABF">
        <w:rPr>
          <w:rFonts w:cs="Arial"/>
          <w:color w:val="000000" w:themeColor="text1"/>
          <w:sz w:val="22"/>
          <w:szCs w:val="22"/>
        </w:rPr>
        <w:t xml:space="preserve">con </w:t>
      </w:r>
      <w:r w:rsidR="00723D04" w:rsidRPr="00CA5ABF">
        <w:rPr>
          <w:rFonts w:cs="Arial"/>
          <w:color w:val="000000" w:themeColor="text1"/>
          <w:sz w:val="22"/>
          <w:szCs w:val="22"/>
        </w:rPr>
        <w:t>algun</w:t>
      </w:r>
      <w:r w:rsidR="00667D5F" w:rsidRPr="00CA5ABF">
        <w:rPr>
          <w:rFonts w:cs="Arial"/>
          <w:color w:val="000000" w:themeColor="text1"/>
          <w:sz w:val="22"/>
          <w:szCs w:val="22"/>
        </w:rPr>
        <w:t>a de la</w:t>
      </w:r>
      <w:r w:rsidR="00723D04" w:rsidRPr="00CA5ABF">
        <w:rPr>
          <w:rFonts w:cs="Arial"/>
          <w:color w:val="000000" w:themeColor="text1"/>
          <w:sz w:val="22"/>
          <w:szCs w:val="22"/>
        </w:rPr>
        <w:t xml:space="preserve">s siguientes </w:t>
      </w:r>
      <w:r w:rsidR="00667D5F" w:rsidRPr="00CA5ABF">
        <w:rPr>
          <w:rFonts w:cs="Arial"/>
          <w:color w:val="000000" w:themeColor="text1"/>
          <w:sz w:val="22"/>
          <w:szCs w:val="22"/>
        </w:rPr>
        <w:t>condiciones</w:t>
      </w:r>
      <w:r w:rsidR="00A778B6" w:rsidRPr="00CA5ABF">
        <w:rPr>
          <w:rFonts w:cs="Arial"/>
          <w:color w:val="000000" w:themeColor="text1"/>
          <w:sz w:val="22"/>
          <w:szCs w:val="22"/>
        </w:rPr>
        <w:t>:</w:t>
      </w:r>
    </w:p>
    <w:p w:rsidR="00AB5D1E" w:rsidRPr="00CA5ABF" w:rsidRDefault="00A778B6">
      <w:pPr>
        <w:spacing w:before="0" w:after="0" w:line="0" w:lineRule="atLeast"/>
        <w:jc w:val="both"/>
        <w:rPr>
          <w:rFonts w:cs="Arial"/>
          <w:color w:val="000000" w:themeColor="text1"/>
          <w:sz w:val="22"/>
          <w:szCs w:val="22"/>
          <w:lang w:eastAsia="en-US"/>
        </w:rPr>
      </w:pPr>
      <w:r w:rsidRPr="00CA5ABF">
        <w:rPr>
          <w:rFonts w:cs="Arial"/>
          <w:color w:val="000000" w:themeColor="text1"/>
          <w:sz w:val="22"/>
          <w:szCs w:val="22"/>
        </w:rPr>
        <w:t xml:space="preserve">     </w:t>
      </w:r>
    </w:p>
    <w:p w:rsidR="00446A0E" w:rsidRPr="00CA5ABF" w:rsidRDefault="00446A0E" w:rsidP="00446A0E">
      <w:pPr>
        <w:pStyle w:val="Prrafodelista"/>
        <w:numPr>
          <w:ilvl w:val="0"/>
          <w:numId w:val="56"/>
        </w:numPr>
        <w:spacing w:before="0" w:after="0"/>
        <w:jc w:val="both"/>
        <w:rPr>
          <w:rFonts w:cs="Arial"/>
          <w:sz w:val="22"/>
          <w:szCs w:val="22"/>
        </w:rPr>
      </w:pPr>
      <w:r w:rsidRPr="00CA5ABF">
        <w:rPr>
          <w:rFonts w:cs="Arial"/>
          <w:sz w:val="22"/>
          <w:szCs w:val="22"/>
        </w:rPr>
        <w:t>20% si es un pequeño productor.</w:t>
      </w:r>
    </w:p>
    <w:p w:rsidR="00446A0E" w:rsidRPr="00CA5ABF" w:rsidRDefault="00446A0E" w:rsidP="00446A0E">
      <w:pPr>
        <w:pStyle w:val="Prrafodelista"/>
        <w:numPr>
          <w:ilvl w:val="0"/>
          <w:numId w:val="56"/>
        </w:numPr>
        <w:spacing w:before="0" w:after="0"/>
        <w:jc w:val="both"/>
        <w:rPr>
          <w:rFonts w:cs="Arial"/>
          <w:sz w:val="22"/>
          <w:szCs w:val="22"/>
        </w:rPr>
      </w:pPr>
      <w:r w:rsidRPr="00CA5ABF">
        <w:rPr>
          <w:rFonts w:cs="Arial"/>
          <w:sz w:val="22"/>
          <w:szCs w:val="22"/>
        </w:rPr>
        <w:t>5% si está en un clúster definido por la UPRA.</w:t>
      </w:r>
    </w:p>
    <w:p w:rsidR="00446A0E" w:rsidRPr="00CA5ABF" w:rsidRDefault="00446A0E" w:rsidP="00446A0E">
      <w:pPr>
        <w:pStyle w:val="Prrafodelista"/>
        <w:numPr>
          <w:ilvl w:val="0"/>
          <w:numId w:val="56"/>
        </w:numPr>
        <w:spacing w:before="0" w:after="0"/>
        <w:jc w:val="both"/>
        <w:rPr>
          <w:rFonts w:cs="Arial"/>
          <w:sz w:val="22"/>
          <w:szCs w:val="22"/>
        </w:rPr>
      </w:pPr>
      <w:r w:rsidRPr="00CA5ABF">
        <w:rPr>
          <w:rFonts w:cs="Arial"/>
          <w:sz w:val="22"/>
          <w:szCs w:val="22"/>
        </w:rPr>
        <w:t>5% si el productor accede al ISA por primera vez.</w:t>
      </w:r>
    </w:p>
    <w:p w:rsidR="00446A0E" w:rsidRPr="00CA5ABF" w:rsidRDefault="00446A0E" w:rsidP="00446A0E">
      <w:pPr>
        <w:pStyle w:val="Prrafodelista"/>
        <w:numPr>
          <w:ilvl w:val="0"/>
          <w:numId w:val="56"/>
        </w:numPr>
        <w:spacing w:before="0" w:after="0"/>
        <w:jc w:val="both"/>
        <w:rPr>
          <w:rFonts w:cs="Arial"/>
          <w:sz w:val="22"/>
          <w:szCs w:val="22"/>
        </w:rPr>
      </w:pPr>
      <w:r w:rsidRPr="00CA5ABF">
        <w:rPr>
          <w:rFonts w:cs="Arial"/>
          <w:sz w:val="22"/>
          <w:szCs w:val="22"/>
        </w:rPr>
        <w:t>5% si el cultivo/actividad es nuevo.</w:t>
      </w:r>
    </w:p>
    <w:p w:rsidR="00446A0E" w:rsidRPr="00CA5ABF" w:rsidRDefault="00446A0E" w:rsidP="00446A0E">
      <w:pPr>
        <w:pStyle w:val="Prrafodelista"/>
        <w:numPr>
          <w:ilvl w:val="0"/>
          <w:numId w:val="56"/>
        </w:numPr>
        <w:spacing w:before="0" w:after="0"/>
        <w:jc w:val="both"/>
        <w:rPr>
          <w:rFonts w:cs="Arial"/>
          <w:sz w:val="22"/>
          <w:szCs w:val="22"/>
        </w:rPr>
      </w:pPr>
      <w:r w:rsidRPr="00CA5ABF">
        <w:rPr>
          <w:rFonts w:cs="Arial"/>
          <w:sz w:val="22"/>
          <w:szCs w:val="22"/>
        </w:rPr>
        <w:t>5% si hace parte de un esquema de agricultura por contrato.</w:t>
      </w:r>
    </w:p>
    <w:p w:rsidR="00AB5D1E" w:rsidRPr="00CA5ABF" w:rsidRDefault="00AB5D1E">
      <w:pPr>
        <w:spacing w:before="0" w:after="0"/>
        <w:jc w:val="both"/>
        <w:rPr>
          <w:rFonts w:cs="Arial"/>
          <w:color w:val="000000" w:themeColor="text1"/>
          <w:sz w:val="22"/>
          <w:szCs w:val="22"/>
        </w:rPr>
      </w:pPr>
    </w:p>
    <w:p w:rsidR="00AB5D1E" w:rsidRPr="00CA5ABF" w:rsidRDefault="003F3D7D" w:rsidP="003F3D7D">
      <w:pPr>
        <w:spacing w:before="0" w:after="0" w:line="0" w:lineRule="atLeast"/>
        <w:jc w:val="both"/>
        <w:rPr>
          <w:rFonts w:cs="Arial"/>
          <w:color w:val="000000" w:themeColor="text1"/>
          <w:sz w:val="22"/>
          <w:szCs w:val="22"/>
        </w:rPr>
      </w:pPr>
      <w:r w:rsidRPr="00CA5ABF">
        <w:rPr>
          <w:rFonts w:cs="Arial"/>
          <w:color w:val="000000" w:themeColor="text1"/>
          <w:sz w:val="22"/>
          <w:szCs w:val="22"/>
        </w:rPr>
        <w:t>Con sujeción a los lineamientos que fije el MADR mediante resolución, FINAGRO, reglamentará las condiciones antes señaladas.</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 xml:space="preserve">Artículo </w:t>
      </w:r>
      <w:r w:rsidRPr="00CA5ABF">
        <w:rPr>
          <w:rFonts w:cs="Arial"/>
          <w:b/>
          <w:bCs/>
          <w:color w:val="000000" w:themeColor="text1"/>
          <w:sz w:val="22"/>
          <w:szCs w:val="22"/>
        </w:rPr>
        <w:t>6</w:t>
      </w:r>
      <w:r w:rsidR="003249AF" w:rsidRPr="00CA5ABF">
        <w:rPr>
          <w:rFonts w:cs="Arial"/>
          <w:b/>
          <w:color w:val="000000" w:themeColor="text1"/>
          <w:sz w:val="22"/>
          <w:szCs w:val="22"/>
        </w:rPr>
        <w:t>o</w:t>
      </w:r>
      <w:r w:rsidRPr="00CA5ABF">
        <w:rPr>
          <w:rFonts w:cs="Arial"/>
          <w:b/>
          <w:bCs/>
          <w:color w:val="000000" w:themeColor="text1"/>
          <w:sz w:val="22"/>
          <w:szCs w:val="22"/>
        </w:rPr>
        <w:t xml:space="preserve">. Costos asumidos por el productor. </w:t>
      </w:r>
      <w:r w:rsidRPr="00CA5ABF">
        <w:rPr>
          <w:rFonts w:cs="Arial"/>
          <w:iCs/>
          <w:color w:val="000000" w:themeColor="text1"/>
          <w:sz w:val="22"/>
          <w:szCs w:val="22"/>
        </w:rPr>
        <w:t xml:space="preserve">Los productores agropecuarios pagarán a la entidad aseguradora el porcentaje del valor de la prima a su cargo, incluyendo el Impuesto al Valor Agregado – IVA que se genere como producto de la suscripción de la póliza. </w:t>
      </w:r>
    </w:p>
    <w:p w:rsidR="00AB5D1E" w:rsidRPr="00CA5ABF" w:rsidRDefault="00AB5D1E">
      <w:pPr>
        <w:spacing w:before="0" w:after="0" w:line="0" w:lineRule="atLeast"/>
        <w:jc w:val="both"/>
        <w:rPr>
          <w:rFonts w:cs="Arial"/>
          <w:b/>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Parágrafo primero</w:t>
      </w:r>
      <w:r w:rsidR="00C14E1F" w:rsidRPr="00CA5ABF">
        <w:rPr>
          <w:rFonts w:cs="Arial"/>
          <w:color w:val="000000" w:themeColor="text1"/>
          <w:sz w:val="22"/>
          <w:szCs w:val="22"/>
        </w:rPr>
        <w:t>.</w:t>
      </w:r>
      <w:r w:rsidRPr="00CA5ABF">
        <w:rPr>
          <w:rFonts w:cs="Arial"/>
          <w:color w:val="000000" w:themeColor="text1"/>
          <w:sz w:val="22"/>
          <w:szCs w:val="22"/>
        </w:rPr>
        <w:t xml:space="preserve"> En el caso del seguro catastrófico, podrá ser el tomador quien pague la prima de seguro y el </w:t>
      </w:r>
      <w:r w:rsidRPr="00CA5ABF">
        <w:rPr>
          <w:rFonts w:cs="Arial"/>
          <w:iCs/>
          <w:color w:val="000000" w:themeColor="text1"/>
          <w:sz w:val="22"/>
          <w:szCs w:val="22"/>
        </w:rPr>
        <w:t>Impuesto al Valor Agregado –</w:t>
      </w:r>
      <w:r w:rsidRPr="00CA5ABF">
        <w:rPr>
          <w:rFonts w:cs="Arial"/>
          <w:color w:val="000000" w:themeColor="text1"/>
          <w:sz w:val="22"/>
          <w:szCs w:val="22"/>
        </w:rPr>
        <w:t xml:space="preserve"> IVA que se genere.</w:t>
      </w:r>
    </w:p>
    <w:p w:rsidR="00AB5D1E" w:rsidRPr="00CA5ABF" w:rsidRDefault="00AB5D1E">
      <w:pPr>
        <w:spacing w:before="0" w:after="0" w:line="0" w:lineRule="atLeast"/>
        <w:jc w:val="both"/>
        <w:rPr>
          <w:rFonts w:cs="Arial"/>
          <w:iCs/>
          <w:color w:val="000000" w:themeColor="text1"/>
          <w:sz w:val="22"/>
          <w:szCs w:val="22"/>
        </w:rPr>
      </w:pPr>
    </w:p>
    <w:p w:rsidR="00AB5D1E" w:rsidRPr="00CA5ABF" w:rsidRDefault="00A778B6">
      <w:pPr>
        <w:spacing w:before="0" w:after="0" w:line="0" w:lineRule="atLeast"/>
        <w:jc w:val="both"/>
        <w:rPr>
          <w:rFonts w:cs="Arial"/>
          <w:i/>
          <w:iCs/>
          <w:color w:val="000000" w:themeColor="text1"/>
          <w:sz w:val="22"/>
          <w:szCs w:val="22"/>
        </w:rPr>
      </w:pPr>
      <w:r w:rsidRPr="00CA5ABF">
        <w:rPr>
          <w:rFonts w:cs="Arial"/>
          <w:b/>
          <w:color w:val="000000" w:themeColor="text1"/>
          <w:sz w:val="22"/>
          <w:szCs w:val="22"/>
        </w:rPr>
        <w:t>Parágrafo segundo</w:t>
      </w:r>
      <w:r w:rsidR="00C14E1F" w:rsidRPr="00CA5ABF">
        <w:rPr>
          <w:rFonts w:cs="Arial"/>
          <w:color w:val="000000" w:themeColor="text1"/>
          <w:sz w:val="22"/>
          <w:szCs w:val="22"/>
        </w:rPr>
        <w:t>.</w:t>
      </w:r>
      <w:r w:rsidRPr="00CA5ABF">
        <w:rPr>
          <w:rFonts w:cs="Arial"/>
          <w:color w:val="000000" w:themeColor="text1"/>
          <w:sz w:val="22"/>
          <w:szCs w:val="22"/>
        </w:rPr>
        <w:t xml:space="preserve"> </w:t>
      </w:r>
      <w:r w:rsidRPr="00CA5ABF">
        <w:rPr>
          <w:rFonts w:cs="Arial"/>
          <w:iCs/>
          <w:color w:val="000000" w:themeColor="text1"/>
          <w:sz w:val="22"/>
          <w:szCs w:val="22"/>
        </w:rPr>
        <w:t xml:space="preserve">El FNRA pagará el porcentaje correspondiente al </w:t>
      </w:r>
      <w:r w:rsidR="006730CB" w:rsidRPr="00CA5ABF">
        <w:rPr>
          <w:rFonts w:cs="Arial"/>
          <w:iCs/>
          <w:color w:val="000000" w:themeColor="text1"/>
          <w:sz w:val="22"/>
          <w:szCs w:val="22"/>
        </w:rPr>
        <w:t>incentivo</w:t>
      </w:r>
      <w:r w:rsidRPr="00CA5ABF">
        <w:rPr>
          <w:rFonts w:cs="Arial"/>
          <w:iCs/>
          <w:color w:val="000000" w:themeColor="text1"/>
          <w:sz w:val="22"/>
          <w:szCs w:val="22"/>
        </w:rPr>
        <w:t xml:space="preserve"> del valor de la prima, antes del Impuesto al Valor Agregado – IVA, el cual será abonado directamente por FINAGRO a la entidad aseguradora o aquellas entidades autorizadas por la Superintendencia Financiera a través del Registro de Entidades Aseguradoras e Intermediarios de Seguro Agropecuario del Exterior (RAISAX), una vez el tomador haya </w:t>
      </w:r>
      <w:r w:rsidR="00A20F01" w:rsidRPr="00CA5ABF">
        <w:rPr>
          <w:rFonts w:cs="Arial"/>
          <w:iCs/>
          <w:color w:val="000000" w:themeColor="text1"/>
          <w:sz w:val="22"/>
          <w:szCs w:val="22"/>
        </w:rPr>
        <w:t xml:space="preserve">pagado </w:t>
      </w:r>
      <w:r w:rsidRPr="00CA5ABF">
        <w:rPr>
          <w:rFonts w:cs="Arial"/>
          <w:iCs/>
          <w:color w:val="000000" w:themeColor="text1"/>
          <w:sz w:val="22"/>
          <w:szCs w:val="22"/>
        </w:rPr>
        <w:t>el porcentaje de la prima que le corresponde</w:t>
      </w:r>
      <w:r w:rsidRPr="00CA5ABF">
        <w:rPr>
          <w:rFonts w:cs="Arial"/>
          <w:i/>
          <w:iCs/>
          <w:color w:val="000000" w:themeColor="text1"/>
          <w:sz w:val="22"/>
          <w:szCs w:val="22"/>
        </w:rPr>
        <w:t>.</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Artículo 7</w:t>
      </w:r>
      <w:r w:rsidR="003249AF" w:rsidRPr="00CA5ABF">
        <w:rPr>
          <w:rFonts w:cs="Arial"/>
          <w:b/>
          <w:color w:val="000000" w:themeColor="text1"/>
          <w:sz w:val="22"/>
          <w:szCs w:val="22"/>
        </w:rPr>
        <w:t>o</w:t>
      </w:r>
      <w:r w:rsidRPr="00CA5ABF">
        <w:rPr>
          <w:rFonts w:cs="Arial"/>
          <w:color w:val="000000" w:themeColor="text1"/>
          <w:sz w:val="22"/>
          <w:szCs w:val="22"/>
        </w:rPr>
        <w:t xml:space="preserve">. </w:t>
      </w:r>
      <w:r w:rsidRPr="00CA5ABF">
        <w:rPr>
          <w:rFonts w:cs="Arial"/>
          <w:b/>
          <w:color w:val="000000" w:themeColor="text1"/>
          <w:sz w:val="22"/>
          <w:szCs w:val="22"/>
        </w:rPr>
        <w:t xml:space="preserve">Comité Consultivo. </w:t>
      </w:r>
      <w:r w:rsidRPr="00CA5ABF">
        <w:rPr>
          <w:rFonts w:cs="Arial"/>
          <w:color w:val="000000" w:themeColor="text1"/>
          <w:sz w:val="22"/>
          <w:szCs w:val="22"/>
        </w:rPr>
        <w:t xml:space="preserve">Créase un Comité Consultivo, para Gestión de Riesgos Agropecuarios, integrado por representantes y/o delegados de cada uno de los miembros de la Comisión Nacional de Crédito Agropecuario, así como de los Presidentes/Directores y sus delegados de la Federación de Aseguradores Colombianos (FASECOLDA), del Instituto de Hidrología, Meteorología y Estudios Ambientales de Colombia (IDEAM), el Instituto Geográfico Agustín Codazzi (IGAC), el Instituto Colombiano Agropecuario (ICA), la Unidad de Planificación Rural Agropecuaria (UPRA), la Corporación Colombiana de </w:t>
      </w:r>
      <w:r w:rsidRPr="00CA5ABF">
        <w:rPr>
          <w:rFonts w:cs="Arial"/>
          <w:color w:val="000000" w:themeColor="text1"/>
          <w:sz w:val="22"/>
          <w:szCs w:val="22"/>
        </w:rPr>
        <w:lastRenderedPageBreak/>
        <w:t>Investigación Agropecuaria (</w:t>
      </w:r>
      <w:r w:rsidR="00110D15" w:rsidRPr="00CA5ABF">
        <w:rPr>
          <w:rFonts w:cs="Arial"/>
          <w:color w:val="000000" w:themeColor="text1"/>
          <w:sz w:val="22"/>
          <w:szCs w:val="22"/>
        </w:rPr>
        <w:t>AGROSAVIA</w:t>
      </w:r>
      <w:r w:rsidRPr="00CA5ABF">
        <w:rPr>
          <w:rFonts w:cs="Arial"/>
          <w:color w:val="000000" w:themeColor="text1"/>
          <w:sz w:val="22"/>
          <w:szCs w:val="22"/>
        </w:rPr>
        <w:t xml:space="preserve">),  la Unidad Nacional para la Gestión del Riesgo de Desastres (UNGRD), la Sociedad de Agricultores de Colombia (SAC) y el Banco Agrario de Colombia (BAC). Este Comité podrá presentar propuestas a la Comisión Nacional de Crédito Agropecuario tendientes a la profundización del seguro agropecuario como mecanismo de la gestión de riesgos, competitividad y productividad del sector agropecuario. </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pStyle w:val="Default"/>
        <w:spacing w:line="0" w:lineRule="atLeast"/>
        <w:jc w:val="both"/>
        <w:rPr>
          <w:color w:val="000000" w:themeColor="text1"/>
          <w:sz w:val="22"/>
          <w:szCs w:val="22"/>
        </w:rPr>
      </w:pPr>
      <w:r w:rsidRPr="00CA5ABF">
        <w:rPr>
          <w:b/>
          <w:color w:val="000000" w:themeColor="text1"/>
          <w:sz w:val="22"/>
          <w:szCs w:val="22"/>
        </w:rPr>
        <w:t xml:space="preserve">Artículo </w:t>
      </w:r>
      <w:r w:rsidRPr="00CA5ABF">
        <w:rPr>
          <w:b/>
          <w:bCs/>
          <w:color w:val="000000" w:themeColor="text1"/>
          <w:spacing w:val="-3"/>
          <w:sz w:val="22"/>
          <w:szCs w:val="22"/>
        </w:rPr>
        <w:t>8</w:t>
      </w:r>
      <w:r w:rsidR="003249AF" w:rsidRPr="00CA5ABF">
        <w:rPr>
          <w:b/>
          <w:bCs/>
          <w:color w:val="000000" w:themeColor="text1"/>
          <w:spacing w:val="-3"/>
          <w:sz w:val="22"/>
          <w:szCs w:val="22"/>
        </w:rPr>
        <w:t>o</w:t>
      </w:r>
      <w:r w:rsidRPr="00CA5ABF">
        <w:rPr>
          <w:b/>
          <w:bCs/>
          <w:color w:val="000000" w:themeColor="text1"/>
          <w:spacing w:val="-3"/>
          <w:sz w:val="22"/>
          <w:szCs w:val="22"/>
        </w:rPr>
        <w:t>. Responsabilidad de las compañías aseguradoras</w:t>
      </w:r>
      <w:r w:rsidRPr="00CA5ABF">
        <w:rPr>
          <w:bCs/>
          <w:color w:val="000000" w:themeColor="text1"/>
          <w:spacing w:val="-3"/>
          <w:sz w:val="22"/>
          <w:szCs w:val="22"/>
        </w:rPr>
        <w:t xml:space="preserve">. </w:t>
      </w:r>
      <w:r w:rsidRPr="00CA5ABF">
        <w:rPr>
          <w:color w:val="000000" w:themeColor="text1"/>
          <w:sz w:val="22"/>
          <w:szCs w:val="22"/>
        </w:rPr>
        <w:t xml:space="preserve">Sin perjuicio de las facultades de la Superintendencia Financiera de Colombia, al solicitar el reconocimiento del </w:t>
      </w:r>
      <w:r w:rsidR="006730CB" w:rsidRPr="00CA5ABF">
        <w:rPr>
          <w:color w:val="000000" w:themeColor="text1"/>
          <w:sz w:val="22"/>
          <w:szCs w:val="22"/>
        </w:rPr>
        <w:t>incentivo</w:t>
      </w:r>
      <w:r w:rsidRPr="00CA5ABF">
        <w:rPr>
          <w:color w:val="000000" w:themeColor="text1"/>
          <w:sz w:val="22"/>
          <w:szCs w:val="22"/>
        </w:rPr>
        <w:t xml:space="preserve"> a la prima del seguro agropecuario, la respectiva compañía aseguradora </w:t>
      </w:r>
      <w:r w:rsidRPr="00CA5ABF">
        <w:rPr>
          <w:iCs/>
          <w:color w:val="000000" w:themeColor="text1"/>
          <w:sz w:val="22"/>
          <w:szCs w:val="22"/>
        </w:rPr>
        <w:t xml:space="preserve">o aquellas entidades autorizadas por la Superintendencia Financiera a través del Registro </w:t>
      </w:r>
      <w:r w:rsidRPr="00CA5ABF">
        <w:rPr>
          <w:color w:val="000000" w:themeColor="text1"/>
          <w:sz w:val="22"/>
          <w:szCs w:val="22"/>
        </w:rPr>
        <w:t>de Entidades Aseguradoras e Intermediarios de Seguro Agropecuario del Exterior asume la obligación de entregar a FINAGRO, un reporte de los siniestros reclamados, de las pólizas vigentes y canceladas y de las indemnizaciones pagadas, objetadas y en estudio, indicando el motivo del siniestro, del no pago de la indemnización de ser el caso y los valores pagados correspondientes, entre otros. FINAGRO reglamentará la forma de entrega de la información.</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both"/>
        <w:rPr>
          <w:rFonts w:cs="Arial"/>
          <w:color w:val="000000" w:themeColor="text1"/>
          <w:sz w:val="22"/>
          <w:szCs w:val="22"/>
        </w:rPr>
      </w:pPr>
      <w:r w:rsidRPr="00CA5ABF">
        <w:rPr>
          <w:rFonts w:cs="Arial"/>
          <w:b/>
          <w:color w:val="000000" w:themeColor="text1"/>
          <w:sz w:val="22"/>
          <w:szCs w:val="22"/>
        </w:rPr>
        <w:t>Artículo 9</w:t>
      </w:r>
      <w:r w:rsidR="003249AF" w:rsidRPr="00CA5ABF">
        <w:rPr>
          <w:rFonts w:cs="Arial"/>
          <w:b/>
          <w:color w:val="000000" w:themeColor="text1"/>
          <w:sz w:val="22"/>
          <w:szCs w:val="22"/>
        </w:rPr>
        <w:t>o</w:t>
      </w:r>
      <w:r w:rsidRPr="00CA5ABF">
        <w:rPr>
          <w:rFonts w:cs="Arial"/>
          <w:b/>
          <w:color w:val="000000" w:themeColor="text1"/>
          <w:sz w:val="22"/>
          <w:szCs w:val="22"/>
        </w:rPr>
        <w:t>. Reglamentación adicional</w:t>
      </w:r>
      <w:r w:rsidRPr="00CA5ABF">
        <w:rPr>
          <w:rFonts w:cs="Arial"/>
          <w:color w:val="000000" w:themeColor="text1"/>
          <w:sz w:val="22"/>
          <w:szCs w:val="22"/>
        </w:rPr>
        <w:t xml:space="preserve">. FINAGRO </w:t>
      </w:r>
      <w:r w:rsidR="00822377" w:rsidRPr="00CA5ABF">
        <w:rPr>
          <w:rFonts w:cs="Arial"/>
          <w:color w:val="000000" w:themeColor="text1"/>
          <w:sz w:val="22"/>
          <w:szCs w:val="22"/>
        </w:rPr>
        <w:t>adoptará</w:t>
      </w:r>
      <w:r w:rsidRPr="00CA5ABF">
        <w:rPr>
          <w:rFonts w:cs="Arial"/>
          <w:color w:val="000000" w:themeColor="text1"/>
          <w:sz w:val="22"/>
          <w:szCs w:val="22"/>
        </w:rPr>
        <w:t xml:space="preserve"> los procedimientos y medidas necesarias para </w:t>
      </w:r>
      <w:r w:rsidR="00822377" w:rsidRPr="00CA5ABF">
        <w:rPr>
          <w:rFonts w:cs="Arial"/>
          <w:color w:val="000000" w:themeColor="text1"/>
          <w:sz w:val="22"/>
          <w:szCs w:val="22"/>
        </w:rPr>
        <w:t>el</w:t>
      </w:r>
      <w:r w:rsidRPr="00CA5ABF">
        <w:rPr>
          <w:rFonts w:cs="Arial"/>
          <w:color w:val="000000" w:themeColor="text1"/>
          <w:sz w:val="22"/>
          <w:szCs w:val="22"/>
        </w:rPr>
        <w:t xml:space="preserve"> desarrollo y aplicación</w:t>
      </w:r>
      <w:r w:rsidR="00822377" w:rsidRPr="00CA5ABF">
        <w:rPr>
          <w:rFonts w:cs="Arial"/>
          <w:color w:val="000000" w:themeColor="text1"/>
          <w:sz w:val="22"/>
          <w:szCs w:val="22"/>
        </w:rPr>
        <w:t xml:space="preserve"> de la presente resolución</w:t>
      </w:r>
      <w:r w:rsidRPr="00CA5ABF">
        <w:rPr>
          <w:rFonts w:cs="Arial"/>
          <w:color w:val="000000" w:themeColor="text1"/>
          <w:sz w:val="22"/>
          <w:szCs w:val="22"/>
        </w:rPr>
        <w:t xml:space="preserve">. </w:t>
      </w:r>
    </w:p>
    <w:p w:rsidR="00AB5D1E" w:rsidRPr="00CA5ABF" w:rsidRDefault="00AB5D1E">
      <w:pPr>
        <w:spacing w:before="0" w:after="0" w:line="0" w:lineRule="atLeast"/>
        <w:jc w:val="both"/>
        <w:rPr>
          <w:rFonts w:cs="Arial"/>
          <w:color w:val="000000" w:themeColor="text1"/>
          <w:sz w:val="22"/>
          <w:szCs w:val="22"/>
        </w:rPr>
      </w:pPr>
    </w:p>
    <w:p w:rsidR="00AB5D1E" w:rsidRPr="00CA5ABF" w:rsidRDefault="00A778B6">
      <w:pPr>
        <w:spacing w:before="0" w:after="0" w:line="0" w:lineRule="atLeast"/>
        <w:jc w:val="both"/>
        <w:rPr>
          <w:rFonts w:cs="Arial"/>
          <w:i/>
          <w:sz w:val="22"/>
          <w:szCs w:val="22"/>
        </w:rPr>
      </w:pPr>
      <w:r w:rsidRPr="00CA5ABF">
        <w:rPr>
          <w:rFonts w:cs="Arial"/>
          <w:b/>
          <w:sz w:val="22"/>
          <w:szCs w:val="22"/>
        </w:rPr>
        <w:t>Artículo 10</w:t>
      </w:r>
      <w:r w:rsidR="003249AF" w:rsidRPr="00CA5ABF">
        <w:rPr>
          <w:rFonts w:cs="Arial"/>
          <w:b/>
          <w:sz w:val="22"/>
          <w:szCs w:val="22"/>
        </w:rPr>
        <w:t>o</w:t>
      </w:r>
      <w:r w:rsidRPr="00CA5ABF">
        <w:rPr>
          <w:rFonts w:cs="Arial"/>
          <w:b/>
          <w:sz w:val="22"/>
          <w:szCs w:val="22"/>
        </w:rPr>
        <w:t xml:space="preserve">. Vigencia. </w:t>
      </w:r>
      <w:r w:rsidRPr="00CA5ABF">
        <w:rPr>
          <w:rFonts w:cs="Arial"/>
          <w:sz w:val="22"/>
          <w:szCs w:val="22"/>
        </w:rPr>
        <w:t xml:space="preserve">La presente </w:t>
      </w:r>
      <w:r w:rsidR="00822377" w:rsidRPr="00CA5ABF">
        <w:rPr>
          <w:rFonts w:cs="Arial"/>
          <w:sz w:val="22"/>
          <w:szCs w:val="22"/>
        </w:rPr>
        <w:t>r</w:t>
      </w:r>
      <w:r w:rsidRPr="00CA5ABF">
        <w:rPr>
          <w:rFonts w:cs="Arial"/>
          <w:sz w:val="22"/>
          <w:szCs w:val="22"/>
        </w:rPr>
        <w:t xml:space="preserve">esolución rige a partir de su publicación en el Diario Oficial, deroga las disposiciones que le sean contrarias y aplicará para las pólizas expedidas </w:t>
      </w:r>
      <w:r w:rsidR="001B2E70" w:rsidRPr="00CA5ABF">
        <w:rPr>
          <w:rFonts w:cs="Arial"/>
          <w:sz w:val="22"/>
          <w:szCs w:val="22"/>
        </w:rPr>
        <w:t>a partir del 1 de enero de 2019</w:t>
      </w:r>
      <w:r w:rsidRPr="00CA5ABF">
        <w:rPr>
          <w:rFonts w:cs="Arial"/>
          <w:sz w:val="22"/>
          <w:szCs w:val="22"/>
        </w:rPr>
        <w:t>.</w:t>
      </w:r>
      <w:r w:rsidRPr="00CA5ABF">
        <w:rPr>
          <w:rFonts w:cs="Arial"/>
          <w:spacing w:val="-3"/>
          <w:sz w:val="22"/>
          <w:szCs w:val="22"/>
        </w:rPr>
        <w:t xml:space="preserve"> </w:t>
      </w:r>
    </w:p>
    <w:p w:rsidR="00AB5D1E" w:rsidRPr="00CA5ABF" w:rsidRDefault="00AB5D1E">
      <w:pPr>
        <w:widowControl w:val="0"/>
        <w:autoSpaceDE w:val="0"/>
        <w:autoSpaceDN w:val="0"/>
        <w:adjustRightInd w:val="0"/>
        <w:spacing w:before="0" w:after="0" w:line="0" w:lineRule="atLeast"/>
        <w:jc w:val="both"/>
        <w:rPr>
          <w:rFonts w:cs="Arial"/>
          <w:sz w:val="22"/>
          <w:szCs w:val="22"/>
        </w:rPr>
      </w:pPr>
    </w:p>
    <w:p w:rsidR="00AB5D1E" w:rsidRPr="00CA5ABF" w:rsidRDefault="00A778B6" w:rsidP="006D5E30">
      <w:pPr>
        <w:autoSpaceDE w:val="0"/>
        <w:autoSpaceDN w:val="0"/>
        <w:adjustRightInd w:val="0"/>
        <w:spacing w:line="0" w:lineRule="atLeast"/>
        <w:jc w:val="both"/>
        <w:rPr>
          <w:rFonts w:cs="Arial"/>
          <w:sz w:val="22"/>
          <w:szCs w:val="22"/>
        </w:rPr>
      </w:pPr>
      <w:r w:rsidRPr="00CA5ABF">
        <w:rPr>
          <w:rFonts w:cs="Arial"/>
          <w:sz w:val="22"/>
          <w:szCs w:val="22"/>
        </w:rPr>
        <w:t xml:space="preserve">Dada en Bogotá D.C., </w:t>
      </w:r>
      <w:r w:rsidR="006D5E30" w:rsidRPr="00CA5ABF">
        <w:rPr>
          <w:rFonts w:cs="Arial"/>
          <w:sz w:val="22"/>
          <w:szCs w:val="22"/>
        </w:rPr>
        <w:t>a los catorce días (14) del mes de diciembre de dos mil dieciocho (2018).</w:t>
      </w:r>
    </w:p>
    <w:p w:rsidR="00514B17" w:rsidRPr="00CA5ABF" w:rsidRDefault="00514B17" w:rsidP="006D5E30">
      <w:pPr>
        <w:autoSpaceDE w:val="0"/>
        <w:autoSpaceDN w:val="0"/>
        <w:adjustRightInd w:val="0"/>
        <w:spacing w:line="0" w:lineRule="atLeast"/>
        <w:jc w:val="both"/>
        <w:rPr>
          <w:rFonts w:cs="Arial"/>
          <w:sz w:val="22"/>
          <w:szCs w:val="22"/>
        </w:rPr>
      </w:pPr>
    </w:p>
    <w:p w:rsidR="00AB5D1E" w:rsidRPr="00CA5ABF" w:rsidRDefault="00AB5D1E">
      <w:pPr>
        <w:widowControl w:val="0"/>
        <w:autoSpaceDE w:val="0"/>
        <w:autoSpaceDN w:val="0"/>
        <w:adjustRightInd w:val="0"/>
        <w:spacing w:before="0" w:after="0" w:line="0" w:lineRule="atLeast"/>
        <w:jc w:val="both"/>
        <w:rPr>
          <w:rFonts w:cs="Arial"/>
          <w:sz w:val="22"/>
          <w:szCs w:val="22"/>
        </w:rPr>
      </w:pPr>
    </w:p>
    <w:p w:rsidR="00AB5D1E" w:rsidRPr="00CA5ABF" w:rsidRDefault="00AB5D1E">
      <w:pPr>
        <w:spacing w:before="0" w:after="0" w:line="0" w:lineRule="atLeast"/>
        <w:jc w:val="both"/>
        <w:rPr>
          <w:rFonts w:cs="Arial"/>
          <w:bCs/>
          <w:sz w:val="22"/>
          <w:szCs w:val="22"/>
        </w:rPr>
      </w:pPr>
    </w:p>
    <w:p w:rsidR="00AB5D1E" w:rsidRPr="00CA5ABF" w:rsidRDefault="00A405D0">
      <w:pPr>
        <w:spacing w:before="0" w:after="0" w:line="0" w:lineRule="atLeast"/>
        <w:jc w:val="both"/>
        <w:rPr>
          <w:rFonts w:cs="Arial"/>
          <w:bCs/>
          <w:sz w:val="22"/>
          <w:szCs w:val="22"/>
        </w:rPr>
      </w:pPr>
      <w:r w:rsidRPr="00CA5ABF">
        <w:rPr>
          <w:rFonts w:cs="Arial"/>
          <w:b/>
          <w:bCs/>
          <w:sz w:val="22"/>
          <w:szCs w:val="22"/>
        </w:rPr>
        <w:t>ANDRÉS VALENCIA PINZÓN</w:t>
      </w:r>
      <w:r w:rsidRPr="00CA5ABF">
        <w:rPr>
          <w:rFonts w:cs="Arial"/>
          <w:b/>
          <w:bCs/>
          <w:sz w:val="22"/>
          <w:szCs w:val="22"/>
        </w:rPr>
        <w:tab/>
      </w:r>
      <w:r w:rsidR="00A778B6" w:rsidRPr="00CA5ABF">
        <w:rPr>
          <w:rFonts w:cs="Arial"/>
          <w:b/>
          <w:bCs/>
          <w:sz w:val="22"/>
          <w:szCs w:val="22"/>
        </w:rPr>
        <w:tab/>
      </w:r>
      <w:r w:rsidR="00A778B6" w:rsidRPr="00CA5ABF">
        <w:rPr>
          <w:rFonts w:cs="Arial"/>
          <w:b/>
          <w:bCs/>
          <w:sz w:val="22"/>
          <w:szCs w:val="22"/>
        </w:rPr>
        <w:tab/>
      </w:r>
      <w:r w:rsidRPr="00CA5ABF">
        <w:rPr>
          <w:rFonts w:cs="Arial"/>
          <w:b/>
          <w:bCs/>
          <w:sz w:val="22"/>
          <w:szCs w:val="22"/>
        </w:rPr>
        <w:t>CLAUDIA ACOSTA ECHEVERRÍA</w:t>
      </w:r>
    </w:p>
    <w:p w:rsidR="00AB5D1E" w:rsidRPr="00D1186D" w:rsidRDefault="00A778B6">
      <w:pPr>
        <w:spacing w:before="0" w:after="0" w:line="0" w:lineRule="atLeast"/>
        <w:jc w:val="both"/>
        <w:rPr>
          <w:rFonts w:cs="Arial"/>
          <w:i/>
          <w:sz w:val="22"/>
          <w:szCs w:val="22"/>
        </w:rPr>
      </w:pPr>
      <w:r w:rsidRPr="00CA5ABF">
        <w:rPr>
          <w:rFonts w:cs="Arial"/>
          <w:bCs/>
          <w:sz w:val="22"/>
          <w:szCs w:val="22"/>
        </w:rPr>
        <w:t>Presidente</w:t>
      </w:r>
      <w:r w:rsidRPr="00CA5ABF">
        <w:rPr>
          <w:rFonts w:cs="Arial"/>
          <w:bCs/>
          <w:sz w:val="22"/>
          <w:szCs w:val="22"/>
        </w:rPr>
        <w:tab/>
      </w:r>
      <w:r w:rsidRPr="00CA5ABF">
        <w:rPr>
          <w:rFonts w:cs="Arial"/>
          <w:bCs/>
          <w:sz w:val="22"/>
          <w:szCs w:val="22"/>
        </w:rPr>
        <w:tab/>
      </w:r>
      <w:r w:rsidRPr="00CA5ABF">
        <w:rPr>
          <w:rFonts w:cs="Arial"/>
          <w:bCs/>
          <w:sz w:val="22"/>
          <w:szCs w:val="22"/>
        </w:rPr>
        <w:tab/>
      </w:r>
      <w:r w:rsidRPr="00CA5ABF">
        <w:rPr>
          <w:rFonts w:cs="Arial"/>
          <w:bCs/>
          <w:sz w:val="22"/>
          <w:szCs w:val="22"/>
        </w:rPr>
        <w:tab/>
      </w:r>
      <w:r w:rsidRPr="00CA5ABF">
        <w:rPr>
          <w:rFonts w:cs="Arial"/>
          <w:bCs/>
          <w:sz w:val="22"/>
          <w:szCs w:val="22"/>
        </w:rPr>
        <w:tab/>
      </w:r>
      <w:r w:rsidRPr="00CA5ABF">
        <w:rPr>
          <w:rFonts w:cs="Arial"/>
          <w:bCs/>
          <w:sz w:val="22"/>
          <w:szCs w:val="22"/>
        </w:rPr>
        <w:tab/>
        <w:t xml:space="preserve">Secretario Técnico </w:t>
      </w:r>
      <w:r w:rsidR="00AD62DA" w:rsidRPr="00CA5ABF">
        <w:rPr>
          <w:rFonts w:cs="Arial"/>
          <w:bCs/>
          <w:sz w:val="22"/>
          <w:szCs w:val="22"/>
        </w:rPr>
        <w:t>(E).</w:t>
      </w:r>
      <w:bookmarkStart w:id="1" w:name="_GoBack"/>
      <w:bookmarkEnd w:id="1"/>
    </w:p>
    <w:sectPr w:rsidR="00AB5D1E" w:rsidRPr="00D1186D">
      <w:footerReference w:type="even" r:id="rId8"/>
      <w:footerReference w:type="default" r:id="rId9"/>
      <w:pgSz w:w="12242" w:h="15842" w:code="1"/>
      <w:pgMar w:top="1418" w:right="1701" w:bottom="1418" w:left="1701" w:header="851"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84" w:rsidRDefault="00D20C84">
      <w:r>
        <w:separator/>
      </w:r>
    </w:p>
  </w:endnote>
  <w:endnote w:type="continuationSeparator" w:id="0">
    <w:p w:rsidR="00D20C84" w:rsidRDefault="00D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1E" w:rsidRDefault="00A778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5D1E" w:rsidRDefault="00AB5D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1E" w:rsidRDefault="00AB5D1E">
    <w:pPr>
      <w:pStyle w:val="Piedepgina"/>
      <w:jc w:val="right"/>
      <w:rPr>
        <w:sz w:val="20"/>
        <w:szCs w:val="20"/>
      </w:rPr>
    </w:pPr>
  </w:p>
  <w:p w:rsidR="00AB5D1E" w:rsidRDefault="00AB5D1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84" w:rsidRDefault="00D20C84">
      <w:r>
        <w:separator/>
      </w:r>
    </w:p>
  </w:footnote>
  <w:footnote w:type="continuationSeparator" w:id="0">
    <w:p w:rsidR="00D20C84" w:rsidRDefault="00D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9E7"/>
    <w:multiLevelType w:val="hybridMultilevel"/>
    <w:tmpl w:val="3200927E"/>
    <w:lvl w:ilvl="0" w:tplc="77F4588E">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B62463"/>
    <w:multiLevelType w:val="hybridMultilevel"/>
    <w:tmpl w:val="8C90E9A8"/>
    <w:lvl w:ilvl="0" w:tplc="99A26DDC">
      <w:start w:val="1"/>
      <w:numFmt w:val="decimal"/>
      <w:lvlText w:val="%1)"/>
      <w:lvlJc w:val="left"/>
      <w:pPr>
        <w:ind w:left="705" w:hanging="705"/>
      </w:pPr>
      <w:rPr>
        <w:rFonts w:hint="default"/>
        <w:sz w:val="22"/>
        <w:szCs w:val="22"/>
      </w:rPr>
    </w:lvl>
    <w:lvl w:ilvl="1" w:tplc="6FD0E3E6">
      <w:start w:val="3"/>
      <w:numFmt w:val="bullet"/>
      <w:lvlText w:val="•"/>
      <w:lvlJc w:val="left"/>
      <w:pPr>
        <w:ind w:left="1080" w:hanging="360"/>
      </w:pPr>
      <w:rPr>
        <w:rFonts w:ascii="Calibri" w:eastAsia="Times New Roman" w:hAnsi="Calibri" w:cs="Times New Roman"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3F24F6"/>
    <w:multiLevelType w:val="hybridMultilevel"/>
    <w:tmpl w:val="74FA2E46"/>
    <w:lvl w:ilvl="0" w:tplc="240A0001">
      <w:start w:val="1"/>
      <w:numFmt w:val="bullet"/>
      <w:lvlText w:val=""/>
      <w:lvlJc w:val="left"/>
      <w:pPr>
        <w:tabs>
          <w:tab w:val="num" w:pos="1068"/>
        </w:tabs>
        <w:ind w:left="1068" w:hanging="360"/>
      </w:pPr>
      <w:rPr>
        <w:rFonts w:ascii="Symbol" w:hAnsi="Symbol" w:hint="default"/>
      </w:rPr>
    </w:lvl>
    <w:lvl w:ilvl="1" w:tplc="240A0003" w:tentative="1">
      <w:start w:val="1"/>
      <w:numFmt w:val="bullet"/>
      <w:lvlText w:val="o"/>
      <w:lvlJc w:val="left"/>
      <w:pPr>
        <w:ind w:left="348" w:hanging="360"/>
      </w:pPr>
      <w:rPr>
        <w:rFonts w:ascii="Courier New" w:hAnsi="Courier New" w:cs="Courier New" w:hint="default"/>
      </w:rPr>
    </w:lvl>
    <w:lvl w:ilvl="2" w:tplc="240A0005" w:tentative="1">
      <w:start w:val="1"/>
      <w:numFmt w:val="bullet"/>
      <w:lvlText w:val=""/>
      <w:lvlJc w:val="left"/>
      <w:pPr>
        <w:ind w:left="1068" w:hanging="360"/>
      </w:pPr>
      <w:rPr>
        <w:rFonts w:ascii="Wingdings" w:hAnsi="Wingdings" w:hint="default"/>
      </w:rPr>
    </w:lvl>
    <w:lvl w:ilvl="3" w:tplc="240A0001" w:tentative="1">
      <w:start w:val="1"/>
      <w:numFmt w:val="bullet"/>
      <w:lvlText w:val=""/>
      <w:lvlJc w:val="left"/>
      <w:pPr>
        <w:ind w:left="1788" w:hanging="360"/>
      </w:pPr>
      <w:rPr>
        <w:rFonts w:ascii="Symbol" w:hAnsi="Symbol" w:hint="default"/>
      </w:rPr>
    </w:lvl>
    <w:lvl w:ilvl="4" w:tplc="240A0003" w:tentative="1">
      <w:start w:val="1"/>
      <w:numFmt w:val="bullet"/>
      <w:lvlText w:val="o"/>
      <w:lvlJc w:val="left"/>
      <w:pPr>
        <w:ind w:left="2508" w:hanging="360"/>
      </w:pPr>
      <w:rPr>
        <w:rFonts w:ascii="Courier New" w:hAnsi="Courier New" w:cs="Courier New" w:hint="default"/>
      </w:rPr>
    </w:lvl>
    <w:lvl w:ilvl="5" w:tplc="240A0005" w:tentative="1">
      <w:start w:val="1"/>
      <w:numFmt w:val="bullet"/>
      <w:lvlText w:val=""/>
      <w:lvlJc w:val="left"/>
      <w:pPr>
        <w:ind w:left="3228" w:hanging="360"/>
      </w:pPr>
      <w:rPr>
        <w:rFonts w:ascii="Wingdings" w:hAnsi="Wingdings" w:hint="default"/>
      </w:rPr>
    </w:lvl>
    <w:lvl w:ilvl="6" w:tplc="240A0001" w:tentative="1">
      <w:start w:val="1"/>
      <w:numFmt w:val="bullet"/>
      <w:lvlText w:val=""/>
      <w:lvlJc w:val="left"/>
      <w:pPr>
        <w:ind w:left="3948" w:hanging="360"/>
      </w:pPr>
      <w:rPr>
        <w:rFonts w:ascii="Symbol" w:hAnsi="Symbol" w:hint="default"/>
      </w:rPr>
    </w:lvl>
    <w:lvl w:ilvl="7" w:tplc="240A0003" w:tentative="1">
      <w:start w:val="1"/>
      <w:numFmt w:val="bullet"/>
      <w:lvlText w:val="o"/>
      <w:lvlJc w:val="left"/>
      <w:pPr>
        <w:ind w:left="4668" w:hanging="360"/>
      </w:pPr>
      <w:rPr>
        <w:rFonts w:ascii="Courier New" w:hAnsi="Courier New" w:cs="Courier New" w:hint="default"/>
      </w:rPr>
    </w:lvl>
    <w:lvl w:ilvl="8" w:tplc="240A0005" w:tentative="1">
      <w:start w:val="1"/>
      <w:numFmt w:val="bullet"/>
      <w:lvlText w:val=""/>
      <w:lvlJc w:val="left"/>
      <w:pPr>
        <w:ind w:left="5388" w:hanging="360"/>
      </w:pPr>
      <w:rPr>
        <w:rFonts w:ascii="Wingdings" w:hAnsi="Wingdings" w:hint="default"/>
      </w:rPr>
    </w:lvl>
  </w:abstractNum>
  <w:abstractNum w:abstractNumId="3" w15:restartNumberingAfterBreak="0">
    <w:nsid w:val="0E202306"/>
    <w:multiLevelType w:val="hybridMultilevel"/>
    <w:tmpl w:val="D098CED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06722"/>
    <w:multiLevelType w:val="hybridMultilevel"/>
    <w:tmpl w:val="B0A4F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DC4290"/>
    <w:multiLevelType w:val="hybridMultilevel"/>
    <w:tmpl w:val="AF3AE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0B1D84"/>
    <w:multiLevelType w:val="hybridMultilevel"/>
    <w:tmpl w:val="7DD845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9F3A15"/>
    <w:multiLevelType w:val="hybridMultilevel"/>
    <w:tmpl w:val="CBFAE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8C0D5B"/>
    <w:multiLevelType w:val="hybridMultilevel"/>
    <w:tmpl w:val="1274461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1C7447CE"/>
    <w:multiLevelType w:val="hybridMultilevel"/>
    <w:tmpl w:val="B714FAA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F4F4704"/>
    <w:multiLevelType w:val="hybridMultilevel"/>
    <w:tmpl w:val="6FB03E3E"/>
    <w:lvl w:ilvl="0" w:tplc="BA108B38">
      <w:start w:val="1"/>
      <w:numFmt w:val="upperRoman"/>
      <w:pStyle w:val="Ttulo2"/>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F524D66"/>
    <w:multiLevelType w:val="hybridMultilevel"/>
    <w:tmpl w:val="96885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B57E82"/>
    <w:multiLevelType w:val="hybridMultilevel"/>
    <w:tmpl w:val="35580332"/>
    <w:lvl w:ilvl="0" w:tplc="240A0001">
      <w:start w:val="1"/>
      <w:numFmt w:val="bullet"/>
      <w:lvlText w:val=""/>
      <w:lvlJc w:val="left"/>
      <w:pPr>
        <w:tabs>
          <w:tab w:val="num" w:pos="720"/>
        </w:tabs>
        <w:ind w:left="720" w:hanging="360"/>
      </w:pPr>
      <w:rPr>
        <w:rFonts w:ascii="Symbol" w:hAnsi="Symbol" w:hint="default"/>
      </w:rPr>
    </w:lvl>
    <w:lvl w:ilvl="1" w:tplc="C19861BC">
      <w:start w:val="1"/>
      <w:numFmt w:val="bullet"/>
      <w:lvlText w:val=""/>
      <w:lvlJc w:val="left"/>
      <w:pPr>
        <w:tabs>
          <w:tab w:val="num" w:pos="1440"/>
        </w:tabs>
        <w:ind w:left="1440" w:hanging="360"/>
      </w:pPr>
      <w:rPr>
        <w:rFonts w:ascii="Wingdings" w:hAnsi="Wingdings" w:hint="default"/>
      </w:rPr>
    </w:lvl>
    <w:lvl w:ilvl="2" w:tplc="240A0001">
      <w:start w:val="1"/>
      <w:numFmt w:val="bullet"/>
      <w:lvlText w:val=""/>
      <w:lvlJc w:val="left"/>
      <w:pPr>
        <w:tabs>
          <w:tab w:val="num" w:pos="2160"/>
        </w:tabs>
        <w:ind w:left="2160" w:hanging="360"/>
      </w:pPr>
      <w:rPr>
        <w:rFonts w:ascii="Symbol" w:hAnsi="Symbol" w:hint="default"/>
      </w:rPr>
    </w:lvl>
    <w:lvl w:ilvl="3" w:tplc="9AF65AC0" w:tentative="1">
      <w:start w:val="1"/>
      <w:numFmt w:val="bullet"/>
      <w:lvlText w:val=""/>
      <w:lvlJc w:val="left"/>
      <w:pPr>
        <w:tabs>
          <w:tab w:val="num" w:pos="2880"/>
        </w:tabs>
        <w:ind w:left="2880" w:hanging="360"/>
      </w:pPr>
      <w:rPr>
        <w:rFonts w:ascii="Wingdings" w:hAnsi="Wingdings" w:hint="default"/>
      </w:rPr>
    </w:lvl>
    <w:lvl w:ilvl="4" w:tplc="FD86A55E" w:tentative="1">
      <w:start w:val="1"/>
      <w:numFmt w:val="bullet"/>
      <w:lvlText w:val=""/>
      <w:lvlJc w:val="left"/>
      <w:pPr>
        <w:tabs>
          <w:tab w:val="num" w:pos="3600"/>
        </w:tabs>
        <w:ind w:left="3600" w:hanging="360"/>
      </w:pPr>
      <w:rPr>
        <w:rFonts w:ascii="Wingdings" w:hAnsi="Wingdings" w:hint="default"/>
      </w:rPr>
    </w:lvl>
    <w:lvl w:ilvl="5" w:tplc="92344ABA" w:tentative="1">
      <w:start w:val="1"/>
      <w:numFmt w:val="bullet"/>
      <w:lvlText w:val=""/>
      <w:lvlJc w:val="left"/>
      <w:pPr>
        <w:tabs>
          <w:tab w:val="num" w:pos="4320"/>
        </w:tabs>
        <w:ind w:left="4320" w:hanging="360"/>
      </w:pPr>
      <w:rPr>
        <w:rFonts w:ascii="Wingdings" w:hAnsi="Wingdings" w:hint="default"/>
      </w:rPr>
    </w:lvl>
    <w:lvl w:ilvl="6" w:tplc="5430373E" w:tentative="1">
      <w:start w:val="1"/>
      <w:numFmt w:val="bullet"/>
      <w:lvlText w:val=""/>
      <w:lvlJc w:val="left"/>
      <w:pPr>
        <w:tabs>
          <w:tab w:val="num" w:pos="5040"/>
        </w:tabs>
        <w:ind w:left="5040" w:hanging="360"/>
      </w:pPr>
      <w:rPr>
        <w:rFonts w:ascii="Wingdings" w:hAnsi="Wingdings" w:hint="default"/>
      </w:rPr>
    </w:lvl>
    <w:lvl w:ilvl="7" w:tplc="C2745EF2" w:tentative="1">
      <w:start w:val="1"/>
      <w:numFmt w:val="bullet"/>
      <w:lvlText w:val=""/>
      <w:lvlJc w:val="left"/>
      <w:pPr>
        <w:tabs>
          <w:tab w:val="num" w:pos="5760"/>
        </w:tabs>
        <w:ind w:left="5760" w:hanging="360"/>
      </w:pPr>
      <w:rPr>
        <w:rFonts w:ascii="Wingdings" w:hAnsi="Wingdings" w:hint="default"/>
      </w:rPr>
    </w:lvl>
    <w:lvl w:ilvl="8" w:tplc="EDC8C7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A3524"/>
    <w:multiLevelType w:val="hybridMultilevel"/>
    <w:tmpl w:val="C49C2C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4F20B5"/>
    <w:multiLevelType w:val="hybridMultilevel"/>
    <w:tmpl w:val="E6F4BE9E"/>
    <w:lvl w:ilvl="0" w:tplc="4A308CA6">
      <w:start w:val="1"/>
      <w:numFmt w:val="decimal"/>
      <w:lvlText w:val="%1."/>
      <w:lvlJc w:val="left"/>
      <w:pPr>
        <w:ind w:left="720" w:hanging="360"/>
      </w:pPr>
      <w:rPr>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3C5C70"/>
    <w:multiLevelType w:val="hybridMultilevel"/>
    <w:tmpl w:val="FD6CD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BD1202"/>
    <w:multiLevelType w:val="hybridMultilevel"/>
    <w:tmpl w:val="35F8D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B38FD"/>
    <w:multiLevelType w:val="hybridMultilevel"/>
    <w:tmpl w:val="831A0AA6"/>
    <w:lvl w:ilvl="0" w:tplc="240A001B">
      <w:start w:val="1"/>
      <w:numFmt w:val="lowerRoman"/>
      <w:lvlText w:val="%1."/>
      <w:lvlJc w:val="righ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375A37B1"/>
    <w:multiLevelType w:val="hybridMultilevel"/>
    <w:tmpl w:val="8544F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B055D95"/>
    <w:multiLevelType w:val="hybridMultilevel"/>
    <w:tmpl w:val="6B24CB30"/>
    <w:lvl w:ilvl="0" w:tplc="34366D9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15:restartNumberingAfterBreak="0">
    <w:nsid w:val="3B0560AE"/>
    <w:multiLevelType w:val="hybridMultilevel"/>
    <w:tmpl w:val="78222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264D8C"/>
    <w:multiLevelType w:val="hybridMultilevel"/>
    <w:tmpl w:val="ADB0B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494911"/>
    <w:multiLevelType w:val="hybridMultilevel"/>
    <w:tmpl w:val="232CB14A"/>
    <w:lvl w:ilvl="0" w:tplc="F67EF0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C23350"/>
    <w:multiLevelType w:val="hybridMultilevel"/>
    <w:tmpl w:val="5CB64B20"/>
    <w:lvl w:ilvl="0" w:tplc="82E29CC0">
      <w:start w:val="1"/>
      <w:numFmt w:val="lowerLetter"/>
      <w:lvlText w:val="%1)"/>
      <w:lvlJc w:val="left"/>
      <w:pPr>
        <w:ind w:left="502"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5956E0"/>
    <w:multiLevelType w:val="multilevel"/>
    <w:tmpl w:val="22384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F514C2"/>
    <w:multiLevelType w:val="hybridMultilevel"/>
    <w:tmpl w:val="BD16A574"/>
    <w:lvl w:ilvl="0" w:tplc="3F4CB748">
      <w:start w:val="1"/>
      <w:numFmt w:val="lowerLetter"/>
      <w:lvlText w:val="%1)"/>
      <w:lvlJc w:val="left"/>
      <w:pPr>
        <w:ind w:left="360" w:hanging="360"/>
      </w:pPr>
      <w:rPr>
        <w:rFonts w:hint="default"/>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C022BA2"/>
    <w:multiLevelType w:val="hybridMultilevel"/>
    <w:tmpl w:val="0F824F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C830557"/>
    <w:multiLevelType w:val="hybridMultilevel"/>
    <w:tmpl w:val="3858DAF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4CD423DE"/>
    <w:multiLevelType w:val="multilevel"/>
    <w:tmpl w:val="28885D64"/>
    <w:lvl w:ilvl="0">
      <w:start w:val="1"/>
      <w:numFmt w:val="decimal"/>
      <w:pStyle w:val="Ttulo1"/>
      <w:lvlText w:val="%1."/>
      <w:lvlJc w:val="left"/>
      <w:pPr>
        <w:ind w:left="720" w:hanging="360"/>
      </w:pPr>
    </w:lvl>
    <w:lvl w:ilvl="1">
      <w:start w:val="2"/>
      <w:numFmt w:val="decimal"/>
      <w:isLgl/>
      <w:lvlText w:val="%1.%2"/>
      <w:lvlJc w:val="left"/>
      <w:pPr>
        <w:ind w:left="1056"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9" w15:restartNumberingAfterBreak="0">
    <w:nsid w:val="4F500374"/>
    <w:multiLevelType w:val="hybridMultilevel"/>
    <w:tmpl w:val="2AAECB6C"/>
    <w:lvl w:ilvl="0" w:tplc="B9E881CE">
      <w:start w:val="20"/>
      <w:numFmt w:val="bullet"/>
      <w:lvlText w:val="-"/>
      <w:lvlJc w:val="left"/>
      <w:pPr>
        <w:ind w:left="720" w:hanging="360"/>
      </w:pPr>
      <w:rPr>
        <w:rFonts w:ascii="Arial" w:eastAsia="Times New Roman"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7B604C"/>
    <w:multiLevelType w:val="hybridMultilevel"/>
    <w:tmpl w:val="805CB7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A80710"/>
    <w:multiLevelType w:val="hybridMultilevel"/>
    <w:tmpl w:val="5BBA61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52030241"/>
    <w:multiLevelType w:val="hybridMultilevel"/>
    <w:tmpl w:val="33DCE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47A1BD3"/>
    <w:multiLevelType w:val="hybridMultilevel"/>
    <w:tmpl w:val="683EA8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8690AEB"/>
    <w:multiLevelType w:val="hybridMultilevel"/>
    <w:tmpl w:val="01543DBE"/>
    <w:lvl w:ilvl="0" w:tplc="3460BFFE">
      <w:start w:val="1"/>
      <w:numFmt w:val="decimal"/>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477B9D"/>
    <w:multiLevelType w:val="hybridMultilevel"/>
    <w:tmpl w:val="82E2BCEA"/>
    <w:lvl w:ilvl="0" w:tplc="DD9656C6">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0DE73FC"/>
    <w:multiLevelType w:val="hybridMultilevel"/>
    <w:tmpl w:val="C10A3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784941"/>
    <w:multiLevelType w:val="hybridMultilevel"/>
    <w:tmpl w:val="A7AAA5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3BB5255"/>
    <w:multiLevelType w:val="hybridMultilevel"/>
    <w:tmpl w:val="9CD62C9C"/>
    <w:lvl w:ilvl="0" w:tplc="5F6AD248">
      <w:start w:val="1"/>
      <w:numFmt w:val="lowerLetter"/>
      <w:lvlText w:val="%1)"/>
      <w:lvlJc w:val="left"/>
      <w:pPr>
        <w:ind w:left="1083" w:hanging="37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676436E4"/>
    <w:multiLevelType w:val="hybridMultilevel"/>
    <w:tmpl w:val="EC22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7AD1E88"/>
    <w:multiLevelType w:val="hybridMultilevel"/>
    <w:tmpl w:val="E79858B4"/>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82A626F"/>
    <w:multiLevelType w:val="hybridMultilevel"/>
    <w:tmpl w:val="62B06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B572C0D"/>
    <w:multiLevelType w:val="hybridMultilevel"/>
    <w:tmpl w:val="A59CC59E"/>
    <w:lvl w:ilvl="0" w:tplc="DBF021E4">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BDE7915"/>
    <w:multiLevelType w:val="hybridMultilevel"/>
    <w:tmpl w:val="B9A20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C4D0D1C"/>
    <w:multiLevelType w:val="hybridMultilevel"/>
    <w:tmpl w:val="3D9842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1203004"/>
    <w:multiLevelType w:val="multilevel"/>
    <w:tmpl w:val="A068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519E0"/>
    <w:multiLevelType w:val="hybridMultilevel"/>
    <w:tmpl w:val="315887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8A65B08"/>
    <w:multiLevelType w:val="hybridMultilevel"/>
    <w:tmpl w:val="A69ACE5A"/>
    <w:lvl w:ilvl="0" w:tplc="D270AD7E">
      <w:start w:val="1"/>
      <w:numFmt w:val="decimal"/>
      <w:pStyle w:val="Titulo2"/>
      <w:lvlText w:val="%1)"/>
      <w:lvlJc w:val="left"/>
      <w:pPr>
        <w:ind w:left="360" w:hanging="360"/>
      </w:pPr>
      <w:rPr>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853949"/>
    <w:multiLevelType w:val="hybridMultilevel"/>
    <w:tmpl w:val="8FF2D052"/>
    <w:lvl w:ilvl="0" w:tplc="240A0017">
      <w:start w:val="1"/>
      <w:numFmt w:val="lowerLetter"/>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34"/>
  </w:num>
  <w:num w:numId="3">
    <w:abstractNumId w:val="31"/>
  </w:num>
  <w:num w:numId="4">
    <w:abstractNumId w:val="38"/>
  </w:num>
  <w:num w:numId="5">
    <w:abstractNumId w:val="29"/>
  </w:num>
  <w:num w:numId="6">
    <w:abstractNumId w:val="41"/>
  </w:num>
  <w:num w:numId="7">
    <w:abstractNumId w:val="18"/>
  </w:num>
  <w:num w:numId="8">
    <w:abstractNumId w:val="36"/>
  </w:num>
  <w:num w:numId="9">
    <w:abstractNumId w:val="43"/>
  </w:num>
  <w:num w:numId="10">
    <w:abstractNumId w:val="24"/>
  </w:num>
  <w:num w:numId="11">
    <w:abstractNumId w:val="3"/>
  </w:num>
  <w:num w:numId="12">
    <w:abstractNumId w:val="46"/>
  </w:num>
  <w:num w:numId="13">
    <w:abstractNumId w:val="6"/>
  </w:num>
  <w:num w:numId="14">
    <w:abstractNumId w:val="37"/>
  </w:num>
  <w:num w:numId="15">
    <w:abstractNumId w:val="1"/>
  </w:num>
  <w:num w:numId="16">
    <w:abstractNumId w:val="7"/>
  </w:num>
  <w:num w:numId="17">
    <w:abstractNumId w:val="2"/>
  </w:num>
  <w:num w:numId="18">
    <w:abstractNumId w:val="12"/>
  </w:num>
  <w:num w:numId="19">
    <w:abstractNumId w:val="27"/>
  </w:num>
  <w:num w:numId="20">
    <w:abstractNumId w:val="14"/>
  </w:num>
  <w:num w:numId="21">
    <w:abstractNumId w:val="13"/>
  </w:num>
  <w:num w:numId="22">
    <w:abstractNumId w:val="15"/>
  </w:num>
  <w:num w:numId="23">
    <w:abstractNumId w:val="4"/>
  </w:num>
  <w:num w:numId="24">
    <w:abstractNumId w:val="20"/>
  </w:num>
  <w:num w:numId="25">
    <w:abstractNumId w:val="39"/>
  </w:num>
  <w:num w:numId="26">
    <w:abstractNumId w:val="16"/>
  </w:num>
  <w:num w:numId="27">
    <w:abstractNumId w:val="11"/>
  </w:num>
  <w:num w:numId="28">
    <w:abstractNumId w:val="45"/>
  </w:num>
  <w:num w:numId="29">
    <w:abstractNumId w:val="8"/>
  </w:num>
  <w:num w:numId="30">
    <w:abstractNumId w:val="33"/>
  </w:num>
  <w:num w:numId="31">
    <w:abstractNumId w:val="34"/>
  </w:num>
  <w:num w:numId="32">
    <w:abstractNumId w:val="34"/>
    <w:lvlOverride w:ilvl="0">
      <w:startOverride w:val="1"/>
    </w:lvlOverride>
  </w:num>
  <w:num w:numId="33">
    <w:abstractNumId w:val="47"/>
  </w:num>
  <w:num w:numId="34">
    <w:abstractNumId w:val="0"/>
  </w:num>
  <w:num w:numId="35">
    <w:abstractNumId w:val="44"/>
  </w:num>
  <w:num w:numId="36">
    <w:abstractNumId w:val="48"/>
  </w:num>
  <w:num w:numId="37">
    <w:abstractNumId w:val="22"/>
  </w:num>
  <w:num w:numId="38">
    <w:abstractNumId w:val="23"/>
  </w:num>
  <w:num w:numId="39">
    <w:abstractNumId w:val="10"/>
  </w:num>
  <w:num w:numId="40">
    <w:abstractNumId w:val="21"/>
  </w:num>
  <w:num w:numId="41">
    <w:abstractNumId w:val="34"/>
  </w:num>
  <w:num w:numId="42">
    <w:abstractNumId w:val="10"/>
  </w:num>
  <w:num w:numId="43">
    <w:abstractNumId w:val="32"/>
  </w:num>
  <w:num w:numId="44">
    <w:abstractNumId w:val="34"/>
    <w:lvlOverride w:ilvl="0">
      <w:startOverride w:val="1"/>
    </w:lvlOverride>
  </w:num>
  <w:num w:numId="45">
    <w:abstractNumId w:val="34"/>
  </w:num>
  <w:num w:numId="46">
    <w:abstractNumId w:val="34"/>
  </w:num>
  <w:num w:numId="47">
    <w:abstractNumId w:val="34"/>
  </w:num>
  <w:num w:numId="48">
    <w:abstractNumId w:val="34"/>
  </w:num>
  <w:num w:numId="49">
    <w:abstractNumId w:val="10"/>
  </w:num>
  <w:num w:numId="50">
    <w:abstractNumId w:val="5"/>
  </w:num>
  <w:num w:numId="51">
    <w:abstractNumId w:val="35"/>
  </w:num>
  <w:num w:numId="52">
    <w:abstractNumId w:val="34"/>
  </w:num>
  <w:num w:numId="53">
    <w:abstractNumId w:val="34"/>
  </w:num>
  <w:num w:numId="54">
    <w:abstractNumId w:val="26"/>
  </w:num>
  <w:num w:numId="55">
    <w:abstractNumId w:val="40"/>
  </w:num>
  <w:num w:numId="56">
    <w:abstractNumId w:val="30"/>
  </w:num>
  <w:num w:numId="57">
    <w:abstractNumId w:val="25"/>
  </w:num>
  <w:num w:numId="58">
    <w:abstractNumId w:val="19"/>
  </w:num>
  <w:num w:numId="59">
    <w:abstractNumId w:val="17"/>
  </w:num>
  <w:num w:numId="60">
    <w:abstractNumId w:val="42"/>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1E"/>
    <w:rsid w:val="0003511C"/>
    <w:rsid w:val="00050C29"/>
    <w:rsid w:val="00051F0D"/>
    <w:rsid w:val="000613FB"/>
    <w:rsid w:val="000655DD"/>
    <w:rsid w:val="000824E5"/>
    <w:rsid w:val="00090FEE"/>
    <w:rsid w:val="001020D9"/>
    <w:rsid w:val="00110D15"/>
    <w:rsid w:val="00124861"/>
    <w:rsid w:val="00127536"/>
    <w:rsid w:val="001355C2"/>
    <w:rsid w:val="00151238"/>
    <w:rsid w:val="001533EF"/>
    <w:rsid w:val="001636A4"/>
    <w:rsid w:val="00175B65"/>
    <w:rsid w:val="00187141"/>
    <w:rsid w:val="001B2E70"/>
    <w:rsid w:val="001D62A9"/>
    <w:rsid w:val="001E3B47"/>
    <w:rsid w:val="001F1825"/>
    <w:rsid w:val="002073D0"/>
    <w:rsid w:val="00224E4F"/>
    <w:rsid w:val="002270F6"/>
    <w:rsid w:val="0023530A"/>
    <w:rsid w:val="00296C46"/>
    <w:rsid w:val="003122E0"/>
    <w:rsid w:val="00317310"/>
    <w:rsid w:val="003249AF"/>
    <w:rsid w:val="00325734"/>
    <w:rsid w:val="00367BFB"/>
    <w:rsid w:val="00394E21"/>
    <w:rsid w:val="003974CF"/>
    <w:rsid w:val="003B1267"/>
    <w:rsid w:val="003F3D7D"/>
    <w:rsid w:val="00402DB3"/>
    <w:rsid w:val="00406077"/>
    <w:rsid w:val="00437060"/>
    <w:rsid w:val="00446A0E"/>
    <w:rsid w:val="004A1264"/>
    <w:rsid w:val="004E6B65"/>
    <w:rsid w:val="004E7BD6"/>
    <w:rsid w:val="00514B17"/>
    <w:rsid w:val="00523F25"/>
    <w:rsid w:val="00533C81"/>
    <w:rsid w:val="00534464"/>
    <w:rsid w:val="00543B41"/>
    <w:rsid w:val="005715F1"/>
    <w:rsid w:val="005B56F2"/>
    <w:rsid w:val="005B7242"/>
    <w:rsid w:val="005C68CD"/>
    <w:rsid w:val="005F2F29"/>
    <w:rsid w:val="00667D5F"/>
    <w:rsid w:val="006730CB"/>
    <w:rsid w:val="006A20F8"/>
    <w:rsid w:val="006D5E30"/>
    <w:rsid w:val="00723D04"/>
    <w:rsid w:val="007241F6"/>
    <w:rsid w:val="00724E19"/>
    <w:rsid w:val="00726A8E"/>
    <w:rsid w:val="0073004B"/>
    <w:rsid w:val="007367E4"/>
    <w:rsid w:val="00740B87"/>
    <w:rsid w:val="00774095"/>
    <w:rsid w:val="00795602"/>
    <w:rsid w:val="007C72F9"/>
    <w:rsid w:val="007D5877"/>
    <w:rsid w:val="007D6D45"/>
    <w:rsid w:val="007E1987"/>
    <w:rsid w:val="00822377"/>
    <w:rsid w:val="00835A6B"/>
    <w:rsid w:val="00847DC6"/>
    <w:rsid w:val="008D3199"/>
    <w:rsid w:val="008D35BA"/>
    <w:rsid w:val="008F0D33"/>
    <w:rsid w:val="009117C5"/>
    <w:rsid w:val="0093412B"/>
    <w:rsid w:val="009408A9"/>
    <w:rsid w:val="00952096"/>
    <w:rsid w:val="00981448"/>
    <w:rsid w:val="009870FD"/>
    <w:rsid w:val="009928E2"/>
    <w:rsid w:val="009C5A37"/>
    <w:rsid w:val="009D364C"/>
    <w:rsid w:val="009F1422"/>
    <w:rsid w:val="00A20F01"/>
    <w:rsid w:val="00A33971"/>
    <w:rsid w:val="00A405D0"/>
    <w:rsid w:val="00A456D0"/>
    <w:rsid w:val="00A54B26"/>
    <w:rsid w:val="00A778B6"/>
    <w:rsid w:val="00A965BE"/>
    <w:rsid w:val="00A96CF4"/>
    <w:rsid w:val="00A97754"/>
    <w:rsid w:val="00A97849"/>
    <w:rsid w:val="00AB5D1E"/>
    <w:rsid w:val="00AD62DA"/>
    <w:rsid w:val="00AE4A35"/>
    <w:rsid w:val="00B26A89"/>
    <w:rsid w:val="00B460A5"/>
    <w:rsid w:val="00B54B6F"/>
    <w:rsid w:val="00BA3EC5"/>
    <w:rsid w:val="00BD7073"/>
    <w:rsid w:val="00BF63A9"/>
    <w:rsid w:val="00C10B6F"/>
    <w:rsid w:val="00C14E1F"/>
    <w:rsid w:val="00C465CA"/>
    <w:rsid w:val="00CA5456"/>
    <w:rsid w:val="00CA5ABF"/>
    <w:rsid w:val="00CC4E4E"/>
    <w:rsid w:val="00CE3B60"/>
    <w:rsid w:val="00D0044C"/>
    <w:rsid w:val="00D05628"/>
    <w:rsid w:val="00D104B5"/>
    <w:rsid w:val="00D1186D"/>
    <w:rsid w:val="00D120F5"/>
    <w:rsid w:val="00D16F9E"/>
    <w:rsid w:val="00D20C84"/>
    <w:rsid w:val="00D3659E"/>
    <w:rsid w:val="00D44C1F"/>
    <w:rsid w:val="00D606A5"/>
    <w:rsid w:val="00D873D7"/>
    <w:rsid w:val="00DD22C5"/>
    <w:rsid w:val="00E103DF"/>
    <w:rsid w:val="00E37DA6"/>
    <w:rsid w:val="00E4709A"/>
    <w:rsid w:val="00E70B23"/>
    <w:rsid w:val="00E75F04"/>
    <w:rsid w:val="00EA4E42"/>
    <w:rsid w:val="00ED1137"/>
    <w:rsid w:val="00EF1559"/>
    <w:rsid w:val="00F335EF"/>
    <w:rsid w:val="00F37748"/>
    <w:rsid w:val="00F931A3"/>
    <w:rsid w:val="00FA26C0"/>
    <w:rsid w:val="00FB7F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95E3D-D943-44F8-BCC5-7221D8A0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pPr>
    <w:rPr>
      <w:rFonts w:ascii="Arial" w:eastAsia="Times New Roman" w:hAnsi="Arial"/>
      <w:sz w:val="24"/>
      <w:szCs w:val="24"/>
      <w:lang w:eastAsia="es-ES"/>
    </w:rPr>
  </w:style>
  <w:style w:type="paragraph" w:styleId="Ttulo1">
    <w:name w:val="heading 1"/>
    <w:basedOn w:val="Normal"/>
    <w:next w:val="Normal"/>
    <w:link w:val="Ttulo1Car"/>
    <w:qFormat/>
    <w:pPr>
      <w:keepNext/>
      <w:numPr>
        <w:numId w:val="1"/>
      </w:numPr>
      <w:spacing w:before="240" w:after="240"/>
      <w:jc w:val="both"/>
      <w:outlineLvl w:val="0"/>
    </w:pPr>
    <w:rPr>
      <w:b/>
      <w:bCs/>
      <w:lang w:val="es-ES"/>
    </w:rPr>
  </w:style>
  <w:style w:type="paragraph" w:styleId="Ttulo2">
    <w:name w:val="heading 2"/>
    <w:basedOn w:val="Normal"/>
    <w:next w:val="Normal"/>
    <w:link w:val="Ttulo2Car"/>
    <w:autoRedefine/>
    <w:unhideWhenUsed/>
    <w:qFormat/>
    <w:pPr>
      <w:keepNext/>
      <w:keepLines/>
      <w:numPr>
        <w:numId w:val="39"/>
      </w:numPr>
      <w:spacing w:before="280" w:after="260" w:line="276" w:lineRule="auto"/>
      <w:ind w:right="335"/>
      <w:jc w:val="both"/>
      <w:outlineLvl w:val="1"/>
    </w:pPr>
    <w:rPr>
      <w:rFonts w:cs="Arial"/>
      <w:b/>
      <w:bCs/>
      <w:sz w:val="22"/>
      <w:szCs w:val="22"/>
    </w:rPr>
  </w:style>
  <w:style w:type="paragraph" w:styleId="Ttulo3">
    <w:name w:val="heading 3"/>
    <w:basedOn w:val="Normal"/>
    <w:next w:val="Normal"/>
    <w:link w:val="Ttulo3Car"/>
    <w:autoRedefine/>
    <w:uiPriority w:val="9"/>
    <w:unhideWhenUsed/>
    <w:qFormat/>
    <w:pPr>
      <w:keepNext/>
      <w:keepLines/>
      <w:numPr>
        <w:numId w:val="2"/>
      </w:numPr>
      <w:spacing w:before="320" w:after="240"/>
      <w:jc w:val="both"/>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b/>
      <w:bCs/>
      <w:sz w:val="24"/>
      <w:szCs w:val="24"/>
      <w:lang w:val="es-ES" w:eastAsia="es-ES"/>
    </w:rPr>
  </w:style>
  <w:style w:type="paragraph" w:styleId="Textoindependiente2">
    <w:name w:val="Body Text 2"/>
    <w:basedOn w:val="Normal"/>
    <w:link w:val="Textoindependiente2Car"/>
    <w:pPr>
      <w:jc w:val="center"/>
    </w:pPr>
    <w:rPr>
      <w:lang w:val="es-ES"/>
    </w:rPr>
  </w:style>
  <w:style w:type="character" w:customStyle="1" w:styleId="Textoindependiente2Car">
    <w:name w:val="Texto independiente 2 Car"/>
    <w:link w:val="Textoindependiente2"/>
    <w:rPr>
      <w:rFonts w:ascii="Arial" w:eastAsia="Times New Roman" w:hAnsi="Arial" w:cs="Times New Roman"/>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rFonts w:ascii="Arial" w:eastAsia="Times New Roman" w:hAnsi="Arial" w:cs="Times New Roman"/>
      <w:sz w:val="24"/>
      <w:szCs w:val="24"/>
      <w:lang w:eastAsia="es-ES"/>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Pr>
      <w:rFonts w:ascii="Arial" w:eastAsia="Times New Roman" w:hAnsi="Arial" w:cs="Times New Roman"/>
      <w:sz w:val="24"/>
      <w:szCs w:val="24"/>
      <w:lang w:eastAsia="es-ES"/>
    </w:rPr>
  </w:style>
  <w:style w:type="paragraph" w:customStyle="1" w:styleId="cuerpotexto">
    <w:name w:val="cuerpotexto"/>
    <w:basedOn w:val="Normal"/>
    <w:pPr>
      <w:autoSpaceDE w:val="0"/>
      <w:autoSpaceDN w:val="0"/>
      <w:spacing w:before="45" w:after="45" w:line="240" w:lineRule="atLeast"/>
      <w:ind w:firstLine="283"/>
      <w:jc w:val="both"/>
    </w:pPr>
    <w:rPr>
      <w:rFonts w:ascii="Times" w:hAnsi="Times" w:cs="Times"/>
      <w:color w:val="000000"/>
      <w:sz w:val="22"/>
      <w:szCs w:val="22"/>
      <w:lang w:val="es-ES"/>
    </w:rPr>
  </w:style>
  <w:style w:type="paragraph" w:styleId="Textoindependiente">
    <w:name w:val="Body Text"/>
    <w:basedOn w:val="Normal"/>
    <w:link w:val="TextoindependienteCar"/>
    <w:uiPriority w:val="99"/>
    <w:unhideWhenUsed/>
  </w:style>
  <w:style w:type="character" w:customStyle="1" w:styleId="TextoindependienteCar">
    <w:name w:val="Texto independiente Car"/>
    <w:link w:val="Textoindependiente"/>
    <w:uiPriority w:val="99"/>
    <w:rPr>
      <w:rFonts w:ascii="Arial" w:eastAsia="Times New Roman" w:hAnsi="Arial" w:cs="Times New Roman"/>
      <w:sz w:val="24"/>
      <w:szCs w:val="24"/>
      <w:lang w:eastAsia="es-E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eastAsia="es-ES"/>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s-CO"/>
    </w:rPr>
  </w:style>
  <w:style w:type="character" w:customStyle="1" w:styleId="apple-converted-space">
    <w:name w:val="apple-converted-space"/>
    <w:basedOn w:val="Fuentedeprrafopredete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cs="Times New Roman"/>
      <w:b/>
      <w:bCs/>
      <w:sz w:val="20"/>
      <w:szCs w:val="20"/>
      <w:lang w:eastAsia="es-ES"/>
    </w:rPr>
  </w:style>
  <w:style w:type="paragraph" w:customStyle="1" w:styleId="p2">
    <w:name w:val="p2"/>
    <w:basedOn w:val="Normal"/>
    <w:pPr>
      <w:widowControl w:val="0"/>
      <w:tabs>
        <w:tab w:val="left" w:pos="170"/>
      </w:tabs>
      <w:autoSpaceDE w:val="0"/>
      <w:autoSpaceDN w:val="0"/>
      <w:adjustRightInd w:val="0"/>
      <w:spacing w:line="240" w:lineRule="atLeast"/>
      <w:ind w:left="754"/>
      <w:jc w:val="both"/>
    </w:pPr>
    <w:rPr>
      <w:rFonts w:ascii="Times New Roman" w:hAnsi="Times New Roman"/>
      <w:lang w:val="en-US"/>
    </w:rPr>
  </w:style>
  <w:style w:type="character" w:customStyle="1" w:styleId="Ttulo2Car">
    <w:name w:val="Título 2 Car"/>
    <w:link w:val="Ttulo2"/>
    <w:rPr>
      <w:rFonts w:ascii="Arial" w:eastAsia="Times New Roman" w:hAnsi="Arial" w:cs="Arial"/>
      <w:b/>
      <w:bCs/>
      <w:sz w:val="22"/>
      <w:szCs w:val="22"/>
      <w:lang w:eastAsia="es-ES"/>
    </w:rPr>
  </w:style>
  <w:style w:type="character" w:customStyle="1" w:styleId="Ttulo3Car">
    <w:name w:val="Título 3 Car"/>
    <w:link w:val="Ttulo3"/>
    <w:uiPriority w:val="9"/>
    <w:rPr>
      <w:rFonts w:ascii="Arial" w:eastAsia="Times New Roman" w:hAnsi="Arial"/>
      <w:b/>
      <w:bCs/>
      <w:sz w:val="22"/>
      <w:szCs w:val="24"/>
      <w:lang w:eastAsia="es-ES"/>
    </w:rPr>
  </w:style>
  <w:style w:type="paragraph" w:customStyle="1" w:styleId="Epgrafe1">
    <w:name w:val="Epígrafe1"/>
    <w:basedOn w:val="Normal"/>
    <w:next w:val="Normal"/>
    <w:autoRedefine/>
    <w:uiPriority w:val="35"/>
    <w:qFormat/>
    <w:pPr>
      <w:shd w:val="clear" w:color="auto" w:fill="FFFFFF"/>
      <w:spacing w:before="0" w:after="0" w:line="0" w:lineRule="atLeast"/>
      <w:ind w:left="18"/>
      <w:jc w:val="center"/>
    </w:pPr>
    <w:rPr>
      <w:rFonts w:ascii="Calibri" w:hAnsi="Calibri" w:cs="Arial"/>
      <w:b/>
      <w:bCs/>
      <w:color w:val="000000"/>
      <w:spacing w:val="-8"/>
      <w:sz w:val="20"/>
      <w:szCs w:val="20"/>
      <w:lang w:val="es-ES_tradnl"/>
    </w:rPr>
  </w:style>
  <w:style w:type="paragraph" w:styleId="Textonotapie">
    <w:name w:val="footnote text"/>
    <w:basedOn w:val="Normal"/>
    <w:link w:val="TextonotapieCar"/>
    <w:autoRedefine/>
    <w:uiPriority w:val="99"/>
    <w:pPr>
      <w:spacing w:before="100"/>
      <w:jc w:val="both"/>
    </w:pPr>
    <w:rPr>
      <w:rFonts w:eastAsia="Calibri" w:cs="Arial"/>
      <w:sz w:val="20"/>
      <w:szCs w:val="22"/>
      <w:lang w:val="es-ES_tradnl"/>
    </w:rPr>
  </w:style>
  <w:style w:type="character" w:customStyle="1" w:styleId="TextonotapieCar">
    <w:name w:val="Texto nota pie Car"/>
    <w:link w:val="Textonotapie"/>
    <w:uiPriority w:val="99"/>
    <w:rPr>
      <w:rFonts w:ascii="Arial" w:hAnsi="Arial" w:cs="Arial"/>
      <w:szCs w:val="22"/>
      <w:lang w:val="es-ES_tradnl" w:eastAsia="es-ES"/>
    </w:rPr>
  </w:style>
  <w:style w:type="paragraph" w:styleId="TtuloTDC">
    <w:name w:val="TOC Heading"/>
    <w:basedOn w:val="Ttulo1"/>
    <w:next w:val="Normal"/>
    <w:uiPriority w:val="39"/>
    <w:unhideWhenUsed/>
    <w:qFormat/>
    <w:pPr>
      <w:keepLines/>
      <w:spacing w:before="480" w:line="276" w:lineRule="auto"/>
      <w:jc w:val="left"/>
      <w:outlineLvl w:val="9"/>
    </w:pPr>
    <w:rPr>
      <w:rFonts w:ascii="Cambria" w:hAnsi="Cambria"/>
      <w:color w:val="365F91"/>
      <w:sz w:val="28"/>
      <w:szCs w:val="28"/>
      <w:lang w:val="es-CO" w:eastAsia="es-CO"/>
    </w:rPr>
  </w:style>
  <w:style w:type="paragraph" w:styleId="TDC1">
    <w:name w:val="toc 1"/>
    <w:basedOn w:val="Normal"/>
    <w:next w:val="Normal"/>
    <w:autoRedefine/>
    <w:uiPriority w:val="39"/>
    <w:unhideWhenUsed/>
    <w:pPr>
      <w:spacing w:before="100" w:after="100"/>
      <w:jc w:val="both"/>
    </w:pPr>
    <w:rPr>
      <w:rFonts w:ascii="Calibri" w:hAnsi="Calibri"/>
      <w:szCs w:val="20"/>
      <w:lang w:val="es-ES_tradnl"/>
    </w:rPr>
  </w:style>
  <w:style w:type="paragraph" w:styleId="TDC2">
    <w:name w:val="toc 2"/>
    <w:basedOn w:val="Normal"/>
    <w:next w:val="Normal"/>
    <w:autoRedefine/>
    <w:uiPriority w:val="39"/>
    <w:unhideWhenUsed/>
    <w:pPr>
      <w:spacing w:before="100" w:after="100"/>
      <w:ind w:left="240"/>
      <w:jc w:val="both"/>
    </w:pPr>
    <w:rPr>
      <w:rFonts w:ascii="Calibri" w:hAnsi="Calibri"/>
      <w:szCs w:val="20"/>
      <w:lang w:val="es-ES_tradnl"/>
    </w:rPr>
  </w:style>
  <w:style w:type="character" w:styleId="Hipervnculo">
    <w:name w:val="Hyperlink"/>
    <w:uiPriority w:val="99"/>
    <w:unhideWhenUsed/>
    <w:rPr>
      <w:color w:val="0000FF"/>
      <w:u w:val="single"/>
    </w:rPr>
  </w:style>
  <w:style w:type="character" w:styleId="Refdenotaalpie">
    <w:name w:val="footnote reference"/>
    <w:uiPriority w:val="99"/>
    <w:unhideWhenUsed/>
    <w:rPr>
      <w:vertAlign w:val="superscript"/>
    </w:rPr>
  </w:style>
  <w:style w:type="paragraph" w:customStyle="1" w:styleId="c5">
    <w:name w:val="c5"/>
    <w:basedOn w:val="Normal"/>
    <w:pPr>
      <w:autoSpaceDE w:val="0"/>
      <w:autoSpaceDN w:val="0"/>
      <w:spacing w:line="240" w:lineRule="atLeast"/>
      <w:jc w:val="center"/>
    </w:pPr>
    <w:rPr>
      <w:rFonts w:ascii="Times New Roman" w:hAnsi="Times New Roman"/>
      <w:sz w:val="22"/>
      <w:lang w:val="es-ES"/>
    </w:rPr>
  </w:style>
  <w:style w:type="paragraph" w:styleId="TDC3">
    <w:name w:val="toc 3"/>
    <w:basedOn w:val="Normal"/>
    <w:next w:val="Normal"/>
    <w:autoRedefine/>
    <w:uiPriority w:val="39"/>
    <w:unhideWhenUsed/>
    <w:pPr>
      <w:spacing w:after="100"/>
      <w:ind w:left="440"/>
      <w:jc w:val="both"/>
    </w:pPr>
    <w:rPr>
      <w:sz w:val="22"/>
      <w:lang w:val="es-ES"/>
    </w:rPr>
  </w:style>
  <w:style w:type="table" w:customStyle="1" w:styleId="Tabladelista7concolores-nfasis61">
    <w:name w:val="Tabla de lista 7 con colores - Énfasis 61"/>
    <w:basedOn w:val="Tablanormal"/>
    <w:uiPriority w:val="52"/>
    <w:rPr>
      <w:color w:val="538135"/>
      <w:sz w:val="22"/>
      <w:szCs w:val="22"/>
      <w:lang w:eastAsia="en-US"/>
    </w:rPr>
    <w:tblPr>
      <w:tblStyleRowBandSize w:val="1"/>
      <w:tblStyleColBandSize w:val="1"/>
    </w:tblPr>
    <w:tblStylePr w:type="firstRow">
      <w:rPr>
        <w:rFonts w:ascii="+mn-ea" w:eastAsia="Times New Roman" w:hAnsi="+mn-ea" w:cs="Times New Roman"/>
        <w:i/>
        <w:iCs/>
        <w:sz w:val="26"/>
      </w:rPr>
      <w:tblPr/>
      <w:tcPr>
        <w:tcBorders>
          <w:bottom w:val="single" w:sz="4" w:space="0" w:color="70AD47"/>
        </w:tcBorders>
        <w:shd w:val="clear" w:color="auto" w:fill="FFFFFF"/>
      </w:tcPr>
    </w:tblStylePr>
    <w:tblStylePr w:type="lastRow">
      <w:rPr>
        <w:rFonts w:ascii="+mn-ea" w:eastAsia="Times New Roman" w:hAnsi="+mn-ea" w:cs="Times New Roman"/>
        <w:i/>
        <w:iCs/>
        <w:sz w:val="26"/>
      </w:rPr>
      <w:tblPr/>
      <w:tcPr>
        <w:tcBorders>
          <w:top w:val="single" w:sz="4" w:space="0" w:color="70AD47"/>
        </w:tcBorders>
        <w:shd w:val="clear" w:color="auto" w:fill="FFFFFF"/>
      </w:tcPr>
    </w:tblStylePr>
    <w:tblStylePr w:type="firstCol">
      <w:pPr>
        <w:jc w:val="right"/>
      </w:pPr>
      <w:rPr>
        <w:rFonts w:ascii="+mn-ea" w:eastAsia="Times New Roman" w:hAnsi="+mn-ea" w:cs="Times New Roman"/>
        <w:i/>
        <w:iCs/>
        <w:sz w:val="26"/>
      </w:rPr>
      <w:tblPr/>
      <w:tcPr>
        <w:tcBorders>
          <w:right w:val="single" w:sz="4" w:space="0" w:color="70AD47"/>
        </w:tcBorders>
        <w:shd w:val="clear" w:color="auto" w:fill="FFFFFF"/>
      </w:tcPr>
    </w:tblStylePr>
    <w:tblStylePr w:type="lastCol">
      <w:rPr>
        <w:rFonts w:ascii="+mn-ea" w:eastAsia="Times New Roman" w:hAnsi="+mn-e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Pr>
      <w:rFonts w:ascii="Arial" w:eastAsia="Times New Roman" w:hAnsi="Arial"/>
      <w:sz w:val="24"/>
      <w:szCs w:val="24"/>
      <w:lang w:eastAsia="es-ES"/>
    </w:rPr>
  </w:style>
  <w:style w:type="paragraph" w:customStyle="1" w:styleId="CM18">
    <w:name w:val="CM18"/>
    <w:basedOn w:val="Default"/>
    <w:next w:val="Default"/>
    <w:uiPriority w:val="99"/>
    <w:rPr>
      <w:color w:val="auto"/>
      <w:lang w:eastAsia="es-CO"/>
    </w:rPr>
  </w:style>
  <w:style w:type="paragraph" w:styleId="Descripcin">
    <w:name w:val="caption"/>
    <w:basedOn w:val="Normal"/>
    <w:next w:val="Normal"/>
    <w:autoRedefine/>
    <w:uiPriority w:val="35"/>
    <w:qFormat/>
    <w:pPr>
      <w:shd w:val="clear" w:color="auto" w:fill="FFFFFF"/>
      <w:spacing w:after="360"/>
      <w:ind w:left="17"/>
      <w:jc w:val="center"/>
    </w:pPr>
    <w:rPr>
      <w:rFonts w:ascii="Calibri" w:hAnsi="Calibri" w:cs="Arial"/>
      <w:b/>
      <w:bCs/>
      <w:color w:val="000000"/>
      <w:spacing w:val="-8"/>
      <w:sz w:val="20"/>
      <w:szCs w:val="20"/>
      <w:lang w:val="es-ES_tradnl"/>
    </w:rPr>
  </w:style>
  <w:style w:type="paragraph" w:customStyle="1" w:styleId="Titulo2">
    <w:name w:val="Titulo2"/>
    <w:basedOn w:val="Ttulo2"/>
    <w:qFormat/>
    <w:pPr>
      <w:numPr>
        <w:numId w:val="33"/>
      </w:numPr>
      <w:spacing w:before="0" w:after="0" w:line="240" w:lineRule="auto"/>
      <w:ind w:left="720"/>
      <w:jc w:val="left"/>
    </w:pPr>
    <w:rPr>
      <w:rFonts w:ascii="Calibri Light" w:hAnsi="Calibri Light" w:cs="Times New Roman"/>
      <w:color w:val="76923C"/>
      <w:sz w:val="24"/>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6742">
      <w:bodyDiv w:val="1"/>
      <w:marLeft w:val="0"/>
      <w:marRight w:val="0"/>
      <w:marTop w:val="0"/>
      <w:marBottom w:val="0"/>
      <w:divBdr>
        <w:top w:val="none" w:sz="0" w:space="0" w:color="auto"/>
        <w:left w:val="none" w:sz="0" w:space="0" w:color="auto"/>
        <w:bottom w:val="none" w:sz="0" w:space="0" w:color="auto"/>
        <w:right w:val="none" w:sz="0" w:space="0" w:color="auto"/>
      </w:divBdr>
    </w:div>
    <w:div w:id="159783464">
      <w:bodyDiv w:val="1"/>
      <w:marLeft w:val="0"/>
      <w:marRight w:val="0"/>
      <w:marTop w:val="0"/>
      <w:marBottom w:val="0"/>
      <w:divBdr>
        <w:top w:val="none" w:sz="0" w:space="0" w:color="auto"/>
        <w:left w:val="none" w:sz="0" w:space="0" w:color="auto"/>
        <w:bottom w:val="none" w:sz="0" w:space="0" w:color="auto"/>
        <w:right w:val="none" w:sz="0" w:space="0" w:color="auto"/>
      </w:divBdr>
    </w:div>
    <w:div w:id="174534561">
      <w:bodyDiv w:val="1"/>
      <w:marLeft w:val="0"/>
      <w:marRight w:val="0"/>
      <w:marTop w:val="0"/>
      <w:marBottom w:val="0"/>
      <w:divBdr>
        <w:top w:val="none" w:sz="0" w:space="0" w:color="auto"/>
        <w:left w:val="none" w:sz="0" w:space="0" w:color="auto"/>
        <w:bottom w:val="none" w:sz="0" w:space="0" w:color="auto"/>
        <w:right w:val="none" w:sz="0" w:space="0" w:color="auto"/>
      </w:divBdr>
    </w:div>
    <w:div w:id="209155239">
      <w:bodyDiv w:val="1"/>
      <w:marLeft w:val="0"/>
      <w:marRight w:val="0"/>
      <w:marTop w:val="0"/>
      <w:marBottom w:val="0"/>
      <w:divBdr>
        <w:top w:val="none" w:sz="0" w:space="0" w:color="auto"/>
        <w:left w:val="none" w:sz="0" w:space="0" w:color="auto"/>
        <w:bottom w:val="none" w:sz="0" w:space="0" w:color="auto"/>
        <w:right w:val="none" w:sz="0" w:space="0" w:color="auto"/>
      </w:divBdr>
    </w:div>
    <w:div w:id="296692630">
      <w:bodyDiv w:val="1"/>
      <w:marLeft w:val="0"/>
      <w:marRight w:val="0"/>
      <w:marTop w:val="0"/>
      <w:marBottom w:val="0"/>
      <w:divBdr>
        <w:top w:val="none" w:sz="0" w:space="0" w:color="auto"/>
        <w:left w:val="none" w:sz="0" w:space="0" w:color="auto"/>
        <w:bottom w:val="none" w:sz="0" w:space="0" w:color="auto"/>
        <w:right w:val="none" w:sz="0" w:space="0" w:color="auto"/>
      </w:divBdr>
    </w:div>
    <w:div w:id="315379459">
      <w:bodyDiv w:val="1"/>
      <w:marLeft w:val="0"/>
      <w:marRight w:val="0"/>
      <w:marTop w:val="0"/>
      <w:marBottom w:val="0"/>
      <w:divBdr>
        <w:top w:val="none" w:sz="0" w:space="0" w:color="auto"/>
        <w:left w:val="none" w:sz="0" w:space="0" w:color="auto"/>
        <w:bottom w:val="none" w:sz="0" w:space="0" w:color="auto"/>
        <w:right w:val="none" w:sz="0" w:space="0" w:color="auto"/>
      </w:divBdr>
    </w:div>
    <w:div w:id="363795144">
      <w:bodyDiv w:val="1"/>
      <w:marLeft w:val="0"/>
      <w:marRight w:val="0"/>
      <w:marTop w:val="0"/>
      <w:marBottom w:val="0"/>
      <w:divBdr>
        <w:top w:val="none" w:sz="0" w:space="0" w:color="auto"/>
        <w:left w:val="none" w:sz="0" w:space="0" w:color="auto"/>
        <w:bottom w:val="none" w:sz="0" w:space="0" w:color="auto"/>
        <w:right w:val="none" w:sz="0" w:space="0" w:color="auto"/>
      </w:divBdr>
    </w:div>
    <w:div w:id="426460199">
      <w:bodyDiv w:val="1"/>
      <w:marLeft w:val="0"/>
      <w:marRight w:val="0"/>
      <w:marTop w:val="0"/>
      <w:marBottom w:val="0"/>
      <w:divBdr>
        <w:top w:val="none" w:sz="0" w:space="0" w:color="auto"/>
        <w:left w:val="none" w:sz="0" w:space="0" w:color="auto"/>
        <w:bottom w:val="none" w:sz="0" w:space="0" w:color="auto"/>
        <w:right w:val="none" w:sz="0" w:space="0" w:color="auto"/>
      </w:divBdr>
    </w:div>
    <w:div w:id="465240268">
      <w:bodyDiv w:val="1"/>
      <w:marLeft w:val="0"/>
      <w:marRight w:val="0"/>
      <w:marTop w:val="0"/>
      <w:marBottom w:val="0"/>
      <w:divBdr>
        <w:top w:val="none" w:sz="0" w:space="0" w:color="auto"/>
        <w:left w:val="none" w:sz="0" w:space="0" w:color="auto"/>
        <w:bottom w:val="none" w:sz="0" w:space="0" w:color="auto"/>
        <w:right w:val="none" w:sz="0" w:space="0" w:color="auto"/>
      </w:divBdr>
    </w:div>
    <w:div w:id="511921205">
      <w:bodyDiv w:val="1"/>
      <w:marLeft w:val="0"/>
      <w:marRight w:val="0"/>
      <w:marTop w:val="0"/>
      <w:marBottom w:val="0"/>
      <w:divBdr>
        <w:top w:val="none" w:sz="0" w:space="0" w:color="auto"/>
        <w:left w:val="none" w:sz="0" w:space="0" w:color="auto"/>
        <w:bottom w:val="none" w:sz="0" w:space="0" w:color="auto"/>
        <w:right w:val="none" w:sz="0" w:space="0" w:color="auto"/>
      </w:divBdr>
    </w:div>
    <w:div w:id="713584114">
      <w:bodyDiv w:val="1"/>
      <w:marLeft w:val="0"/>
      <w:marRight w:val="0"/>
      <w:marTop w:val="0"/>
      <w:marBottom w:val="0"/>
      <w:divBdr>
        <w:top w:val="none" w:sz="0" w:space="0" w:color="auto"/>
        <w:left w:val="none" w:sz="0" w:space="0" w:color="auto"/>
        <w:bottom w:val="none" w:sz="0" w:space="0" w:color="auto"/>
        <w:right w:val="none" w:sz="0" w:space="0" w:color="auto"/>
      </w:divBdr>
    </w:div>
    <w:div w:id="1117020748">
      <w:bodyDiv w:val="1"/>
      <w:marLeft w:val="0"/>
      <w:marRight w:val="0"/>
      <w:marTop w:val="0"/>
      <w:marBottom w:val="0"/>
      <w:divBdr>
        <w:top w:val="none" w:sz="0" w:space="0" w:color="auto"/>
        <w:left w:val="none" w:sz="0" w:space="0" w:color="auto"/>
        <w:bottom w:val="none" w:sz="0" w:space="0" w:color="auto"/>
        <w:right w:val="none" w:sz="0" w:space="0" w:color="auto"/>
      </w:divBdr>
      <w:divsChild>
        <w:div w:id="44916638">
          <w:marLeft w:val="446"/>
          <w:marRight w:val="0"/>
          <w:marTop w:val="0"/>
          <w:marBottom w:val="0"/>
          <w:divBdr>
            <w:top w:val="none" w:sz="0" w:space="0" w:color="auto"/>
            <w:left w:val="none" w:sz="0" w:space="0" w:color="auto"/>
            <w:bottom w:val="none" w:sz="0" w:space="0" w:color="auto"/>
            <w:right w:val="none" w:sz="0" w:space="0" w:color="auto"/>
          </w:divBdr>
        </w:div>
        <w:div w:id="716393856">
          <w:marLeft w:val="446"/>
          <w:marRight w:val="0"/>
          <w:marTop w:val="0"/>
          <w:marBottom w:val="0"/>
          <w:divBdr>
            <w:top w:val="none" w:sz="0" w:space="0" w:color="auto"/>
            <w:left w:val="none" w:sz="0" w:space="0" w:color="auto"/>
            <w:bottom w:val="none" w:sz="0" w:space="0" w:color="auto"/>
            <w:right w:val="none" w:sz="0" w:space="0" w:color="auto"/>
          </w:divBdr>
        </w:div>
        <w:div w:id="760445751">
          <w:marLeft w:val="446"/>
          <w:marRight w:val="0"/>
          <w:marTop w:val="0"/>
          <w:marBottom w:val="0"/>
          <w:divBdr>
            <w:top w:val="none" w:sz="0" w:space="0" w:color="auto"/>
            <w:left w:val="none" w:sz="0" w:space="0" w:color="auto"/>
            <w:bottom w:val="none" w:sz="0" w:space="0" w:color="auto"/>
            <w:right w:val="none" w:sz="0" w:space="0" w:color="auto"/>
          </w:divBdr>
        </w:div>
        <w:div w:id="1082727306">
          <w:marLeft w:val="446"/>
          <w:marRight w:val="0"/>
          <w:marTop w:val="0"/>
          <w:marBottom w:val="0"/>
          <w:divBdr>
            <w:top w:val="none" w:sz="0" w:space="0" w:color="auto"/>
            <w:left w:val="none" w:sz="0" w:space="0" w:color="auto"/>
            <w:bottom w:val="none" w:sz="0" w:space="0" w:color="auto"/>
            <w:right w:val="none" w:sz="0" w:space="0" w:color="auto"/>
          </w:divBdr>
        </w:div>
        <w:div w:id="1255437288">
          <w:marLeft w:val="446"/>
          <w:marRight w:val="0"/>
          <w:marTop w:val="0"/>
          <w:marBottom w:val="0"/>
          <w:divBdr>
            <w:top w:val="none" w:sz="0" w:space="0" w:color="auto"/>
            <w:left w:val="none" w:sz="0" w:space="0" w:color="auto"/>
            <w:bottom w:val="none" w:sz="0" w:space="0" w:color="auto"/>
            <w:right w:val="none" w:sz="0" w:space="0" w:color="auto"/>
          </w:divBdr>
        </w:div>
        <w:div w:id="1700547496">
          <w:marLeft w:val="446"/>
          <w:marRight w:val="0"/>
          <w:marTop w:val="0"/>
          <w:marBottom w:val="0"/>
          <w:divBdr>
            <w:top w:val="none" w:sz="0" w:space="0" w:color="auto"/>
            <w:left w:val="none" w:sz="0" w:space="0" w:color="auto"/>
            <w:bottom w:val="none" w:sz="0" w:space="0" w:color="auto"/>
            <w:right w:val="none" w:sz="0" w:space="0" w:color="auto"/>
          </w:divBdr>
        </w:div>
        <w:div w:id="1797327982">
          <w:marLeft w:val="446"/>
          <w:marRight w:val="0"/>
          <w:marTop w:val="0"/>
          <w:marBottom w:val="0"/>
          <w:divBdr>
            <w:top w:val="none" w:sz="0" w:space="0" w:color="auto"/>
            <w:left w:val="none" w:sz="0" w:space="0" w:color="auto"/>
            <w:bottom w:val="none" w:sz="0" w:space="0" w:color="auto"/>
            <w:right w:val="none" w:sz="0" w:space="0" w:color="auto"/>
          </w:divBdr>
        </w:div>
      </w:divsChild>
    </w:div>
    <w:div w:id="1211726672">
      <w:bodyDiv w:val="1"/>
      <w:marLeft w:val="0"/>
      <w:marRight w:val="0"/>
      <w:marTop w:val="0"/>
      <w:marBottom w:val="0"/>
      <w:divBdr>
        <w:top w:val="none" w:sz="0" w:space="0" w:color="auto"/>
        <w:left w:val="none" w:sz="0" w:space="0" w:color="auto"/>
        <w:bottom w:val="none" w:sz="0" w:space="0" w:color="auto"/>
        <w:right w:val="none" w:sz="0" w:space="0" w:color="auto"/>
      </w:divBdr>
      <w:divsChild>
        <w:div w:id="1395009988">
          <w:marLeft w:val="446"/>
          <w:marRight w:val="0"/>
          <w:marTop w:val="0"/>
          <w:marBottom w:val="0"/>
          <w:divBdr>
            <w:top w:val="none" w:sz="0" w:space="0" w:color="auto"/>
            <w:left w:val="none" w:sz="0" w:space="0" w:color="auto"/>
            <w:bottom w:val="none" w:sz="0" w:space="0" w:color="auto"/>
            <w:right w:val="none" w:sz="0" w:space="0" w:color="auto"/>
          </w:divBdr>
        </w:div>
      </w:divsChild>
    </w:div>
    <w:div w:id="1265260123">
      <w:bodyDiv w:val="1"/>
      <w:marLeft w:val="0"/>
      <w:marRight w:val="0"/>
      <w:marTop w:val="0"/>
      <w:marBottom w:val="0"/>
      <w:divBdr>
        <w:top w:val="none" w:sz="0" w:space="0" w:color="auto"/>
        <w:left w:val="none" w:sz="0" w:space="0" w:color="auto"/>
        <w:bottom w:val="none" w:sz="0" w:space="0" w:color="auto"/>
        <w:right w:val="none" w:sz="0" w:space="0" w:color="auto"/>
      </w:divBdr>
    </w:div>
    <w:div w:id="1465657450">
      <w:bodyDiv w:val="1"/>
      <w:marLeft w:val="0"/>
      <w:marRight w:val="0"/>
      <w:marTop w:val="0"/>
      <w:marBottom w:val="0"/>
      <w:divBdr>
        <w:top w:val="none" w:sz="0" w:space="0" w:color="auto"/>
        <w:left w:val="none" w:sz="0" w:space="0" w:color="auto"/>
        <w:bottom w:val="none" w:sz="0" w:space="0" w:color="auto"/>
        <w:right w:val="none" w:sz="0" w:space="0" w:color="auto"/>
      </w:divBdr>
      <w:divsChild>
        <w:div w:id="1716275912">
          <w:marLeft w:val="1080"/>
          <w:marRight w:val="0"/>
          <w:marTop w:val="100"/>
          <w:marBottom w:val="0"/>
          <w:divBdr>
            <w:top w:val="none" w:sz="0" w:space="0" w:color="auto"/>
            <w:left w:val="none" w:sz="0" w:space="0" w:color="auto"/>
            <w:bottom w:val="none" w:sz="0" w:space="0" w:color="auto"/>
            <w:right w:val="none" w:sz="0" w:space="0" w:color="auto"/>
          </w:divBdr>
        </w:div>
        <w:div w:id="392966178">
          <w:marLeft w:val="1080"/>
          <w:marRight w:val="0"/>
          <w:marTop w:val="100"/>
          <w:marBottom w:val="0"/>
          <w:divBdr>
            <w:top w:val="none" w:sz="0" w:space="0" w:color="auto"/>
            <w:left w:val="none" w:sz="0" w:space="0" w:color="auto"/>
            <w:bottom w:val="none" w:sz="0" w:space="0" w:color="auto"/>
            <w:right w:val="none" w:sz="0" w:space="0" w:color="auto"/>
          </w:divBdr>
        </w:div>
        <w:div w:id="2015381665">
          <w:marLeft w:val="1080"/>
          <w:marRight w:val="0"/>
          <w:marTop w:val="100"/>
          <w:marBottom w:val="0"/>
          <w:divBdr>
            <w:top w:val="none" w:sz="0" w:space="0" w:color="auto"/>
            <w:left w:val="none" w:sz="0" w:space="0" w:color="auto"/>
            <w:bottom w:val="none" w:sz="0" w:space="0" w:color="auto"/>
            <w:right w:val="none" w:sz="0" w:space="0" w:color="auto"/>
          </w:divBdr>
        </w:div>
        <w:div w:id="1729257464">
          <w:marLeft w:val="1080"/>
          <w:marRight w:val="0"/>
          <w:marTop w:val="100"/>
          <w:marBottom w:val="0"/>
          <w:divBdr>
            <w:top w:val="none" w:sz="0" w:space="0" w:color="auto"/>
            <w:left w:val="none" w:sz="0" w:space="0" w:color="auto"/>
            <w:bottom w:val="none" w:sz="0" w:space="0" w:color="auto"/>
            <w:right w:val="none" w:sz="0" w:space="0" w:color="auto"/>
          </w:divBdr>
        </w:div>
        <w:div w:id="951129098">
          <w:marLeft w:val="1080"/>
          <w:marRight w:val="0"/>
          <w:marTop w:val="100"/>
          <w:marBottom w:val="0"/>
          <w:divBdr>
            <w:top w:val="none" w:sz="0" w:space="0" w:color="auto"/>
            <w:left w:val="none" w:sz="0" w:space="0" w:color="auto"/>
            <w:bottom w:val="none" w:sz="0" w:space="0" w:color="auto"/>
            <w:right w:val="none" w:sz="0" w:space="0" w:color="auto"/>
          </w:divBdr>
        </w:div>
      </w:divsChild>
    </w:div>
    <w:div w:id="1627276444">
      <w:bodyDiv w:val="1"/>
      <w:marLeft w:val="0"/>
      <w:marRight w:val="0"/>
      <w:marTop w:val="0"/>
      <w:marBottom w:val="0"/>
      <w:divBdr>
        <w:top w:val="none" w:sz="0" w:space="0" w:color="auto"/>
        <w:left w:val="none" w:sz="0" w:space="0" w:color="auto"/>
        <w:bottom w:val="none" w:sz="0" w:space="0" w:color="auto"/>
        <w:right w:val="none" w:sz="0" w:space="0" w:color="auto"/>
      </w:divBdr>
    </w:div>
    <w:div w:id="1707950508">
      <w:bodyDiv w:val="1"/>
      <w:marLeft w:val="0"/>
      <w:marRight w:val="0"/>
      <w:marTop w:val="0"/>
      <w:marBottom w:val="0"/>
      <w:divBdr>
        <w:top w:val="none" w:sz="0" w:space="0" w:color="auto"/>
        <w:left w:val="none" w:sz="0" w:space="0" w:color="auto"/>
        <w:bottom w:val="none" w:sz="0" w:space="0" w:color="auto"/>
        <w:right w:val="none" w:sz="0" w:space="0" w:color="auto"/>
      </w:divBdr>
    </w:div>
    <w:div w:id="1720548718">
      <w:bodyDiv w:val="1"/>
      <w:marLeft w:val="0"/>
      <w:marRight w:val="0"/>
      <w:marTop w:val="0"/>
      <w:marBottom w:val="0"/>
      <w:divBdr>
        <w:top w:val="none" w:sz="0" w:space="0" w:color="auto"/>
        <w:left w:val="none" w:sz="0" w:space="0" w:color="auto"/>
        <w:bottom w:val="none" w:sz="0" w:space="0" w:color="auto"/>
        <w:right w:val="none" w:sz="0" w:space="0" w:color="auto"/>
      </w:divBdr>
    </w:div>
    <w:div w:id="1784497592">
      <w:bodyDiv w:val="1"/>
      <w:marLeft w:val="0"/>
      <w:marRight w:val="0"/>
      <w:marTop w:val="0"/>
      <w:marBottom w:val="0"/>
      <w:divBdr>
        <w:top w:val="none" w:sz="0" w:space="0" w:color="auto"/>
        <w:left w:val="none" w:sz="0" w:space="0" w:color="auto"/>
        <w:bottom w:val="none" w:sz="0" w:space="0" w:color="auto"/>
        <w:right w:val="none" w:sz="0" w:space="0" w:color="auto"/>
      </w:divBdr>
    </w:div>
    <w:div w:id="18570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F3B9-868A-45BF-9CD1-5186703F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1955</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ldanderino</dc:creator>
  <cp:keywords/>
  <dc:description/>
  <cp:lastModifiedBy>Maria Fernanda Guerra Charry</cp:lastModifiedBy>
  <cp:revision>69</cp:revision>
  <cp:lastPrinted>2016-12-06T14:50:00Z</cp:lastPrinted>
  <dcterms:created xsi:type="dcterms:W3CDTF">2018-12-11T18:00:00Z</dcterms:created>
  <dcterms:modified xsi:type="dcterms:W3CDTF">2018-12-11T22:55:00Z</dcterms:modified>
</cp:coreProperties>
</file>