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2E9" w:rsidRPr="00154B80" w:rsidRDefault="005E77C4" w:rsidP="00BB6FAC">
      <w:pPr>
        <w:spacing w:after="0" w:line="240" w:lineRule="auto"/>
        <w:jc w:val="center"/>
        <w:rPr>
          <w:rFonts w:ascii="Arial" w:hAnsi="Arial" w:cs="Arial"/>
          <w:b/>
          <w:bCs/>
          <w:color w:val="000000" w:themeColor="text1"/>
        </w:rPr>
      </w:pPr>
      <w:r w:rsidRPr="00154B80">
        <w:rPr>
          <w:rFonts w:ascii="Arial" w:hAnsi="Arial" w:cs="Arial"/>
          <w:b/>
          <w:bCs/>
          <w:color w:val="000000" w:themeColor="text1"/>
        </w:rPr>
        <w:t xml:space="preserve">PROYECTO </w:t>
      </w:r>
    </w:p>
    <w:p w:rsidR="005E77C4" w:rsidRPr="00154B80" w:rsidRDefault="005E77C4" w:rsidP="00BB6FAC">
      <w:pPr>
        <w:spacing w:after="0" w:line="240" w:lineRule="auto"/>
        <w:jc w:val="center"/>
        <w:rPr>
          <w:rFonts w:ascii="Arial" w:hAnsi="Arial" w:cs="Arial"/>
          <w:b/>
          <w:bCs/>
          <w:color w:val="000000" w:themeColor="text1"/>
        </w:rPr>
      </w:pPr>
    </w:p>
    <w:p w:rsidR="005D3EBD" w:rsidRPr="00154B80" w:rsidRDefault="00F008DC" w:rsidP="00BB6FAC">
      <w:pPr>
        <w:spacing w:after="0" w:line="240" w:lineRule="auto"/>
        <w:jc w:val="center"/>
        <w:rPr>
          <w:rFonts w:ascii="Arial" w:hAnsi="Arial" w:cs="Arial"/>
          <w:b/>
          <w:bCs/>
          <w:color w:val="000000" w:themeColor="text1"/>
        </w:rPr>
      </w:pPr>
      <w:r w:rsidRPr="00154B80">
        <w:rPr>
          <w:rFonts w:ascii="Arial" w:hAnsi="Arial" w:cs="Arial"/>
          <w:b/>
          <w:bCs/>
          <w:color w:val="000000" w:themeColor="text1"/>
        </w:rPr>
        <w:t>REPÚBLICA DE COLOMBIA</w:t>
      </w:r>
    </w:p>
    <w:p w:rsidR="005D3EBD" w:rsidRPr="00154B80" w:rsidRDefault="005D3EBD" w:rsidP="00BB6FAC">
      <w:pPr>
        <w:spacing w:after="0" w:line="240" w:lineRule="auto"/>
        <w:jc w:val="center"/>
        <w:rPr>
          <w:rFonts w:ascii="Arial" w:hAnsi="Arial" w:cs="Arial"/>
          <w:b/>
          <w:bCs/>
          <w:color w:val="000000" w:themeColor="text1"/>
        </w:rPr>
      </w:pPr>
    </w:p>
    <w:p w:rsidR="005D3EBD" w:rsidRPr="00154B80" w:rsidRDefault="00F008DC" w:rsidP="00BB6FAC">
      <w:pPr>
        <w:spacing w:after="0" w:line="240" w:lineRule="auto"/>
        <w:jc w:val="center"/>
        <w:rPr>
          <w:rFonts w:ascii="Arial" w:hAnsi="Arial" w:cs="Arial"/>
          <w:b/>
          <w:bCs/>
          <w:color w:val="000000" w:themeColor="text1"/>
        </w:rPr>
      </w:pPr>
      <w:r w:rsidRPr="00154B80">
        <w:rPr>
          <w:rFonts w:ascii="Arial" w:hAnsi="Arial" w:cs="Arial"/>
          <w:b/>
          <w:bCs/>
          <w:color w:val="000000" w:themeColor="text1"/>
        </w:rPr>
        <w:t>COMISIÓN NACIONAL DE CRÉDITO AGROPECUARIO</w:t>
      </w:r>
    </w:p>
    <w:p w:rsidR="005D3EBD" w:rsidRPr="00154B80" w:rsidRDefault="005D3EBD" w:rsidP="00BB6FAC">
      <w:pPr>
        <w:spacing w:after="0" w:line="240" w:lineRule="auto"/>
        <w:jc w:val="center"/>
        <w:rPr>
          <w:rFonts w:ascii="Arial" w:hAnsi="Arial" w:cs="Arial"/>
          <w:b/>
          <w:bCs/>
          <w:color w:val="000000" w:themeColor="text1"/>
        </w:rPr>
      </w:pPr>
    </w:p>
    <w:p w:rsidR="005D3EBD" w:rsidRPr="00154B80" w:rsidRDefault="005D3EBD" w:rsidP="00BB6FAC">
      <w:pPr>
        <w:spacing w:after="0" w:line="240" w:lineRule="auto"/>
        <w:jc w:val="center"/>
        <w:rPr>
          <w:rFonts w:ascii="Arial" w:hAnsi="Arial" w:cs="Arial"/>
          <w:b/>
          <w:bCs/>
          <w:color w:val="000000" w:themeColor="text1"/>
        </w:rPr>
      </w:pPr>
    </w:p>
    <w:p w:rsidR="005D3EBD" w:rsidRPr="00154B80" w:rsidRDefault="00E9649E" w:rsidP="00BB6FAC">
      <w:pPr>
        <w:spacing w:after="0" w:line="240" w:lineRule="auto"/>
        <w:jc w:val="center"/>
        <w:rPr>
          <w:rFonts w:ascii="Arial" w:hAnsi="Arial" w:cs="Arial"/>
          <w:b/>
          <w:bCs/>
          <w:color w:val="000000" w:themeColor="text1"/>
        </w:rPr>
      </w:pPr>
      <w:r w:rsidRPr="00154B80">
        <w:rPr>
          <w:rFonts w:ascii="Arial" w:hAnsi="Arial" w:cs="Arial"/>
          <w:b/>
          <w:bCs/>
          <w:color w:val="000000" w:themeColor="text1"/>
        </w:rPr>
        <w:t>RESOLUCIÓN N</w:t>
      </w:r>
      <w:r w:rsidR="00AC0399" w:rsidRPr="00154B80">
        <w:rPr>
          <w:rFonts w:ascii="Arial" w:hAnsi="Arial" w:cs="Arial"/>
          <w:b/>
          <w:bCs/>
          <w:color w:val="000000" w:themeColor="text1"/>
        </w:rPr>
        <w:t xml:space="preserve"> ____</w:t>
      </w:r>
      <w:r w:rsidR="00F008DC" w:rsidRPr="00154B80">
        <w:rPr>
          <w:rFonts w:ascii="Arial" w:hAnsi="Arial" w:cs="Arial"/>
          <w:b/>
          <w:bCs/>
          <w:color w:val="000000" w:themeColor="text1"/>
        </w:rPr>
        <w:t xml:space="preserve"> </w:t>
      </w:r>
      <w:r w:rsidR="00F008DC" w:rsidRPr="00154B80">
        <w:rPr>
          <w:rFonts w:ascii="Arial" w:hAnsi="Arial" w:cs="Arial"/>
          <w:b/>
          <w:bCs/>
        </w:rPr>
        <w:t xml:space="preserve">DE </w:t>
      </w:r>
      <w:r w:rsidR="00D800B0" w:rsidRPr="00154B80">
        <w:rPr>
          <w:rFonts w:ascii="Arial" w:hAnsi="Arial" w:cs="Arial"/>
          <w:b/>
          <w:bCs/>
          <w:color w:val="000000" w:themeColor="text1"/>
        </w:rPr>
        <w:t>2018</w:t>
      </w:r>
    </w:p>
    <w:p w:rsidR="005D3EBD" w:rsidRPr="00154B80" w:rsidRDefault="005D3EBD">
      <w:pPr>
        <w:spacing w:after="0" w:line="240" w:lineRule="auto"/>
        <w:ind w:right="-1"/>
        <w:jc w:val="center"/>
        <w:rPr>
          <w:rFonts w:ascii="Arial" w:hAnsi="Arial" w:cs="Arial"/>
          <w:b/>
        </w:rPr>
      </w:pPr>
    </w:p>
    <w:p w:rsidR="005D3EBD" w:rsidRPr="00154B80" w:rsidRDefault="005D3EBD">
      <w:pPr>
        <w:spacing w:after="0" w:line="240" w:lineRule="auto"/>
        <w:ind w:right="-1"/>
        <w:jc w:val="center"/>
        <w:rPr>
          <w:rFonts w:ascii="Arial" w:hAnsi="Arial" w:cs="Arial"/>
          <w:b/>
        </w:rPr>
      </w:pPr>
    </w:p>
    <w:p w:rsidR="005D3EBD" w:rsidRPr="00154B80" w:rsidRDefault="00CA1F68" w:rsidP="004E0E98">
      <w:pPr>
        <w:spacing w:after="0" w:line="240" w:lineRule="auto"/>
        <w:ind w:right="-1"/>
        <w:jc w:val="center"/>
        <w:rPr>
          <w:rFonts w:ascii="Arial" w:hAnsi="Arial" w:cs="Arial"/>
        </w:rPr>
      </w:pPr>
      <w:r w:rsidRPr="00154B80">
        <w:rPr>
          <w:rFonts w:ascii="Arial" w:hAnsi="Arial" w:cs="Arial"/>
        </w:rPr>
        <w:t xml:space="preserve">Por la </w:t>
      </w:r>
      <w:r w:rsidR="007E5E33" w:rsidRPr="00154B80">
        <w:rPr>
          <w:rFonts w:ascii="Arial" w:hAnsi="Arial" w:cs="Arial"/>
        </w:rPr>
        <w:t>cual se modifica</w:t>
      </w:r>
      <w:r w:rsidRPr="00154B80">
        <w:rPr>
          <w:rFonts w:ascii="Arial" w:hAnsi="Arial" w:cs="Arial"/>
        </w:rPr>
        <w:t xml:space="preserve"> la Resolución</w:t>
      </w:r>
      <w:r w:rsidR="007E5E33" w:rsidRPr="00154B80">
        <w:rPr>
          <w:rFonts w:ascii="Arial" w:hAnsi="Arial" w:cs="Arial"/>
        </w:rPr>
        <w:t xml:space="preserve"> 1</w:t>
      </w:r>
      <w:r w:rsidR="00F008DC" w:rsidRPr="00154B80">
        <w:rPr>
          <w:rFonts w:ascii="Arial" w:hAnsi="Arial" w:cs="Arial"/>
        </w:rPr>
        <w:t xml:space="preserve"> de 2016 </w:t>
      </w:r>
      <w:r w:rsidR="009F0134" w:rsidRPr="00154B80">
        <w:rPr>
          <w:rFonts w:ascii="Arial" w:hAnsi="Arial" w:cs="Arial"/>
        </w:rPr>
        <w:t>que “C</w:t>
      </w:r>
      <w:r w:rsidR="004E0E98" w:rsidRPr="00154B80">
        <w:rPr>
          <w:rFonts w:ascii="Arial" w:hAnsi="Arial" w:cs="Arial"/>
        </w:rPr>
        <w:t>ompila la reglamentación del destino del crédito agropecuario y rural, se definen sus beneficiarios, condiciones financieras y se adoptan otras disposiciones</w:t>
      </w:r>
      <w:r w:rsidR="00F008DC" w:rsidRPr="00154B80">
        <w:rPr>
          <w:rFonts w:ascii="Arial" w:hAnsi="Arial" w:cs="Arial"/>
        </w:rPr>
        <w:t>”</w:t>
      </w:r>
    </w:p>
    <w:p w:rsidR="005D3EBD" w:rsidRPr="00154B80" w:rsidRDefault="005D3EBD">
      <w:pPr>
        <w:spacing w:after="0" w:line="240" w:lineRule="auto"/>
        <w:ind w:right="-1"/>
        <w:jc w:val="both"/>
        <w:rPr>
          <w:rFonts w:ascii="Arial" w:hAnsi="Arial" w:cs="Arial"/>
          <w:b/>
        </w:rPr>
      </w:pPr>
    </w:p>
    <w:p w:rsidR="005D3EBD" w:rsidRPr="00154B80" w:rsidRDefault="00F008DC">
      <w:pPr>
        <w:spacing w:after="0" w:line="240" w:lineRule="auto"/>
        <w:ind w:right="-1"/>
        <w:jc w:val="center"/>
        <w:rPr>
          <w:rFonts w:ascii="Arial" w:hAnsi="Arial" w:cs="Arial"/>
          <w:b/>
        </w:rPr>
      </w:pPr>
      <w:r w:rsidRPr="00154B80">
        <w:rPr>
          <w:rFonts w:ascii="Arial" w:hAnsi="Arial" w:cs="Arial"/>
          <w:b/>
        </w:rPr>
        <w:t>LA COMISIÓN NACIONAL DE CRÉDITO AGROPECUARIO</w:t>
      </w:r>
    </w:p>
    <w:p w:rsidR="005D3EBD" w:rsidRPr="00154B80" w:rsidRDefault="005D3EBD">
      <w:pPr>
        <w:spacing w:after="0" w:line="240" w:lineRule="auto"/>
        <w:ind w:right="-1"/>
        <w:jc w:val="both"/>
        <w:rPr>
          <w:rFonts w:ascii="Arial" w:hAnsi="Arial" w:cs="Arial"/>
          <w:b/>
        </w:rPr>
      </w:pPr>
    </w:p>
    <w:p w:rsidR="004E0E98" w:rsidRPr="00154B80" w:rsidRDefault="004E0E98" w:rsidP="00B02F33">
      <w:pPr>
        <w:jc w:val="both"/>
        <w:rPr>
          <w:rFonts w:ascii="Arial" w:hAnsi="Arial" w:cs="Arial"/>
        </w:rPr>
      </w:pPr>
      <w:r w:rsidRPr="00154B80">
        <w:rPr>
          <w:rFonts w:ascii="Arial" w:hAnsi="Arial" w:cs="Arial"/>
        </w:rPr>
        <w:t xml:space="preserve">En ejercicio de las facultades conferidas </w:t>
      </w:r>
      <w:bookmarkStart w:id="0" w:name="_Hlk531618272"/>
      <w:r w:rsidRPr="00154B80">
        <w:rPr>
          <w:rFonts w:ascii="Arial" w:hAnsi="Arial" w:cs="Arial"/>
        </w:rPr>
        <w:t>en el artículo 218 del Estatuto Orgánico del Sistema Financiero</w:t>
      </w:r>
      <w:r w:rsidR="009F0134" w:rsidRPr="00154B80">
        <w:rPr>
          <w:rFonts w:ascii="Arial" w:hAnsi="Arial" w:cs="Arial"/>
        </w:rPr>
        <w:t>,</w:t>
      </w:r>
      <w:r w:rsidRPr="00154B80">
        <w:rPr>
          <w:rFonts w:ascii="Arial" w:hAnsi="Arial" w:cs="Arial"/>
        </w:rPr>
        <w:t xml:space="preserve"> modificado por el </w:t>
      </w:r>
      <w:r w:rsidR="009B3F38" w:rsidRPr="00154B80">
        <w:rPr>
          <w:rFonts w:ascii="Arial" w:hAnsi="Arial" w:cs="Arial"/>
        </w:rPr>
        <w:t>D</w:t>
      </w:r>
      <w:r w:rsidRPr="00154B80">
        <w:rPr>
          <w:rFonts w:ascii="Arial" w:hAnsi="Arial" w:cs="Arial"/>
        </w:rPr>
        <w:t xml:space="preserve">ecreto </w:t>
      </w:r>
      <w:r w:rsidR="009F0134" w:rsidRPr="00154B80">
        <w:rPr>
          <w:rFonts w:ascii="Arial" w:hAnsi="Arial" w:cs="Arial"/>
        </w:rPr>
        <w:t xml:space="preserve">Ley </w:t>
      </w:r>
      <w:r w:rsidRPr="00154B80">
        <w:rPr>
          <w:rFonts w:ascii="Arial" w:hAnsi="Arial" w:cs="Arial"/>
        </w:rPr>
        <w:t xml:space="preserve">2371 de 2015 </w:t>
      </w:r>
      <w:bookmarkEnd w:id="0"/>
      <w:r w:rsidRPr="00154B80">
        <w:rPr>
          <w:rFonts w:ascii="Arial" w:hAnsi="Arial" w:cs="Arial"/>
        </w:rPr>
        <w:t>y el Decreto 1313 de 1990</w:t>
      </w:r>
      <w:r w:rsidR="00D71F9E" w:rsidRPr="00154B80">
        <w:rPr>
          <w:rFonts w:ascii="Arial" w:hAnsi="Arial" w:cs="Arial"/>
        </w:rPr>
        <w:t xml:space="preserve"> y, </w:t>
      </w:r>
    </w:p>
    <w:p w:rsidR="005D3EBD" w:rsidRPr="00154B80" w:rsidRDefault="005D3EBD" w:rsidP="00BB6FAC">
      <w:pPr>
        <w:spacing w:after="0" w:line="240" w:lineRule="auto"/>
        <w:jc w:val="both"/>
        <w:rPr>
          <w:rFonts w:ascii="Arial" w:hAnsi="Arial" w:cs="Arial"/>
          <w:color w:val="000000" w:themeColor="text1"/>
        </w:rPr>
      </w:pPr>
    </w:p>
    <w:p w:rsidR="005D3EBD" w:rsidRPr="00154B80" w:rsidRDefault="00F008DC" w:rsidP="00BB6FAC">
      <w:pPr>
        <w:spacing w:after="0" w:line="240" w:lineRule="auto"/>
        <w:jc w:val="center"/>
        <w:rPr>
          <w:rFonts w:ascii="Arial" w:hAnsi="Arial" w:cs="Arial"/>
          <w:b/>
          <w:color w:val="000000" w:themeColor="text1"/>
        </w:rPr>
      </w:pPr>
      <w:r w:rsidRPr="00154B80">
        <w:rPr>
          <w:rFonts w:ascii="Arial" w:hAnsi="Arial" w:cs="Arial"/>
          <w:b/>
          <w:color w:val="000000" w:themeColor="text1"/>
        </w:rPr>
        <w:t>CONSIDERANDO</w:t>
      </w:r>
    </w:p>
    <w:p w:rsidR="005D3EBD" w:rsidRPr="00154B80" w:rsidRDefault="005D3EBD" w:rsidP="00BB6FAC">
      <w:pPr>
        <w:spacing w:after="0" w:line="240" w:lineRule="auto"/>
        <w:jc w:val="both"/>
        <w:rPr>
          <w:rFonts w:ascii="Arial" w:hAnsi="Arial" w:cs="Arial"/>
          <w:color w:val="000000" w:themeColor="text1"/>
        </w:rPr>
      </w:pPr>
    </w:p>
    <w:p w:rsidR="007F6B66" w:rsidRPr="00154B80" w:rsidRDefault="009B3F38" w:rsidP="007F6B66">
      <w:pPr>
        <w:spacing w:after="0" w:line="0" w:lineRule="atLeast"/>
        <w:jc w:val="both"/>
        <w:rPr>
          <w:rFonts w:ascii="Arial" w:hAnsi="Arial" w:cs="Arial"/>
          <w:snapToGrid w:val="0"/>
        </w:rPr>
      </w:pPr>
      <w:bookmarkStart w:id="1" w:name="_Hlk531767824"/>
      <w:r w:rsidRPr="00154B80">
        <w:rPr>
          <w:rFonts w:ascii="Arial" w:hAnsi="Arial" w:cs="Arial"/>
          <w:b/>
          <w:snapToGrid w:val="0"/>
        </w:rPr>
        <w:t xml:space="preserve">Primero. </w:t>
      </w:r>
      <w:r w:rsidR="007F6B66" w:rsidRPr="00154B80">
        <w:rPr>
          <w:rFonts w:ascii="Arial" w:hAnsi="Arial" w:cs="Arial"/>
          <w:snapToGrid w:val="0"/>
        </w:rPr>
        <w:t>Que de acuerdo con lo dispuesto en el artículo 218 del Estatuto Orgánico del Sistema Financiero</w:t>
      </w:r>
      <w:r w:rsidR="007E12FC" w:rsidRPr="00154B80">
        <w:rPr>
          <w:rFonts w:ascii="Arial" w:hAnsi="Arial" w:cs="Arial"/>
          <w:snapToGrid w:val="0"/>
        </w:rPr>
        <w:t>,</w:t>
      </w:r>
      <w:r w:rsidR="007F6B66" w:rsidRPr="00154B80">
        <w:rPr>
          <w:rFonts w:ascii="Arial" w:hAnsi="Arial" w:cs="Arial"/>
          <w:snapToGrid w:val="0"/>
        </w:rPr>
        <w:t xml:space="preserve"> modificado </w:t>
      </w:r>
      <w:bookmarkEnd w:id="1"/>
      <w:r w:rsidR="007F6B66" w:rsidRPr="00154B80">
        <w:rPr>
          <w:rFonts w:ascii="Arial" w:hAnsi="Arial" w:cs="Arial"/>
          <w:snapToGrid w:val="0"/>
        </w:rPr>
        <w:t xml:space="preserve">por el artículo </w:t>
      </w:r>
      <w:r w:rsidR="00AD1045" w:rsidRPr="00154B80">
        <w:rPr>
          <w:rFonts w:ascii="Arial" w:hAnsi="Arial" w:cs="Arial"/>
          <w:snapToGrid w:val="0"/>
        </w:rPr>
        <w:t>2</w:t>
      </w:r>
      <w:r w:rsidR="007F6B66" w:rsidRPr="00154B80">
        <w:rPr>
          <w:rFonts w:ascii="Arial" w:hAnsi="Arial" w:cs="Arial"/>
          <w:snapToGrid w:val="0"/>
        </w:rPr>
        <w:t xml:space="preserve"> del Decreto Ley 2371 de 2015, la Comisión Nacional de Crédito Agropecuario</w:t>
      </w:r>
      <w:r w:rsidR="002E42E9" w:rsidRPr="00154B80">
        <w:rPr>
          <w:rFonts w:ascii="Arial" w:hAnsi="Arial" w:cs="Arial"/>
          <w:snapToGrid w:val="0"/>
        </w:rPr>
        <w:t>,</w:t>
      </w:r>
      <w:r w:rsidR="007F6B66" w:rsidRPr="00154B80">
        <w:rPr>
          <w:rFonts w:ascii="Arial" w:hAnsi="Arial" w:cs="Arial"/>
          <w:snapToGrid w:val="0"/>
        </w:rPr>
        <w:t xml:space="preserve"> podrá:</w:t>
      </w:r>
    </w:p>
    <w:p w:rsidR="005D3EBD" w:rsidRPr="00154B80" w:rsidRDefault="005D3EBD" w:rsidP="00BB6FAC">
      <w:pPr>
        <w:spacing w:after="0" w:line="240" w:lineRule="auto"/>
        <w:jc w:val="both"/>
        <w:rPr>
          <w:rFonts w:ascii="Arial" w:hAnsi="Arial" w:cs="Arial"/>
          <w:color w:val="000000" w:themeColor="text1"/>
        </w:rPr>
      </w:pPr>
    </w:p>
    <w:p w:rsidR="005D3EBD" w:rsidRPr="00154B80" w:rsidRDefault="00F008DC" w:rsidP="00BB6FAC">
      <w:pPr>
        <w:spacing w:after="0" w:line="240" w:lineRule="auto"/>
        <w:jc w:val="both"/>
        <w:rPr>
          <w:rFonts w:ascii="Arial" w:hAnsi="Arial" w:cs="Arial"/>
          <w:i/>
          <w:color w:val="000000" w:themeColor="text1"/>
        </w:rPr>
      </w:pPr>
      <w:r w:rsidRPr="00154B80">
        <w:rPr>
          <w:rFonts w:ascii="Arial" w:hAnsi="Arial" w:cs="Arial"/>
          <w:color w:val="000000" w:themeColor="text1"/>
        </w:rPr>
        <w:t>“</w:t>
      </w:r>
      <w:r w:rsidRPr="00154B80">
        <w:rPr>
          <w:rFonts w:ascii="Arial" w:hAnsi="Arial" w:cs="Arial"/>
          <w:i/>
          <w:color w:val="000000" w:themeColor="text1"/>
        </w:rPr>
        <w:t>(…)</w:t>
      </w:r>
    </w:p>
    <w:p w:rsidR="005D3EBD" w:rsidRPr="00154B80" w:rsidRDefault="005D3EBD" w:rsidP="00BB6FAC">
      <w:pPr>
        <w:spacing w:after="0" w:line="240" w:lineRule="auto"/>
        <w:jc w:val="both"/>
        <w:rPr>
          <w:rFonts w:ascii="Arial" w:hAnsi="Arial" w:cs="Arial"/>
          <w:color w:val="000000" w:themeColor="text1"/>
        </w:rPr>
      </w:pPr>
    </w:p>
    <w:p w:rsidR="005D3EBD" w:rsidRPr="00154B80" w:rsidRDefault="00F008DC" w:rsidP="00BB6FAC">
      <w:pPr>
        <w:spacing w:after="0" w:line="240" w:lineRule="auto"/>
        <w:jc w:val="both"/>
        <w:rPr>
          <w:rFonts w:ascii="Arial" w:hAnsi="Arial" w:cs="Arial"/>
          <w:i/>
          <w:color w:val="000000" w:themeColor="text1"/>
        </w:rPr>
      </w:pPr>
      <w:r w:rsidRPr="00154B80">
        <w:rPr>
          <w:rFonts w:ascii="Arial" w:hAnsi="Arial" w:cs="Arial"/>
          <w:i/>
          <w:color w:val="000000" w:themeColor="text1"/>
        </w:rPr>
        <w:t xml:space="preserve">c) Fijar, dentro de los límites de carácter general que señale la Junta Directiva del Banco de la República, las políticas sobre las tasas de interés que se cobrarán a los usuarios de crédito por parte de las entidades que integran el </w:t>
      </w:r>
      <w:r w:rsidR="009B3F38" w:rsidRPr="00154B80">
        <w:rPr>
          <w:rFonts w:ascii="Arial" w:hAnsi="Arial" w:cs="Arial"/>
          <w:i/>
          <w:color w:val="000000" w:themeColor="text1"/>
        </w:rPr>
        <w:t>S</w:t>
      </w:r>
      <w:r w:rsidRPr="00154B80">
        <w:rPr>
          <w:rFonts w:ascii="Arial" w:hAnsi="Arial" w:cs="Arial"/>
          <w:i/>
          <w:color w:val="000000" w:themeColor="text1"/>
        </w:rPr>
        <w:t xml:space="preserve">istema </w:t>
      </w:r>
      <w:r w:rsidR="009B3F38" w:rsidRPr="00154B80">
        <w:rPr>
          <w:rFonts w:ascii="Arial" w:hAnsi="Arial" w:cs="Arial"/>
          <w:i/>
          <w:color w:val="000000" w:themeColor="text1"/>
        </w:rPr>
        <w:t>N</w:t>
      </w:r>
      <w:r w:rsidRPr="00154B80">
        <w:rPr>
          <w:rFonts w:ascii="Arial" w:hAnsi="Arial" w:cs="Arial"/>
          <w:i/>
          <w:color w:val="000000" w:themeColor="text1"/>
        </w:rPr>
        <w:t xml:space="preserve">acional de </w:t>
      </w:r>
      <w:r w:rsidR="009B3F38" w:rsidRPr="00154B80">
        <w:rPr>
          <w:rFonts w:ascii="Arial" w:hAnsi="Arial" w:cs="Arial"/>
          <w:i/>
          <w:color w:val="000000" w:themeColor="text1"/>
        </w:rPr>
        <w:t>C</w:t>
      </w:r>
      <w:r w:rsidRPr="00154B80">
        <w:rPr>
          <w:rFonts w:ascii="Arial" w:hAnsi="Arial" w:cs="Arial"/>
          <w:i/>
          <w:color w:val="000000" w:themeColor="text1"/>
        </w:rPr>
        <w:t xml:space="preserve">rédito </w:t>
      </w:r>
      <w:r w:rsidR="009B3F38" w:rsidRPr="00154B80">
        <w:rPr>
          <w:rFonts w:ascii="Arial" w:hAnsi="Arial" w:cs="Arial"/>
          <w:i/>
          <w:color w:val="000000" w:themeColor="text1"/>
        </w:rPr>
        <w:t>A</w:t>
      </w:r>
      <w:r w:rsidRPr="00154B80">
        <w:rPr>
          <w:rFonts w:ascii="Arial" w:hAnsi="Arial" w:cs="Arial"/>
          <w:i/>
          <w:color w:val="000000" w:themeColor="text1"/>
        </w:rPr>
        <w:t>gropecuario.</w:t>
      </w:r>
    </w:p>
    <w:p w:rsidR="00D16053" w:rsidRPr="00154B80" w:rsidRDefault="00D16053" w:rsidP="00D16053">
      <w:pPr>
        <w:pStyle w:val="Sinespaciado"/>
        <w:rPr>
          <w:i/>
        </w:rPr>
      </w:pPr>
    </w:p>
    <w:p w:rsidR="005D3EBD" w:rsidRPr="00154B80" w:rsidRDefault="00D16053" w:rsidP="00BB6FAC">
      <w:pPr>
        <w:spacing w:after="0" w:line="240" w:lineRule="auto"/>
        <w:jc w:val="both"/>
        <w:rPr>
          <w:rFonts w:ascii="Arial" w:hAnsi="Arial" w:cs="Arial"/>
          <w:i/>
          <w:color w:val="000000" w:themeColor="text1"/>
        </w:rPr>
      </w:pPr>
      <w:r w:rsidRPr="00154B80">
        <w:rPr>
          <w:rFonts w:ascii="Arial" w:hAnsi="Arial" w:cs="Arial"/>
          <w:i/>
          <w:color w:val="000000" w:themeColor="text1"/>
        </w:rPr>
        <w:t>(…)</w:t>
      </w:r>
    </w:p>
    <w:p w:rsidR="00D16053" w:rsidRPr="00154B80" w:rsidRDefault="00D16053" w:rsidP="00BB6FAC">
      <w:pPr>
        <w:spacing w:after="0" w:line="240" w:lineRule="auto"/>
        <w:jc w:val="both"/>
        <w:rPr>
          <w:rFonts w:ascii="Arial" w:hAnsi="Arial" w:cs="Arial"/>
          <w:i/>
          <w:color w:val="000000" w:themeColor="text1"/>
        </w:rPr>
      </w:pPr>
    </w:p>
    <w:p w:rsidR="005D3EBD" w:rsidRPr="00154B80" w:rsidRDefault="00F008DC" w:rsidP="00BB6FAC">
      <w:pPr>
        <w:spacing w:after="0" w:line="240" w:lineRule="auto"/>
        <w:jc w:val="both"/>
        <w:rPr>
          <w:rFonts w:ascii="Arial" w:hAnsi="Arial" w:cs="Arial"/>
          <w:i/>
          <w:color w:val="000000" w:themeColor="text1"/>
        </w:rPr>
      </w:pPr>
      <w:r w:rsidRPr="00154B80">
        <w:rPr>
          <w:rFonts w:ascii="Arial" w:hAnsi="Arial" w:cs="Arial"/>
          <w:i/>
          <w:color w:val="000000" w:themeColor="text1"/>
        </w:rPr>
        <w:t xml:space="preserve">f) Fijar las tasas y márgenes de redescuento de las operaciones que apruebe </w:t>
      </w:r>
      <w:proofErr w:type="spellStart"/>
      <w:r w:rsidRPr="00154B80">
        <w:rPr>
          <w:rFonts w:ascii="Arial" w:hAnsi="Arial" w:cs="Arial"/>
          <w:i/>
          <w:color w:val="000000" w:themeColor="text1"/>
        </w:rPr>
        <w:t>Finagro</w:t>
      </w:r>
      <w:proofErr w:type="spellEnd"/>
      <w:r w:rsidR="009B3F38" w:rsidRPr="00154B80">
        <w:rPr>
          <w:rFonts w:ascii="Arial" w:hAnsi="Arial" w:cs="Arial"/>
          <w:i/>
          <w:color w:val="000000" w:themeColor="text1"/>
        </w:rPr>
        <w:t>”</w:t>
      </w:r>
      <w:r w:rsidRPr="00154B80">
        <w:rPr>
          <w:rFonts w:ascii="Arial" w:hAnsi="Arial" w:cs="Arial"/>
          <w:i/>
          <w:color w:val="000000" w:themeColor="text1"/>
        </w:rPr>
        <w:t>.</w:t>
      </w:r>
    </w:p>
    <w:p w:rsidR="00D16053" w:rsidRPr="00154B80" w:rsidRDefault="00D16053" w:rsidP="00BB6FAC">
      <w:pPr>
        <w:spacing w:after="0" w:line="240" w:lineRule="auto"/>
        <w:jc w:val="both"/>
        <w:rPr>
          <w:rFonts w:ascii="Arial" w:hAnsi="Arial" w:cs="Arial"/>
          <w:i/>
          <w:color w:val="000000" w:themeColor="text1"/>
        </w:rPr>
      </w:pPr>
    </w:p>
    <w:p w:rsidR="005D3EBD" w:rsidRPr="00154B80" w:rsidRDefault="00D16053" w:rsidP="00BB6FAC">
      <w:pPr>
        <w:spacing w:after="0" w:line="240" w:lineRule="auto"/>
        <w:jc w:val="both"/>
        <w:rPr>
          <w:rFonts w:ascii="Arial" w:hAnsi="Arial" w:cs="Arial"/>
          <w:i/>
          <w:color w:val="000000" w:themeColor="text1"/>
        </w:rPr>
      </w:pPr>
      <w:r w:rsidRPr="00154B80">
        <w:rPr>
          <w:rFonts w:ascii="Arial" w:hAnsi="Arial" w:cs="Arial"/>
          <w:i/>
          <w:color w:val="000000" w:themeColor="text1"/>
        </w:rPr>
        <w:t>(…)”</w:t>
      </w:r>
    </w:p>
    <w:p w:rsidR="00D16053" w:rsidRPr="00154B80" w:rsidRDefault="00D16053" w:rsidP="00BB6FAC">
      <w:pPr>
        <w:spacing w:after="0" w:line="240" w:lineRule="auto"/>
        <w:jc w:val="both"/>
        <w:rPr>
          <w:rFonts w:ascii="Arial" w:hAnsi="Arial" w:cs="Arial"/>
          <w:i/>
          <w:color w:val="000000" w:themeColor="text1"/>
        </w:rPr>
      </w:pPr>
    </w:p>
    <w:p w:rsidR="0040328E" w:rsidRPr="00154B80" w:rsidRDefault="009B3F38" w:rsidP="0040328E">
      <w:pPr>
        <w:spacing w:after="0" w:line="240" w:lineRule="auto"/>
        <w:jc w:val="both"/>
        <w:rPr>
          <w:rFonts w:ascii="Arial" w:hAnsi="Arial" w:cs="Arial"/>
          <w:i/>
          <w:color w:val="000000" w:themeColor="text1"/>
        </w:rPr>
      </w:pPr>
      <w:r w:rsidRPr="00154B80">
        <w:rPr>
          <w:rFonts w:ascii="Arial" w:hAnsi="Arial" w:cs="Arial"/>
          <w:b/>
          <w:snapToGrid w:val="0"/>
        </w:rPr>
        <w:t xml:space="preserve">Segundo. </w:t>
      </w:r>
      <w:r w:rsidR="00A751B2" w:rsidRPr="00154B80">
        <w:rPr>
          <w:rFonts w:ascii="Arial" w:hAnsi="Arial" w:cs="Arial"/>
          <w:snapToGrid w:val="0"/>
        </w:rPr>
        <w:t>Que de acuerdo con lo dispuesto en el artículo 21</w:t>
      </w:r>
      <w:r w:rsidR="008827B4" w:rsidRPr="00154B80">
        <w:rPr>
          <w:rFonts w:ascii="Arial" w:hAnsi="Arial" w:cs="Arial"/>
          <w:snapToGrid w:val="0"/>
        </w:rPr>
        <w:t>9</w:t>
      </w:r>
      <w:r w:rsidR="00A751B2" w:rsidRPr="00154B80">
        <w:rPr>
          <w:rFonts w:ascii="Arial" w:hAnsi="Arial" w:cs="Arial"/>
          <w:snapToGrid w:val="0"/>
        </w:rPr>
        <w:t xml:space="preserve"> del Estatuto Orgánico del Sistema Financiero, </w:t>
      </w:r>
      <w:r w:rsidR="0040328E" w:rsidRPr="00154B80">
        <w:rPr>
          <w:rFonts w:ascii="Arial" w:hAnsi="Arial" w:cs="Arial"/>
          <w:i/>
          <w:snapToGrid w:val="0"/>
        </w:rPr>
        <w:t>“</w:t>
      </w:r>
      <w:proofErr w:type="spellStart"/>
      <w:r w:rsidR="0040328E" w:rsidRPr="00154B80">
        <w:rPr>
          <w:rFonts w:ascii="Arial" w:hAnsi="Arial" w:cs="Arial"/>
          <w:i/>
          <w:color w:val="000000" w:themeColor="text1"/>
        </w:rPr>
        <w:t>entiéndese</w:t>
      </w:r>
      <w:proofErr w:type="spellEnd"/>
      <w:r w:rsidR="0040328E" w:rsidRPr="00154B80">
        <w:rPr>
          <w:rFonts w:ascii="Arial" w:hAnsi="Arial" w:cs="Arial"/>
          <w:i/>
          <w:color w:val="000000" w:themeColor="text1"/>
        </w:rPr>
        <w:t xml:space="preserve"> por crédito de fomento agropecuario el que se otorga a favor de personas naturales o jurídicas, para ser utilizado en las distintas fases del proceso de producción y/o comercialización de bienes originados directamente o en forma conexa o complementaria, en la explotación de actividades agropecuarias, piscícolas, apícolas, avícolas, forestales, afines o similares, y en la acuicultura. El crédito agropecuario se otorgará para la financiación de capital de trabajo, la inversión nueva o los ensanches requeridos en las actividades indicadas.</w:t>
      </w:r>
    </w:p>
    <w:p w:rsidR="0040328E" w:rsidRPr="00154B80" w:rsidRDefault="0040328E" w:rsidP="0040328E">
      <w:pPr>
        <w:spacing w:after="0" w:line="240" w:lineRule="auto"/>
        <w:jc w:val="both"/>
        <w:rPr>
          <w:rFonts w:ascii="Arial" w:hAnsi="Arial" w:cs="Arial"/>
          <w:i/>
          <w:color w:val="000000" w:themeColor="text1"/>
        </w:rPr>
      </w:pPr>
    </w:p>
    <w:p w:rsidR="00603239" w:rsidRPr="00154B80" w:rsidRDefault="0040328E" w:rsidP="0040328E">
      <w:pPr>
        <w:spacing w:after="0" w:line="240" w:lineRule="auto"/>
        <w:jc w:val="both"/>
        <w:rPr>
          <w:rFonts w:ascii="Arial" w:hAnsi="Arial" w:cs="Arial"/>
          <w:i/>
          <w:color w:val="000000" w:themeColor="text1"/>
        </w:rPr>
      </w:pPr>
      <w:r w:rsidRPr="00154B80">
        <w:rPr>
          <w:rFonts w:ascii="Arial" w:hAnsi="Arial" w:cs="Arial"/>
          <w:i/>
          <w:color w:val="000000" w:themeColor="text1"/>
        </w:rPr>
        <w:t xml:space="preserve">El crédito de fomento se destinará primordialmente para impulsar la producción en sus distintas fases, capitalizar el sector agropecuario, incrementar el empleo, estimular la transferencia tecnológica, contribuir a la seguridad alimentaria de la población urbana y rural, promover la distribución del ingreso, fortalecer el sector externo de la economía y mejorar las condiciones sociales y económicas del sector rural del país. Para tal fin, la programación del crédito se hará teniendo en cuenta las directrices que determinen el </w:t>
      </w:r>
      <w:r w:rsidRPr="00154B80">
        <w:rPr>
          <w:rFonts w:ascii="Arial" w:hAnsi="Arial" w:cs="Arial"/>
          <w:i/>
          <w:color w:val="000000" w:themeColor="text1"/>
        </w:rPr>
        <w:lastRenderedPageBreak/>
        <w:t>Consejo Nacional de Política Económica y Social, CONPES, y el Ministerio de Agricultura”</w:t>
      </w:r>
      <w:r w:rsidR="00603239" w:rsidRPr="00154B80">
        <w:rPr>
          <w:rFonts w:ascii="Arial" w:hAnsi="Arial" w:cs="Arial"/>
          <w:i/>
          <w:color w:val="000000" w:themeColor="text1"/>
        </w:rPr>
        <w:t>.</w:t>
      </w:r>
    </w:p>
    <w:p w:rsidR="00603239" w:rsidRPr="00154B80" w:rsidRDefault="00603239" w:rsidP="00603239">
      <w:pPr>
        <w:spacing w:after="0" w:line="240" w:lineRule="auto"/>
        <w:jc w:val="both"/>
        <w:rPr>
          <w:rFonts w:ascii="Arial" w:hAnsi="Arial" w:cs="Arial"/>
          <w:color w:val="000000" w:themeColor="text1"/>
        </w:rPr>
      </w:pPr>
    </w:p>
    <w:p w:rsidR="005D3EBD" w:rsidRPr="00154B80" w:rsidRDefault="009B3F38" w:rsidP="00BB6FAC">
      <w:pPr>
        <w:spacing w:after="0" w:line="240" w:lineRule="auto"/>
        <w:jc w:val="both"/>
        <w:rPr>
          <w:rFonts w:ascii="Arial" w:hAnsi="Arial" w:cs="Arial"/>
          <w:i/>
        </w:rPr>
      </w:pPr>
      <w:r w:rsidRPr="00154B80">
        <w:rPr>
          <w:rFonts w:ascii="Arial" w:hAnsi="Arial" w:cs="Arial"/>
          <w:b/>
          <w:color w:val="000000" w:themeColor="text1"/>
        </w:rPr>
        <w:t xml:space="preserve">Segundo. </w:t>
      </w:r>
      <w:r w:rsidR="00F008DC" w:rsidRPr="00154B80">
        <w:rPr>
          <w:rFonts w:ascii="Arial" w:hAnsi="Arial" w:cs="Arial"/>
          <w:color w:val="000000" w:themeColor="text1"/>
        </w:rPr>
        <w:t xml:space="preserve">Que el numeral 2 del artículo 227 del Estatuto Orgánico del Sistema Financiero, </w:t>
      </w:r>
      <w:r w:rsidR="00D77433" w:rsidRPr="00154B80">
        <w:rPr>
          <w:rFonts w:ascii="Arial" w:hAnsi="Arial" w:cs="Arial"/>
          <w:color w:val="000000" w:themeColor="text1"/>
        </w:rPr>
        <w:t>dispone</w:t>
      </w:r>
      <w:r w:rsidR="00F008DC" w:rsidRPr="00154B80">
        <w:rPr>
          <w:rFonts w:ascii="Arial" w:hAnsi="Arial" w:cs="Arial"/>
          <w:color w:val="000000" w:themeColor="text1"/>
        </w:rPr>
        <w:t xml:space="preserve"> que el objeto del Fondo para el Financiamiento del Sector Agropecuario, FINAGRO es: “</w:t>
      </w:r>
      <w:r w:rsidR="00F008DC" w:rsidRPr="00154B80">
        <w:rPr>
          <w:rFonts w:ascii="Arial" w:hAnsi="Arial" w:cs="Arial"/>
          <w:i/>
        </w:rPr>
        <w:t>promover el desarrollo agropecuario y rural mediante instrumentos financieros y de inversión a través del redescuento o fondeo global o individual de las operaciones que hagan las entidades bancarias, financieras, fiduciarias y cooperativas vigiladas por la Superintendencia Financiera y por la Superintendencia de Economía Solidaria, o mediante la celebración</w:t>
      </w:r>
      <w:r w:rsidR="00FD6723" w:rsidRPr="00154B80">
        <w:rPr>
          <w:rFonts w:ascii="Arial" w:hAnsi="Arial" w:cs="Arial"/>
          <w:i/>
        </w:rPr>
        <w:t xml:space="preserve"> de</w:t>
      </w:r>
      <w:r w:rsidR="00F008DC" w:rsidRPr="00154B80">
        <w:rPr>
          <w:rFonts w:ascii="Arial" w:hAnsi="Arial" w:cs="Arial"/>
          <w:i/>
        </w:rPr>
        <w:t xml:space="preserve"> convenios con tales instituciones, en los cuales se podrá pactar que el riesgo sea compartido entre </w:t>
      </w:r>
      <w:proofErr w:type="spellStart"/>
      <w:r w:rsidR="00F008DC" w:rsidRPr="00154B80">
        <w:rPr>
          <w:rFonts w:ascii="Arial" w:hAnsi="Arial" w:cs="Arial"/>
          <w:i/>
        </w:rPr>
        <w:t>Finagro</w:t>
      </w:r>
      <w:proofErr w:type="spellEnd"/>
      <w:r w:rsidR="00F008DC" w:rsidRPr="00154B80">
        <w:rPr>
          <w:rFonts w:ascii="Arial" w:hAnsi="Arial" w:cs="Arial"/>
          <w:i/>
        </w:rPr>
        <w:t xml:space="preserve"> y la entidad que accede al redescuento. (…)”</w:t>
      </w:r>
      <w:r w:rsidR="00505BD7" w:rsidRPr="00154B80">
        <w:rPr>
          <w:rFonts w:ascii="Arial" w:hAnsi="Arial" w:cs="Arial"/>
          <w:i/>
        </w:rPr>
        <w:t>.</w:t>
      </w:r>
    </w:p>
    <w:p w:rsidR="00505BD7" w:rsidRPr="00154B80" w:rsidRDefault="00505BD7" w:rsidP="00BB6FAC">
      <w:pPr>
        <w:spacing w:after="0" w:line="240" w:lineRule="auto"/>
        <w:jc w:val="both"/>
        <w:rPr>
          <w:rFonts w:ascii="Arial" w:hAnsi="Arial" w:cs="Arial"/>
          <w:i/>
        </w:rPr>
      </w:pPr>
    </w:p>
    <w:p w:rsidR="00505BD7" w:rsidRPr="00154B80" w:rsidRDefault="009B3F38" w:rsidP="00505BD7">
      <w:pPr>
        <w:spacing w:after="0" w:line="240" w:lineRule="auto"/>
        <w:ind w:right="-1"/>
        <w:jc w:val="both"/>
        <w:rPr>
          <w:rFonts w:ascii="Arial" w:hAnsi="Arial" w:cs="Arial"/>
          <w:color w:val="000000" w:themeColor="text1"/>
        </w:rPr>
      </w:pPr>
      <w:r w:rsidRPr="00154B80">
        <w:rPr>
          <w:rFonts w:ascii="Arial" w:hAnsi="Arial" w:cs="Arial"/>
          <w:b/>
          <w:color w:val="000000" w:themeColor="text1"/>
        </w:rPr>
        <w:t xml:space="preserve">Tercero. </w:t>
      </w:r>
      <w:r w:rsidR="00505BD7" w:rsidRPr="00154B80">
        <w:rPr>
          <w:rFonts w:ascii="Arial" w:hAnsi="Arial" w:cs="Arial"/>
          <w:color w:val="000000" w:themeColor="text1"/>
        </w:rPr>
        <w:t xml:space="preserve">Que el proyecto de </w:t>
      </w:r>
      <w:r w:rsidR="002E42E9" w:rsidRPr="00154B80">
        <w:rPr>
          <w:rFonts w:ascii="Arial" w:hAnsi="Arial" w:cs="Arial"/>
          <w:color w:val="000000" w:themeColor="text1"/>
        </w:rPr>
        <w:t>r</w:t>
      </w:r>
      <w:r w:rsidR="00505BD7" w:rsidRPr="00154B80">
        <w:rPr>
          <w:rFonts w:ascii="Arial" w:hAnsi="Arial" w:cs="Arial"/>
          <w:color w:val="000000" w:themeColor="text1"/>
        </w:rPr>
        <w:t xml:space="preserve">esolución </w:t>
      </w:r>
      <w:r w:rsidRPr="00154B80">
        <w:rPr>
          <w:rFonts w:ascii="Arial" w:hAnsi="Arial" w:cs="Arial"/>
          <w:color w:val="000000" w:themeColor="text1"/>
        </w:rPr>
        <w:t>p</w:t>
      </w:r>
      <w:r w:rsidR="00505BD7" w:rsidRPr="00154B80">
        <w:rPr>
          <w:rFonts w:ascii="Arial" w:hAnsi="Arial" w:cs="Arial"/>
          <w:color w:val="000000" w:themeColor="text1"/>
        </w:rPr>
        <w:t>or la cual se modifica la Resolución 1 de 2016 que “</w:t>
      </w:r>
      <w:r w:rsidR="00D77433" w:rsidRPr="00154B80">
        <w:rPr>
          <w:rFonts w:ascii="Arial" w:hAnsi="Arial" w:cs="Arial"/>
          <w:color w:val="000000" w:themeColor="text1"/>
        </w:rPr>
        <w:t xml:space="preserve">Compila </w:t>
      </w:r>
      <w:r w:rsidR="00505BD7" w:rsidRPr="00154B80">
        <w:rPr>
          <w:rFonts w:ascii="Arial" w:hAnsi="Arial" w:cs="Arial"/>
          <w:color w:val="000000" w:themeColor="text1"/>
        </w:rPr>
        <w:t>la reglamentación del destino del crédito agropecuario y rural, se definen sus beneficiarios, condiciones financieras y se adoptan otras disposiciones”, estuvo publicado en la página web del Fondo para el Financiamiento del Sector Agropecuario -  FINAGRO.</w:t>
      </w:r>
    </w:p>
    <w:p w:rsidR="00505BD7" w:rsidRPr="00154B80" w:rsidRDefault="00505BD7" w:rsidP="00505BD7">
      <w:pPr>
        <w:pStyle w:val="Textoindependiente2"/>
        <w:spacing w:after="0" w:line="0" w:lineRule="atLeast"/>
        <w:rPr>
          <w:color w:val="000000" w:themeColor="text1"/>
          <w:sz w:val="22"/>
          <w:szCs w:val="22"/>
          <w:lang w:val="es-ES" w:eastAsia="en-US"/>
        </w:rPr>
      </w:pPr>
    </w:p>
    <w:p w:rsidR="00D16053" w:rsidRPr="00154B80" w:rsidRDefault="009B3F38" w:rsidP="00D16053">
      <w:pPr>
        <w:spacing w:after="0" w:line="0" w:lineRule="atLeast"/>
        <w:jc w:val="both"/>
        <w:rPr>
          <w:rFonts w:ascii="Arial" w:hAnsi="Arial" w:cs="Arial"/>
        </w:rPr>
      </w:pPr>
      <w:r w:rsidRPr="00154B80">
        <w:rPr>
          <w:rFonts w:ascii="Arial" w:hAnsi="Arial" w:cs="Arial"/>
          <w:b/>
        </w:rPr>
        <w:t xml:space="preserve">Cuarto. </w:t>
      </w:r>
      <w:r w:rsidR="00D16053" w:rsidRPr="00154B80">
        <w:rPr>
          <w:rFonts w:ascii="Arial" w:hAnsi="Arial" w:cs="Arial"/>
        </w:rPr>
        <w:t xml:space="preserve">Que, el documento con la justificación jurídica y técnica de la presente resolución fue presentado para consideración de la CNCA y discutido en la reunión llevada a cabo el </w:t>
      </w:r>
      <w:r w:rsidR="00D16053" w:rsidRPr="00154B80">
        <w:rPr>
          <w:rFonts w:ascii="Arial" w:hAnsi="Arial" w:cs="Arial"/>
          <w:snapToGrid w:val="0"/>
        </w:rPr>
        <w:t xml:space="preserve">14 </w:t>
      </w:r>
      <w:r w:rsidR="00D16053" w:rsidRPr="00154B80">
        <w:rPr>
          <w:rFonts w:ascii="Arial" w:hAnsi="Arial" w:cs="Arial"/>
        </w:rPr>
        <w:t xml:space="preserve">de </w:t>
      </w:r>
      <w:r w:rsidR="00D16053" w:rsidRPr="00154B80">
        <w:rPr>
          <w:rFonts w:ascii="Arial" w:hAnsi="Arial" w:cs="Arial"/>
          <w:snapToGrid w:val="0"/>
        </w:rPr>
        <w:t>diciembre</w:t>
      </w:r>
      <w:r w:rsidR="00D16053" w:rsidRPr="00154B80">
        <w:rPr>
          <w:rFonts w:ascii="Arial" w:hAnsi="Arial" w:cs="Arial"/>
          <w:b/>
          <w:snapToGrid w:val="0"/>
        </w:rPr>
        <w:t xml:space="preserve"> </w:t>
      </w:r>
      <w:r w:rsidR="00D16053" w:rsidRPr="00154B80">
        <w:rPr>
          <w:rFonts w:ascii="Arial" w:hAnsi="Arial" w:cs="Arial"/>
        </w:rPr>
        <w:t>de 2018.</w:t>
      </w:r>
    </w:p>
    <w:p w:rsidR="00505BD7" w:rsidRPr="00154B80" w:rsidRDefault="00505BD7" w:rsidP="00505BD7">
      <w:pPr>
        <w:spacing w:after="0" w:line="0" w:lineRule="atLeast"/>
        <w:jc w:val="both"/>
        <w:rPr>
          <w:rFonts w:ascii="Arial" w:hAnsi="Arial" w:cs="Arial"/>
        </w:rPr>
      </w:pPr>
    </w:p>
    <w:p w:rsidR="005D3EBD" w:rsidRPr="00154B80" w:rsidRDefault="00F008DC" w:rsidP="00BB6FAC">
      <w:pPr>
        <w:spacing w:after="0" w:line="240" w:lineRule="auto"/>
        <w:ind w:right="-1"/>
        <w:rPr>
          <w:rFonts w:ascii="Arial" w:hAnsi="Arial" w:cs="Arial"/>
        </w:rPr>
      </w:pPr>
      <w:r w:rsidRPr="00154B80">
        <w:rPr>
          <w:rFonts w:ascii="Arial" w:hAnsi="Arial" w:cs="Arial"/>
        </w:rPr>
        <w:t>En mérito de lo expuesto,</w:t>
      </w:r>
    </w:p>
    <w:p w:rsidR="00603239" w:rsidRPr="00154B80" w:rsidRDefault="00603239" w:rsidP="00BB6FAC">
      <w:pPr>
        <w:spacing w:after="0" w:line="240" w:lineRule="auto"/>
        <w:ind w:right="-1"/>
        <w:rPr>
          <w:rFonts w:ascii="Arial" w:hAnsi="Arial" w:cs="Arial"/>
        </w:rPr>
      </w:pPr>
    </w:p>
    <w:p w:rsidR="005D3EBD" w:rsidRPr="00154B80" w:rsidRDefault="00F008DC">
      <w:pPr>
        <w:spacing w:after="0" w:line="240" w:lineRule="auto"/>
        <w:ind w:right="-1"/>
        <w:jc w:val="center"/>
        <w:rPr>
          <w:rFonts w:ascii="Arial" w:hAnsi="Arial" w:cs="Arial"/>
          <w:b/>
        </w:rPr>
      </w:pPr>
      <w:r w:rsidRPr="00154B80">
        <w:rPr>
          <w:rFonts w:ascii="Arial" w:hAnsi="Arial" w:cs="Arial"/>
          <w:b/>
        </w:rPr>
        <w:t>RESUELVE</w:t>
      </w:r>
    </w:p>
    <w:p w:rsidR="005D3EBD" w:rsidRPr="00154B80" w:rsidRDefault="005D3EBD">
      <w:pPr>
        <w:spacing w:after="0" w:line="240" w:lineRule="auto"/>
        <w:ind w:right="-1"/>
        <w:jc w:val="both"/>
        <w:rPr>
          <w:rFonts w:ascii="Arial" w:hAnsi="Arial" w:cs="Arial"/>
          <w:b/>
        </w:rPr>
      </w:pPr>
    </w:p>
    <w:p w:rsidR="005D3EBD" w:rsidRPr="00154B80" w:rsidRDefault="00F008DC">
      <w:pPr>
        <w:spacing w:after="0" w:line="240" w:lineRule="auto"/>
        <w:ind w:right="-1"/>
        <w:jc w:val="both"/>
        <w:rPr>
          <w:rFonts w:ascii="Arial" w:hAnsi="Arial" w:cs="Arial"/>
          <w:b/>
        </w:rPr>
      </w:pPr>
      <w:r w:rsidRPr="00154B80">
        <w:rPr>
          <w:rFonts w:ascii="Arial" w:hAnsi="Arial" w:cs="Arial"/>
          <w:b/>
        </w:rPr>
        <w:t>Artículo 1</w:t>
      </w:r>
      <w:r w:rsidR="009B3F38" w:rsidRPr="00154B80">
        <w:rPr>
          <w:rFonts w:ascii="Arial" w:hAnsi="Arial" w:cs="Arial"/>
          <w:b/>
        </w:rPr>
        <w:t>o</w:t>
      </w:r>
      <w:r w:rsidRPr="00154B80">
        <w:rPr>
          <w:rFonts w:ascii="Arial" w:hAnsi="Arial" w:cs="Arial"/>
          <w:b/>
        </w:rPr>
        <w:t xml:space="preserve">. </w:t>
      </w:r>
      <w:r w:rsidR="00657730" w:rsidRPr="00154B80">
        <w:rPr>
          <w:rFonts w:ascii="Arial" w:hAnsi="Arial" w:cs="Arial"/>
        </w:rPr>
        <w:t xml:space="preserve">Modificar el artículo 5 de la Resolución No. 1 de 2016 de la </w:t>
      </w:r>
      <w:r w:rsidRPr="00154B80">
        <w:rPr>
          <w:rFonts w:ascii="Arial" w:hAnsi="Arial" w:cs="Arial"/>
        </w:rPr>
        <w:t>Comisión Nacional de Crédito Agropecuario, CNCA, el cual quedará así:</w:t>
      </w:r>
    </w:p>
    <w:p w:rsidR="005D3EBD" w:rsidRPr="00154B80" w:rsidRDefault="005D3EBD">
      <w:pPr>
        <w:spacing w:after="0" w:line="240" w:lineRule="auto"/>
        <w:ind w:right="-1"/>
        <w:jc w:val="both"/>
        <w:rPr>
          <w:rFonts w:ascii="Arial" w:hAnsi="Arial" w:cs="Arial"/>
          <w:b/>
        </w:rPr>
      </w:pPr>
    </w:p>
    <w:p w:rsidR="00DE2012" w:rsidRPr="00154B80" w:rsidRDefault="00F008DC">
      <w:pPr>
        <w:spacing w:after="0" w:line="240" w:lineRule="auto"/>
        <w:ind w:right="-1"/>
        <w:jc w:val="both"/>
        <w:rPr>
          <w:rFonts w:ascii="Arial" w:hAnsi="Arial" w:cs="Arial"/>
        </w:rPr>
      </w:pPr>
      <w:r w:rsidRPr="00154B80">
        <w:rPr>
          <w:rFonts w:ascii="Arial" w:hAnsi="Arial" w:cs="Arial"/>
          <w:b/>
        </w:rPr>
        <w:t>“</w:t>
      </w:r>
      <w:r w:rsidR="00657730" w:rsidRPr="00154B80">
        <w:rPr>
          <w:rFonts w:ascii="Arial" w:hAnsi="Arial" w:cs="Arial"/>
        </w:rPr>
        <w:t>Artículo 5</w:t>
      </w:r>
      <w:r w:rsidRPr="00154B80">
        <w:rPr>
          <w:rFonts w:ascii="Arial" w:hAnsi="Arial" w:cs="Arial"/>
        </w:rPr>
        <w:t xml:space="preserve">. </w:t>
      </w:r>
      <w:r w:rsidR="008E3502" w:rsidRPr="00154B80">
        <w:rPr>
          <w:rFonts w:ascii="Arial" w:hAnsi="Arial" w:cs="Arial"/>
        </w:rPr>
        <w:t>L</w:t>
      </w:r>
      <w:r w:rsidR="00D176C4" w:rsidRPr="00154B80">
        <w:rPr>
          <w:rFonts w:ascii="Arial" w:hAnsi="Arial" w:cs="Arial"/>
        </w:rPr>
        <w:t>as condiciones financieras de los crédi</w:t>
      </w:r>
      <w:r w:rsidR="00B87B6C" w:rsidRPr="00154B80">
        <w:rPr>
          <w:rFonts w:ascii="Arial" w:hAnsi="Arial" w:cs="Arial"/>
        </w:rPr>
        <w:t>tos podrán es</w:t>
      </w:r>
      <w:r w:rsidR="00DE2012" w:rsidRPr="00154B80">
        <w:rPr>
          <w:rFonts w:ascii="Arial" w:hAnsi="Arial" w:cs="Arial"/>
        </w:rPr>
        <w:t>tar indexadas a la DTF o al IBR, en los siguientes términos:</w:t>
      </w:r>
    </w:p>
    <w:p w:rsidR="009324D6" w:rsidRPr="00154B80" w:rsidRDefault="009324D6">
      <w:pPr>
        <w:spacing w:after="0" w:line="240" w:lineRule="auto"/>
        <w:ind w:right="-1"/>
        <w:jc w:val="both"/>
        <w:rPr>
          <w:rFonts w:ascii="Arial" w:hAnsi="Arial" w:cs="Arial"/>
        </w:rPr>
      </w:pPr>
    </w:p>
    <w:p w:rsidR="00DE2012" w:rsidRPr="00154B80" w:rsidRDefault="00235D8D" w:rsidP="004A16CF">
      <w:pPr>
        <w:pStyle w:val="Prrafodelista"/>
        <w:numPr>
          <w:ilvl w:val="0"/>
          <w:numId w:val="12"/>
        </w:numPr>
        <w:spacing w:after="0" w:line="240" w:lineRule="auto"/>
        <w:ind w:right="-1"/>
        <w:jc w:val="both"/>
        <w:rPr>
          <w:rFonts w:ascii="Arial" w:hAnsi="Arial" w:cs="Arial"/>
        </w:rPr>
      </w:pPr>
      <w:r w:rsidRPr="00154B80">
        <w:rPr>
          <w:rFonts w:ascii="Arial" w:hAnsi="Arial" w:cs="Arial"/>
        </w:rPr>
        <w:t>Condiciones financieras en DTF:</w:t>
      </w:r>
    </w:p>
    <w:p w:rsidR="009324D6" w:rsidRPr="00154B80" w:rsidRDefault="009324D6" w:rsidP="009324D6">
      <w:pPr>
        <w:pStyle w:val="Prrafodelista"/>
        <w:spacing w:after="0" w:line="240" w:lineRule="auto"/>
        <w:ind w:left="360" w:right="-1"/>
        <w:jc w:val="both"/>
        <w:rPr>
          <w:rFonts w:ascii="Arial" w:hAnsi="Arial" w:cs="Arial"/>
        </w:rPr>
      </w:pPr>
    </w:p>
    <w:tbl>
      <w:tblPr>
        <w:tblW w:w="4719" w:type="pct"/>
        <w:tblCellMar>
          <w:left w:w="0" w:type="dxa"/>
          <w:right w:w="0" w:type="dxa"/>
        </w:tblCellMar>
        <w:tblLook w:val="04A0" w:firstRow="1" w:lastRow="0" w:firstColumn="1" w:lastColumn="0" w:noHBand="0" w:noVBand="1"/>
      </w:tblPr>
      <w:tblGrid>
        <w:gridCol w:w="3375"/>
        <w:gridCol w:w="2361"/>
        <w:gridCol w:w="2271"/>
      </w:tblGrid>
      <w:tr w:rsidR="00F2072A" w:rsidRPr="00154B80" w:rsidTr="00F2072A">
        <w:trPr>
          <w:trHeight w:val="375"/>
        </w:trPr>
        <w:tc>
          <w:tcPr>
            <w:tcW w:w="5000" w:type="pct"/>
            <w:gridSpan w:val="3"/>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b/>
                <w:bCs/>
                <w:color w:val="000000"/>
                <w:sz w:val="18"/>
                <w:szCs w:val="18"/>
                <w:lang w:eastAsia="es-CO"/>
              </w:rPr>
            </w:pPr>
            <w:r w:rsidRPr="00154B80">
              <w:rPr>
                <w:rFonts w:ascii="Arial" w:hAnsi="Arial" w:cs="Arial"/>
                <w:b/>
                <w:bCs/>
                <w:color w:val="000000"/>
                <w:sz w:val="18"/>
                <w:szCs w:val="18"/>
                <w:lang w:eastAsia="es-CO"/>
              </w:rPr>
              <w:t>CONDICIONES FINANCIERAS EN DTF</w:t>
            </w:r>
          </w:p>
        </w:tc>
      </w:tr>
      <w:tr w:rsidR="00F2072A" w:rsidRPr="00154B80" w:rsidTr="00F2072A">
        <w:trPr>
          <w:trHeight w:val="433"/>
        </w:trPr>
        <w:tc>
          <w:tcPr>
            <w:tcW w:w="2630" w:type="pct"/>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b/>
                <w:bCs/>
                <w:color w:val="000000"/>
                <w:sz w:val="18"/>
                <w:szCs w:val="18"/>
                <w:lang w:eastAsia="es-CO"/>
              </w:rPr>
            </w:pPr>
            <w:r w:rsidRPr="00154B80">
              <w:rPr>
                <w:rFonts w:ascii="Arial" w:hAnsi="Arial" w:cs="Arial"/>
                <w:b/>
                <w:bCs/>
                <w:color w:val="000000"/>
                <w:sz w:val="18"/>
                <w:szCs w:val="18"/>
                <w:lang w:eastAsia="es-CO"/>
              </w:rPr>
              <w:t>TIPO DE PRODUCTOR</w:t>
            </w:r>
          </w:p>
        </w:tc>
        <w:tc>
          <w:tcPr>
            <w:tcW w:w="1132"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b/>
                <w:bCs/>
                <w:color w:val="000000"/>
                <w:sz w:val="18"/>
                <w:szCs w:val="18"/>
                <w:lang w:eastAsia="es-CO"/>
              </w:rPr>
            </w:pPr>
            <w:r w:rsidRPr="00154B80">
              <w:rPr>
                <w:rFonts w:ascii="Arial" w:hAnsi="Arial" w:cs="Arial"/>
                <w:b/>
                <w:bCs/>
                <w:color w:val="000000"/>
                <w:sz w:val="18"/>
                <w:szCs w:val="18"/>
                <w:lang w:eastAsia="es-CO"/>
              </w:rPr>
              <w:t>TASA DE REDESCUENTO</w:t>
            </w:r>
          </w:p>
        </w:tc>
        <w:tc>
          <w:tcPr>
            <w:tcW w:w="1237" w:type="pct"/>
            <w:vMerge w:val="restart"/>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b/>
                <w:bCs/>
                <w:color w:val="000000"/>
                <w:sz w:val="18"/>
                <w:szCs w:val="18"/>
                <w:lang w:eastAsia="es-CO"/>
              </w:rPr>
            </w:pPr>
            <w:r w:rsidRPr="00154B80">
              <w:rPr>
                <w:rFonts w:ascii="Arial" w:hAnsi="Arial" w:cs="Arial"/>
                <w:b/>
                <w:bCs/>
                <w:color w:val="000000"/>
                <w:sz w:val="18"/>
                <w:szCs w:val="18"/>
                <w:lang w:eastAsia="es-CO"/>
              </w:rPr>
              <w:t>TASA DE INTERÉS</w:t>
            </w:r>
          </w:p>
        </w:tc>
      </w:tr>
      <w:tr w:rsidR="00F2072A" w:rsidRPr="00154B80" w:rsidTr="00F2072A">
        <w:trPr>
          <w:trHeight w:val="450"/>
        </w:trPr>
        <w:tc>
          <w:tcPr>
            <w:tcW w:w="2630" w:type="pct"/>
            <w:vMerge/>
            <w:tcBorders>
              <w:top w:val="nil"/>
              <w:left w:val="single" w:sz="8" w:space="0" w:color="auto"/>
              <w:bottom w:val="single" w:sz="8" w:space="0" w:color="000000"/>
              <w:right w:val="single" w:sz="8" w:space="0" w:color="auto"/>
            </w:tcBorders>
            <w:vAlign w:val="center"/>
            <w:hideMark/>
          </w:tcPr>
          <w:p w:rsidR="00F2072A" w:rsidRPr="00154B80" w:rsidRDefault="00F2072A" w:rsidP="00F2072A">
            <w:pPr>
              <w:spacing w:after="0" w:line="240" w:lineRule="auto"/>
              <w:rPr>
                <w:rFonts w:ascii="Arial" w:hAnsi="Arial" w:cs="Arial"/>
                <w:b/>
                <w:bCs/>
                <w:color w:val="000000"/>
                <w:sz w:val="18"/>
                <w:szCs w:val="18"/>
                <w:lang w:eastAsia="es-CO"/>
              </w:rPr>
            </w:pPr>
          </w:p>
        </w:tc>
        <w:tc>
          <w:tcPr>
            <w:tcW w:w="1132" w:type="pct"/>
            <w:vMerge/>
            <w:tcBorders>
              <w:top w:val="nil"/>
              <w:left w:val="nil"/>
              <w:bottom w:val="single" w:sz="8" w:space="0" w:color="000000"/>
              <w:right w:val="single" w:sz="8" w:space="0" w:color="auto"/>
            </w:tcBorders>
            <w:vAlign w:val="center"/>
            <w:hideMark/>
          </w:tcPr>
          <w:p w:rsidR="00F2072A" w:rsidRPr="00154B80" w:rsidRDefault="00F2072A" w:rsidP="00F2072A">
            <w:pPr>
              <w:spacing w:after="0" w:line="240" w:lineRule="auto"/>
              <w:rPr>
                <w:rFonts w:ascii="Arial" w:hAnsi="Arial" w:cs="Arial"/>
                <w:b/>
                <w:bCs/>
                <w:color w:val="000000"/>
                <w:sz w:val="18"/>
                <w:szCs w:val="18"/>
                <w:lang w:eastAsia="es-CO"/>
              </w:rPr>
            </w:pPr>
          </w:p>
        </w:tc>
        <w:tc>
          <w:tcPr>
            <w:tcW w:w="1237" w:type="pct"/>
            <w:vMerge/>
            <w:tcBorders>
              <w:top w:val="nil"/>
              <w:left w:val="nil"/>
              <w:bottom w:val="single" w:sz="8" w:space="0" w:color="000000"/>
              <w:right w:val="single" w:sz="8" w:space="0" w:color="000000"/>
            </w:tcBorders>
            <w:vAlign w:val="center"/>
            <w:hideMark/>
          </w:tcPr>
          <w:p w:rsidR="00F2072A" w:rsidRPr="00154B80" w:rsidRDefault="00F2072A" w:rsidP="00F2072A">
            <w:pPr>
              <w:spacing w:after="0" w:line="240" w:lineRule="auto"/>
              <w:rPr>
                <w:rFonts w:ascii="Arial" w:hAnsi="Arial" w:cs="Arial"/>
                <w:b/>
                <w:bCs/>
                <w:color w:val="000000"/>
                <w:sz w:val="18"/>
                <w:szCs w:val="18"/>
                <w:lang w:eastAsia="es-CO"/>
              </w:rPr>
            </w:pPr>
          </w:p>
        </w:tc>
      </w:tr>
      <w:tr w:rsidR="00F2072A" w:rsidRPr="00154B80" w:rsidTr="00F2072A">
        <w:trPr>
          <w:trHeight w:val="289"/>
        </w:trPr>
        <w:tc>
          <w:tcPr>
            <w:tcW w:w="26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rPr>
                <w:rFonts w:ascii="Arial" w:hAnsi="Arial" w:cs="Arial"/>
                <w:color w:val="000000"/>
                <w:sz w:val="18"/>
                <w:szCs w:val="18"/>
                <w:lang w:eastAsia="es-CO"/>
              </w:rPr>
            </w:pPr>
            <w:r w:rsidRPr="00154B80">
              <w:rPr>
                <w:rFonts w:ascii="Arial" w:hAnsi="Arial" w:cs="Arial"/>
                <w:color w:val="000000"/>
                <w:sz w:val="18"/>
                <w:szCs w:val="18"/>
                <w:lang w:eastAsia="es-CO"/>
              </w:rPr>
              <w:t>Pequeños Productores</w:t>
            </w:r>
          </w:p>
        </w:tc>
        <w:tc>
          <w:tcPr>
            <w:tcW w:w="113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DTF - 2.5%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c>
          <w:tcPr>
            <w:tcW w:w="1237" w:type="pct"/>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Hasta DTF + 7%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r>
      <w:tr w:rsidR="00F2072A" w:rsidRPr="00154B80" w:rsidTr="00F2072A">
        <w:trPr>
          <w:trHeight w:val="289"/>
        </w:trPr>
        <w:tc>
          <w:tcPr>
            <w:tcW w:w="26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rPr>
                <w:rFonts w:ascii="Arial" w:hAnsi="Arial" w:cs="Arial"/>
                <w:color w:val="000000"/>
                <w:sz w:val="18"/>
                <w:szCs w:val="18"/>
                <w:lang w:eastAsia="es-CO"/>
              </w:rPr>
            </w:pPr>
            <w:r w:rsidRPr="00154B80">
              <w:rPr>
                <w:rFonts w:ascii="Arial" w:hAnsi="Arial" w:cs="Arial"/>
                <w:color w:val="000000"/>
                <w:sz w:val="18"/>
                <w:szCs w:val="18"/>
                <w:lang w:eastAsia="es-CO"/>
              </w:rPr>
              <w:t>Joven Rural</w:t>
            </w:r>
          </w:p>
        </w:tc>
        <w:tc>
          <w:tcPr>
            <w:tcW w:w="113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DTF - 2.5%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c>
          <w:tcPr>
            <w:tcW w:w="1237" w:type="pct"/>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Hasta DTF + 7%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r>
      <w:tr w:rsidR="00F2072A" w:rsidRPr="00154B80" w:rsidTr="00F2072A">
        <w:trPr>
          <w:trHeight w:val="289"/>
        </w:trPr>
        <w:tc>
          <w:tcPr>
            <w:tcW w:w="26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rPr>
                <w:rFonts w:ascii="Arial" w:hAnsi="Arial" w:cs="Arial"/>
                <w:color w:val="000000"/>
                <w:sz w:val="18"/>
                <w:szCs w:val="18"/>
                <w:lang w:eastAsia="es-CO"/>
              </w:rPr>
            </w:pPr>
            <w:r w:rsidRPr="00154B80">
              <w:rPr>
                <w:rFonts w:ascii="Arial" w:hAnsi="Arial" w:cs="Arial"/>
                <w:color w:val="000000"/>
                <w:sz w:val="18"/>
                <w:szCs w:val="18"/>
                <w:lang w:eastAsia="es-CO"/>
              </w:rPr>
              <w:t>Comunidades Negras</w:t>
            </w:r>
          </w:p>
        </w:tc>
        <w:tc>
          <w:tcPr>
            <w:tcW w:w="113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DTF - 2.5%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c>
          <w:tcPr>
            <w:tcW w:w="1237" w:type="pct"/>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Hasta DTF + 7%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r>
      <w:tr w:rsidR="00F2072A" w:rsidRPr="00154B80" w:rsidTr="00F2072A">
        <w:trPr>
          <w:trHeight w:val="289"/>
        </w:trPr>
        <w:tc>
          <w:tcPr>
            <w:tcW w:w="26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rPr>
                <w:rFonts w:ascii="Arial" w:hAnsi="Arial" w:cs="Arial"/>
                <w:color w:val="000000"/>
                <w:sz w:val="18"/>
                <w:szCs w:val="18"/>
                <w:lang w:eastAsia="es-CO"/>
              </w:rPr>
            </w:pPr>
            <w:r w:rsidRPr="00154B80">
              <w:rPr>
                <w:rFonts w:ascii="Arial" w:hAnsi="Arial" w:cs="Arial"/>
                <w:color w:val="000000"/>
                <w:sz w:val="18"/>
                <w:szCs w:val="18"/>
                <w:lang w:eastAsia="es-CO"/>
              </w:rPr>
              <w:t>Mujeres Rurales de Bajos Ingresos</w:t>
            </w:r>
          </w:p>
        </w:tc>
        <w:tc>
          <w:tcPr>
            <w:tcW w:w="113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DTF - 2.5%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c>
          <w:tcPr>
            <w:tcW w:w="1237" w:type="pct"/>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Hasta DTF + 5%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r>
      <w:tr w:rsidR="00F2072A" w:rsidRPr="00154B80" w:rsidTr="00F2072A">
        <w:trPr>
          <w:trHeight w:val="289"/>
        </w:trPr>
        <w:tc>
          <w:tcPr>
            <w:tcW w:w="26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rPr>
                <w:rFonts w:ascii="Arial" w:hAnsi="Arial" w:cs="Arial"/>
                <w:color w:val="000000"/>
                <w:sz w:val="18"/>
                <w:szCs w:val="18"/>
                <w:lang w:eastAsia="es-CO"/>
              </w:rPr>
            </w:pPr>
            <w:r w:rsidRPr="00154B80">
              <w:rPr>
                <w:rFonts w:ascii="Arial" w:hAnsi="Arial" w:cs="Arial"/>
                <w:color w:val="000000"/>
                <w:sz w:val="18"/>
                <w:szCs w:val="18"/>
                <w:lang w:eastAsia="es-CO"/>
              </w:rPr>
              <w:t>Victimas conflicto armado interno</w:t>
            </w:r>
          </w:p>
        </w:tc>
        <w:tc>
          <w:tcPr>
            <w:tcW w:w="113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DTF - 3.5%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c>
          <w:tcPr>
            <w:tcW w:w="1237" w:type="pct"/>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Hasta DTF + 2%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r>
      <w:tr w:rsidR="00F2072A" w:rsidRPr="00154B80" w:rsidTr="00F2072A">
        <w:trPr>
          <w:trHeight w:val="289"/>
        </w:trPr>
        <w:tc>
          <w:tcPr>
            <w:tcW w:w="26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rPr>
                <w:rFonts w:ascii="Arial" w:hAnsi="Arial" w:cs="Arial"/>
                <w:color w:val="000000"/>
                <w:sz w:val="18"/>
                <w:szCs w:val="18"/>
                <w:lang w:eastAsia="es-CO"/>
              </w:rPr>
            </w:pPr>
            <w:r w:rsidRPr="00154B80">
              <w:rPr>
                <w:rFonts w:ascii="Arial" w:hAnsi="Arial" w:cs="Arial"/>
                <w:color w:val="000000"/>
                <w:sz w:val="18"/>
                <w:szCs w:val="18"/>
                <w:lang w:eastAsia="es-CO"/>
              </w:rPr>
              <w:t>Población reinsertada</w:t>
            </w:r>
          </w:p>
        </w:tc>
        <w:tc>
          <w:tcPr>
            <w:tcW w:w="113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DTF - 3.5%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c>
          <w:tcPr>
            <w:tcW w:w="1237" w:type="pct"/>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Hasta DTF + 2%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r>
      <w:tr w:rsidR="00F2072A" w:rsidRPr="00154B80" w:rsidTr="00F2072A">
        <w:trPr>
          <w:trHeight w:val="578"/>
        </w:trPr>
        <w:tc>
          <w:tcPr>
            <w:tcW w:w="263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072A" w:rsidRPr="00154B80" w:rsidRDefault="00F2072A" w:rsidP="00F2072A">
            <w:pPr>
              <w:spacing w:after="0" w:line="240" w:lineRule="auto"/>
              <w:rPr>
                <w:rFonts w:ascii="Arial" w:hAnsi="Arial" w:cs="Arial"/>
                <w:color w:val="000000"/>
                <w:sz w:val="18"/>
                <w:szCs w:val="18"/>
                <w:lang w:eastAsia="es-CO"/>
              </w:rPr>
            </w:pPr>
            <w:r w:rsidRPr="00154B80">
              <w:rPr>
                <w:rFonts w:ascii="Arial" w:hAnsi="Arial" w:cs="Arial"/>
                <w:color w:val="000000"/>
                <w:sz w:val="18"/>
                <w:szCs w:val="18"/>
                <w:lang w:eastAsia="es-CO"/>
              </w:rPr>
              <w:t>Población que ejecute programas de desarrollo alternativo</w:t>
            </w:r>
          </w:p>
        </w:tc>
        <w:tc>
          <w:tcPr>
            <w:tcW w:w="113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DTF - 3.5%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c>
          <w:tcPr>
            <w:tcW w:w="1237" w:type="pct"/>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Hasta DTF + 2%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r>
      <w:tr w:rsidR="00F2072A" w:rsidRPr="00154B80" w:rsidTr="00F2072A">
        <w:trPr>
          <w:trHeight w:val="578"/>
        </w:trPr>
        <w:tc>
          <w:tcPr>
            <w:tcW w:w="263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072A" w:rsidRPr="00154B80" w:rsidRDefault="00F2072A" w:rsidP="00F2072A">
            <w:pPr>
              <w:spacing w:after="0" w:line="240" w:lineRule="auto"/>
              <w:rPr>
                <w:rFonts w:ascii="Arial" w:hAnsi="Arial" w:cs="Arial"/>
                <w:color w:val="000000"/>
                <w:sz w:val="18"/>
                <w:szCs w:val="18"/>
                <w:lang w:eastAsia="es-CO"/>
              </w:rPr>
            </w:pPr>
            <w:r w:rsidRPr="00154B80">
              <w:rPr>
                <w:rFonts w:ascii="Arial" w:hAnsi="Arial" w:cs="Arial"/>
                <w:color w:val="000000"/>
                <w:sz w:val="18"/>
                <w:szCs w:val="18"/>
                <w:lang w:eastAsia="es-CO"/>
              </w:rPr>
              <w:t>Pequeños Productores - Zonas de Reserva Campesina</w:t>
            </w:r>
          </w:p>
        </w:tc>
        <w:tc>
          <w:tcPr>
            <w:tcW w:w="113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DTF - 2.5%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c>
          <w:tcPr>
            <w:tcW w:w="1237" w:type="pct"/>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Hasta DTF + 6%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r>
      <w:tr w:rsidR="00F2072A" w:rsidRPr="00154B80" w:rsidTr="00F2072A">
        <w:trPr>
          <w:trHeight w:val="289"/>
        </w:trPr>
        <w:tc>
          <w:tcPr>
            <w:tcW w:w="26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rPr>
                <w:rFonts w:ascii="Arial" w:hAnsi="Arial" w:cs="Arial"/>
                <w:color w:val="000000"/>
                <w:sz w:val="18"/>
                <w:szCs w:val="18"/>
                <w:lang w:eastAsia="es-CO"/>
              </w:rPr>
            </w:pPr>
            <w:r w:rsidRPr="00154B80">
              <w:rPr>
                <w:rFonts w:ascii="Arial" w:hAnsi="Arial" w:cs="Arial"/>
                <w:color w:val="000000"/>
                <w:sz w:val="18"/>
                <w:szCs w:val="18"/>
                <w:lang w:eastAsia="es-CO"/>
              </w:rPr>
              <w:t>Medianos Productores</w:t>
            </w:r>
          </w:p>
        </w:tc>
        <w:tc>
          <w:tcPr>
            <w:tcW w:w="113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DTF + 1%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c>
          <w:tcPr>
            <w:tcW w:w="1237" w:type="pct"/>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Hasta DTF + 10%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r>
      <w:tr w:rsidR="00F2072A" w:rsidRPr="00154B80" w:rsidTr="00F2072A">
        <w:trPr>
          <w:trHeight w:val="289"/>
        </w:trPr>
        <w:tc>
          <w:tcPr>
            <w:tcW w:w="26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rPr>
                <w:rFonts w:ascii="Arial" w:hAnsi="Arial" w:cs="Arial"/>
                <w:color w:val="000000"/>
                <w:sz w:val="18"/>
                <w:szCs w:val="18"/>
                <w:lang w:eastAsia="es-CO"/>
              </w:rPr>
            </w:pPr>
            <w:r w:rsidRPr="00154B80">
              <w:rPr>
                <w:rFonts w:ascii="Arial" w:hAnsi="Arial" w:cs="Arial"/>
                <w:color w:val="000000"/>
                <w:sz w:val="18"/>
                <w:szCs w:val="18"/>
                <w:lang w:eastAsia="es-CO"/>
              </w:rPr>
              <w:t>Grandes Productores</w:t>
            </w:r>
          </w:p>
        </w:tc>
        <w:tc>
          <w:tcPr>
            <w:tcW w:w="113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DTF + 2%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c>
          <w:tcPr>
            <w:tcW w:w="1237" w:type="pct"/>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Hasta DTF + 10%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r>
      <w:tr w:rsidR="00F2072A" w:rsidRPr="00154B80" w:rsidTr="00F2072A">
        <w:trPr>
          <w:trHeight w:val="289"/>
        </w:trPr>
        <w:tc>
          <w:tcPr>
            <w:tcW w:w="26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rPr>
                <w:rFonts w:ascii="Arial" w:hAnsi="Arial" w:cs="Arial"/>
                <w:color w:val="000000"/>
                <w:sz w:val="18"/>
                <w:szCs w:val="18"/>
                <w:lang w:eastAsia="es-CO"/>
              </w:rPr>
            </w:pPr>
            <w:r w:rsidRPr="00154B80">
              <w:rPr>
                <w:rFonts w:ascii="Arial" w:hAnsi="Arial" w:cs="Arial"/>
                <w:color w:val="000000"/>
                <w:sz w:val="18"/>
                <w:szCs w:val="18"/>
                <w:lang w:eastAsia="es-CO"/>
              </w:rPr>
              <w:lastRenderedPageBreak/>
              <w:t>Esquema Asociativo</w:t>
            </w:r>
          </w:p>
        </w:tc>
        <w:tc>
          <w:tcPr>
            <w:tcW w:w="113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DTF - 3.5%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c>
          <w:tcPr>
            <w:tcW w:w="1237" w:type="pct"/>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Hasta DTF + 5%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r>
      <w:tr w:rsidR="00F2072A" w:rsidRPr="00154B80" w:rsidTr="00F2072A">
        <w:trPr>
          <w:trHeight w:val="289"/>
        </w:trPr>
        <w:tc>
          <w:tcPr>
            <w:tcW w:w="26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rPr>
                <w:rFonts w:ascii="Arial" w:hAnsi="Arial" w:cs="Arial"/>
                <w:color w:val="000000"/>
                <w:sz w:val="18"/>
                <w:szCs w:val="18"/>
                <w:lang w:eastAsia="es-CO"/>
              </w:rPr>
            </w:pPr>
            <w:r w:rsidRPr="00154B80">
              <w:rPr>
                <w:rFonts w:ascii="Arial" w:hAnsi="Arial" w:cs="Arial"/>
                <w:color w:val="000000"/>
                <w:sz w:val="18"/>
                <w:szCs w:val="18"/>
                <w:lang w:eastAsia="es-CO"/>
              </w:rPr>
              <w:t>Esquema de Integración</w:t>
            </w:r>
          </w:p>
        </w:tc>
        <w:tc>
          <w:tcPr>
            <w:tcW w:w="113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DTF - 1%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c>
          <w:tcPr>
            <w:tcW w:w="1237" w:type="pct"/>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Hasta DTF + 7%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r>
      <w:tr w:rsidR="00F2072A" w:rsidRPr="00154B80" w:rsidTr="00F2072A">
        <w:trPr>
          <w:trHeight w:val="289"/>
        </w:trPr>
        <w:tc>
          <w:tcPr>
            <w:tcW w:w="26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rPr>
                <w:rFonts w:ascii="Arial" w:hAnsi="Arial" w:cs="Arial"/>
                <w:color w:val="000000"/>
                <w:sz w:val="18"/>
                <w:szCs w:val="18"/>
                <w:lang w:eastAsia="es-CO"/>
              </w:rPr>
            </w:pPr>
            <w:r w:rsidRPr="00154B80">
              <w:rPr>
                <w:rFonts w:ascii="Arial" w:hAnsi="Arial" w:cs="Arial"/>
                <w:color w:val="000000"/>
                <w:sz w:val="18"/>
                <w:szCs w:val="18"/>
                <w:lang w:eastAsia="es-CO"/>
              </w:rPr>
              <w:t>Microcrédito</w:t>
            </w:r>
          </w:p>
        </w:tc>
        <w:tc>
          <w:tcPr>
            <w:tcW w:w="113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DTF + 2.5%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c>
          <w:tcPr>
            <w:tcW w:w="1237" w:type="pct"/>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Hasta la máxima permitida</w:t>
            </w:r>
          </w:p>
        </w:tc>
      </w:tr>
      <w:tr w:rsidR="00F2072A" w:rsidRPr="00154B80" w:rsidTr="00F2072A">
        <w:trPr>
          <w:trHeight w:val="303"/>
        </w:trPr>
        <w:tc>
          <w:tcPr>
            <w:tcW w:w="26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rPr>
                <w:rFonts w:ascii="Arial" w:hAnsi="Arial" w:cs="Arial"/>
                <w:color w:val="000000"/>
                <w:sz w:val="18"/>
                <w:szCs w:val="18"/>
                <w:lang w:eastAsia="es-CO"/>
              </w:rPr>
            </w:pPr>
            <w:r w:rsidRPr="00154B80">
              <w:rPr>
                <w:rFonts w:ascii="Arial" w:hAnsi="Arial" w:cs="Arial"/>
                <w:color w:val="000000"/>
                <w:sz w:val="18"/>
                <w:szCs w:val="18"/>
                <w:lang w:eastAsia="es-CO"/>
              </w:rPr>
              <w:t>Departamentos, Distritos y Municipios</w:t>
            </w:r>
          </w:p>
        </w:tc>
        <w:tc>
          <w:tcPr>
            <w:tcW w:w="1132"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DTF - 2.5%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c>
          <w:tcPr>
            <w:tcW w:w="1237" w:type="pct"/>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F2072A" w:rsidRPr="00154B80" w:rsidRDefault="00F2072A" w:rsidP="00F2072A">
            <w:pPr>
              <w:spacing w:after="0" w:line="240" w:lineRule="auto"/>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Hasta DTF + 10% </w:t>
            </w:r>
            <w:proofErr w:type="spellStart"/>
            <w:r w:rsidRPr="00154B80">
              <w:rPr>
                <w:rFonts w:ascii="Arial" w:hAnsi="Arial" w:cs="Arial"/>
                <w:color w:val="000000"/>
                <w:sz w:val="18"/>
                <w:szCs w:val="18"/>
                <w:lang w:eastAsia="es-CO"/>
              </w:rPr>
              <w:t>e.a</w:t>
            </w:r>
            <w:proofErr w:type="spellEnd"/>
            <w:r w:rsidRPr="00154B80">
              <w:rPr>
                <w:rFonts w:ascii="Arial" w:hAnsi="Arial" w:cs="Arial"/>
                <w:color w:val="000000"/>
                <w:sz w:val="18"/>
                <w:szCs w:val="18"/>
                <w:lang w:eastAsia="es-CO"/>
              </w:rPr>
              <w:t>.</w:t>
            </w:r>
          </w:p>
        </w:tc>
      </w:tr>
    </w:tbl>
    <w:p w:rsidR="00DE2012" w:rsidRPr="00154B80" w:rsidRDefault="00DE2012" w:rsidP="00EE617F">
      <w:pPr>
        <w:spacing w:after="0" w:line="240" w:lineRule="auto"/>
        <w:ind w:right="-1"/>
        <w:jc w:val="center"/>
        <w:rPr>
          <w:rFonts w:ascii="Arial" w:hAnsi="Arial" w:cs="Arial"/>
          <w:lang w:val="es-CO"/>
        </w:rPr>
      </w:pPr>
    </w:p>
    <w:p w:rsidR="00DE2012" w:rsidRPr="00154B80" w:rsidRDefault="00F2072A" w:rsidP="00DB26D1">
      <w:pPr>
        <w:pStyle w:val="Prrafodelista"/>
        <w:numPr>
          <w:ilvl w:val="0"/>
          <w:numId w:val="13"/>
        </w:numPr>
        <w:spacing w:after="0" w:line="240" w:lineRule="auto"/>
        <w:ind w:left="270" w:hanging="142"/>
        <w:jc w:val="both"/>
        <w:rPr>
          <w:rFonts w:ascii="Arial" w:hAnsi="Arial" w:cs="Arial"/>
        </w:rPr>
      </w:pPr>
      <w:r w:rsidRPr="00154B80">
        <w:rPr>
          <w:rFonts w:ascii="Arial" w:hAnsi="Arial" w:cs="Arial"/>
          <w:color w:val="000000"/>
          <w:lang w:eastAsia="es-CO"/>
        </w:rPr>
        <w:t xml:space="preserve">Para </w:t>
      </w:r>
      <w:r w:rsidRPr="00154B80">
        <w:rPr>
          <w:rFonts w:ascii="Arial" w:hAnsi="Arial" w:cs="Arial"/>
          <w:color w:val="000000"/>
          <w:szCs w:val="20"/>
          <w:lang w:eastAsia="es-CO"/>
        </w:rPr>
        <w:t>efectos</w:t>
      </w:r>
      <w:r w:rsidRPr="00154B80">
        <w:rPr>
          <w:rFonts w:ascii="Arial" w:hAnsi="Arial" w:cs="Arial"/>
          <w:color w:val="000000"/>
          <w:lang w:eastAsia="es-CO"/>
        </w:rPr>
        <w:t xml:space="preserve"> de determinar la tasa se toma la DTF efectiva anual (</w:t>
      </w:r>
      <w:proofErr w:type="spellStart"/>
      <w:r w:rsidRPr="00154B80">
        <w:rPr>
          <w:rFonts w:ascii="Arial" w:hAnsi="Arial" w:cs="Arial"/>
          <w:color w:val="000000"/>
          <w:lang w:eastAsia="es-CO"/>
        </w:rPr>
        <w:t>e.a</w:t>
      </w:r>
      <w:proofErr w:type="spellEnd"/>
      <w:r w:rsidRPr="00154B80">
        <w:rPr>
          <w:rFonts w:ascii="Arial" w:hAnsi="Arial" w:cs="Arial"/>
          <w:color w:val="000000"/>
          <w:lang w:eastAsia="es-CO"/>
        </w:rPr>
        <w:t>.)</w:t>
      </w:r>
      <w:r w:rsidR="00E30E04" w:rsidRPr="00154B80">
        <w:rPr>
          <w:rFonts w:ascii="Arial" w:hAnsi="Arial" w:cs="Arial"/>
          <w:color w:val="000000"/>
          <w:lang w:eastAsia="es-CO"/>
        </w:rPr>
        <w:t>.</w:t>
      </w:r>
    </w:p>
    <w:p w:rsidR="00366C08" w:rsidRPr="00154B80" w:rsidRDefault="00366C08">
      <w:pPr>
        <w:spacing w:after="0" w:line="240" w:lineRule="auto"/>
        <w:ind w:right="-1"/>
        <w:jc w:val="both"/>
        <w:rPr>
          <w:rFonts w:ascii="Arial" w:hAnsi="Arial" w:cs="Arial"/>
        </w:rPr>
      </w:pPr>
    </w:p>
    <w:p w:rsidR="00366C08" w:rsidRPr="00154B80" w:rsidRDefault="00366C08">
      <w:pPr>
        <w:spacing w:after="0" w:line="240" w:lineRule="auto"/>
        <w:ind w:right="-1"/>
        <w:jc w:val="both"/>
        <w:rPr>
          <w:rFonts w:ascii="Arial" w:hAnsi="Arial" w:cs="Arial"/>
        </w:rPr>
      </w:pPr>
    </w:p>
    <w:p w:rsidR="004A16CF" w:rsidRPr="00154B80" w:rsidRDefault="004A16CF" w:rsidP="004A16CF">
      <w:pPr>
        <w:pStyle w:val="Prrafodelista"/>
        <w:numPr>
          <w:ilvl w:val="0"/>
          <w:numId w:val="12"/>
        </w:numPr>
        <w:spacing w:after="0" w:line="240" w:lineRule="auto"/>
        <w:ind w:right="-1"/>
        <w:jc w:val="both"/>
        <w:rPr>
          <w:rFonts w:ascii="Arial" w:hAnsi="Arial" w:cs="Arial"/>
        </w:rPr>
      </w:pPr>
      <w:r w:rsidRPr="00154B80">
        <w:rPr>
          <w:rFonts w:ascii="Arial" w:hAnsi="Arial" w:cs="Arial"/>
        </w:rPr>
        <w:t>Condiciones financieras en IBR:</w:t>
      </w:r>
    </w:p>
    <w:p w:rsidR="009324D6" w:rsidRPr="00154B80" w:rsidRDefault="009324D6" w:rsidP="009324D6">
      <w:pPr>
        <w:pStyle w:val="Prrafodelista"/>
        <w:spacing w:after="0" w:line="240" w:lineRule="auto"/>
        <w:ind w:left="360" w:right="-1"/>
        <w:jc w:val="both"/>
        <w:rPr>
          <w:rFonts w:ascii="Arial" w:hAnsi="Arial" w:cs="Arial"/>
        </w:rPr>
      </w:pPr>
    </w:p>
    <w:tbl>
      <w:tblPr>
        <w:tblW w:w="8680" w:type="dxa"/>
        <w:tblInd w:w="2" w:type="dxa"/>
        <w:tblCellMar>
          <w:left w:w="0" w:type="dxa"/>
          <w:right w:w="0" w:type="dxa"/>
        </w:tblCellMar>
        <w:tblLook w:val="04A0" w:firstRow="1" w:lastRow="0" w:firstColumn="1" w:lastColumn="0" w:noHBand="0" w:noVBand="1"/>
      </w:tblPr>
      <w:tblGrid>
        <w:gridCol w:w="3962"/>
        <w:gridCol w:w="2263"/>
        <w:gridCol w:w="2455"/>
      </w:tblGrid>
      <w:tr w:rsidR="00A60D92" w:rsidRPr="00154B80" w:rsidTr="00A60D92">
        <w:trPr>
          <w:trHeight w:val="338"/>
        </w:trPr>
        <w:tc>
          <w:tcPr>
            <w:tcW w:w="8680" w:type="dxa"/>
            <w:gridSpan w:val="3"/>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b/>
                <w:bCs/>
                <w:color w:val="000000"/>
                <w:sz w:val="18"/>
                <w:szCs w:val="18"/>
                <w:lang w:eastAsia="es-CO"/>
              </w:rPr>
            </w:pPr>
            <w:r w:rsidRPr="00154B80">
              <w:rPr>
                <w:rFonts w:ascii="Arial" w:hAnsi="Arial" w:cs="Arial"/>
                <w:b/>
                <w:bCs/>
                <w:color w:val="000000"/>
                <w:sz w:val="18"/>
                <w:szCs w:val="18"/>
                <w:lang w:eastAsia="es-CO"/>
              </w:rPr>
              <w:t>CONDICIONES FINANCIERAS EN IBR</w:t>
            </w:r>
          </w:p>
        </w:tc>
      </w:tr>
      <w:tr w:rsidR="00A60D92" w:rsidRPr="00154B80" w:rsidTr="00A60D92">
        <w:trPr>
          <w:trHeight w:val="437"/>
        </w:trPr>
        <w:tc>
          <w:tcPr>
            <w:tcW w:w="3962"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60D92" w:rsidRPr="00154B80" w:rsidRDefault="00A60D92" w:rsidP="00A60D92">
            <w:pPr>
              <w:spacing w:after="0"/>
              <w:jc w:val="center"/>
              <w:rPr>
                <w:rFonts w:ascii="Arial" w:hAnsi="Arial" w:cs="Arial"/>
                <w:b/>
                <w:bCs/>
                <w:color w:val="000000"/>
                <w:sz w:val="18"/>
                <w:szCs w:val="18"/>
                <w:lang w:eastAsia="es-CO"/>
              </w:rPr>
            </w:pPr>
            <w:r w:rsidRPr="00154B80">
              <w:rPr>
                <w:rFonts w:ascii="Arial" w:hAnsi="Arial" w:cs="Arial"/>
                <w:b/>
                <w:bCs/>
                <w:color w:val="000000"/>
                <w:sz w:val="18"/>
                <w:szCs w:val="18"/>
                <w:lang w:eastAsia="es-CO"/>
              </w:rPr>
              <w:t>TIPO DE PRODUCTOR</w:t>
            </w:r>
          </w:p>
        </w:tc>
        <w:tc>
          <w:tcPr>
            <w:tcW w:w="2263"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A60D92" w:rsidRPr="00154B80" w:rsidRDefault="00A60D92" w:rsidP="00A60D92">
            <w:pPr>
              <w:spacing w:after="0"/>
              <w:jc w:val="center"/>
              <w:rPr>
                <w:rFonts w:ascii="Arial" w:hAnsi="Arial" w:cs="Arial"/>
                <w:b/>
                <w:bCs/>
                <w:color w:val="000000"/>
                <w:sz w:val="18"/>
                <w:szCs w:val="18"/>
                <w:lang w:eastAsia="es-CO"/>
              </w:rPr>
            </w:pPr>
            <w:r w:rsidRPr="00154B80">
              <w:rPr>
                <w:rFonts w:ascii="Arial" w:hAnsi="Arial" w:cs="Arial"/>
                <w:b/>
                <w:bCs/>
                <w:color w:val="000000"/>
                <w:sz w:val="18"/>
                <w:szCs w:val="18"/>
                <w:lang w:eastAsia="es-CO"/>
              </w:rPr>
              <w:t>TASA DE REDESCUENTO</w:t>
            </w:r>
            <w:r w:rsidRPr="00154B80">
              <w:rPr>
                <w:rFonts w:ascii="Arial" w:hAnsi="Arial" w:cs="Arial"/>
                <w:b/>
                <w:bCs/>
                <w:color w:val="000000"/>
                <w:sz w:val="18"/>
                <w:szCs w:val="18"/>
                <w:lang w:eastAsia="es-CO"/>
              </w:rPr>
              <w:br/>
              <w:t>nominal</w:t>
            </w:r>
          </w:p>
        </w:tc>
        <w:tc>
          <w:tcPr>
            <w:tcW w:w="2455" w:type="dxa"/>
            <w:vMerge w:val="restart"/>
            <w:tcBorders>
              <w:top w:val="nil"/>
              <w:left w:val="nil"/>
              <w:bottom w:val="single" w:sz="8" w:space="0" w:color="auto"/>
              <w:right w:val="single" w:sz="8" w:space="0" w:color="000000"/>
            </w:tcBorders>
            <w:tcMar>
              <w:top w:w="0" w:type="dxa"/>
              <w:left w:w="70" w:type="dxa"/>
              <w:bottom w:w="0" w:type="dxa"/>
              <w:right w:w="70" w:type="dxa"/>
            </w:tcMar>
            <w:vAlign w:val="center"/>
            <w:hideMark/>
          </w:tcPr>
          <w:p w:rsidR="00A60D92" w:rsidRPr="00154B80" w:rsidRDefault="00A60D92" w:rsidP="00A60D92">
            <w:pPr>
              <w:spacing w:after="0"/>
              <w:jc w:val="center"/>
              <w:rPr>
                <w:rFonts w:ascii="Arial" w:hAnsi="Arial" w:cs="Arial"/>
                <w:b/>
                <w:bCs/>
                <w:color w:val="000000"/>
                <w:sz w:val="18"/>
                <w:szCs w:val="18"/>
                <w:lang w:eastAsia="es-CO"/>
              </w:rPr>
            </w:pPr>
            <w:r w:rsidRPr="00154B80">
              <w:rPr>
                <w:rFonts w:ascii="Arial" w:hAnsi="Arial" w:cs="Arial"/>
                <w:b/>
                <w:bCs/>
                <w:color w:val="000000"/>
                <w:sz w:val="18"/>
                <w:szCs w:val="18"/>
                <w:lang w:eastAsia="es-CO"/>
              </w:rPr>
              <w:t>TASA DE INTERÉS</w:t>
            </w:r>
            <w:r w:rsidRPr="00154B80">
              <w:rPr>
                <w:rFonts w:ascii="Arial" w:hAnsi="Arial" w:cs="Arial"/>
                <w:b/>
                <w:bCs/>
                <w:color w:val="000000"/>
                <w:sz w:val="18"/>
                <w:szCs w:val="18"/>
                <w:lang w:eastAsia="es-CO"/>
              </w:rPr>
              <w:br/>
              <w:t>nominal</w:t>
            </w:r>
          </w:p>
        </w:tc>
      </w:tr>
      <w:tr w:rsidR="00A60D92" w:rsidRPr="00154B80" w:rsidTr="00A60D92">
        <w:trPr>
          <w:trHeight w:val="450"/>
        </w:trPr>
        <w:tc>
          <w:tcPr>
            <w:tcW w:w="0" w:type="auto"/>
            <w:vMerge/>
            <w:tcBorders>
              <w:top w:val="nil"/>
              <w:left w:val="single" w:sz="8" w:space="0" w:color="auto"/>
              <w:bottom w:val="single" w:sz="8" w:space="0" w:color="auto"/>
              <w:right w:val="single" w:sz="8" w:space="0" w:color="auto"/>
            </w:tcBorders>
            <w:vAlign w:val="center"/>
            <w:hideMark/>
          </w:tcPr>
          <w:p w:rsidR="00A60D92" w:rsidRPr="00154B80" w:rsidRDefault="00A60D92" w:rsidP="00A60D92">
            <w:pPr>
              <w:spacing w:after="0"/>
              <w:rPr>
                <w:rFonts w:ascii="Arial" w:hAnsi="Arial" w:cs="Arial"/>
                <w:b/>
                <w:bCs/>
                <w:color w:val="000000"/>
                <w:sz w:val="18"/>
                <w:szCs w:val="18"/>
                <w:lang w:eastAsia="es-CO"/>
              </w:rPr>
            </w:pPr>
          </w:p>
        </w:tc>
        <w:tc>
          <w:tcPr>
            <w:tcW w:w="0" w:type="auto"/>
            <w:vMerge/>
            <w:tcBorders>
              <w:top w:val="nil"/>
              <w:left w:val="nil"/>
              <w:bottom w:val="single" w:sz="8" w:space="0" w:color="auto"/>
              <w:right w:val="single" w:sz="8" w:space="0" w:color="auto"/>
            </w:tcBorders>
            <w:vAlign w:val="center"/>
            <w:hideMark/>
          </w:tcPr>
          <w:p w:rsidR="00A60D92" w:rsidRPr="00154B80" w:rsidRDefault="00A60D92" w:rsidP="00A60D92">
            <w:pPr>
              <w:spacing w:after="0"/>
              <w:rPr>
                <w:rFonts w:ascii="Arial" w:hAnsi="Arial" w:cs="Arial"/>
                <w:b/>
                <w:bCs/>
                <w:color w:val="000000"/>
                <w:sz w:val="18"/>
                <w:szCs w:val="18"/>
                <w:lang w:eastAsia="es-CO"/>
              </w:rPr>
            </w:pPr>
          </w:p>
        </w:tc>
        <w:tc>
          <w:tcPr>
            <w:tcW w:w="0" w:type="auto"/>
            <w:vMerge/>
            <w:tcBorders>
              <w:top w:val="nil"/>
              <w:left w:val="nil"/>
              <w:bottom w:val="single" w:sz="8" w:space="0" w:color="auto"/>
              <w:right w:val="single" w:sz="8" w:space="0" w:color="000000"/>
            </w:tcBorders>
            <w:vAlign w:val="center"/>
            <w:hideMark/>
          </w:tcPr>
          <w:p w:rsidR="00A60D92" w:rsidRPr="00154B80" w:rsidRDefault="00A60D92" w:rsidP="00A60D92">
            <w:pPr>
              <w:spacing w:after="0"/>
              <w:rPr>
                <w:rFonts w:ascii="Arial" w:hAnsi="Arial" w:cs="Arial"/>
                <w:b/>
                <w:bCs/>
                <w:color w:val="000000"/>
                <w:sz w:val="18"/>
                <w:szCs w:val="18"/>
                <w:lang w:eastAsia="es-CO"/>
              </w:rPr>
            </w:pPr>
          </w:p>
        </w:tc>
      </w:tr>
      <w:tr w:rsidR="00A60D92" w:rsidRPr="00154B80" w:rsidTr="00A60D92">
        <w:trPr>
          <w:trHeight w:val="260"/>
        </w:trPr>
        <w:tc>
          <w:tcPr>
            <w:tcW w:w="39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60D92" w:rsidRPr="00154B80" w:rsidRDefault="00A60D92" w:rsidP="00A60D92">
            <w:pPr>
              <w:spacing w:after="0"/>
              <w:rPr>
                <w:rFonts w:ascii="Arial" w:hAnsi="Arial" w:cs="Arial"/>
                <w:color w:val="000000"/>
                <w:sz w:val="18"/>
                <w:szCs w:val="18"/>
                <w:lang w:eastAsia="es-CO"/>
              </w:rPr>
            </w:pPr>
            <w:r w:rsidRPr="00154B80">
              <w:rPr>
                <w:rFonts w:ascii="Arial" w:hAnsi="Arial" w:cs="Arial"/>
                <w:color w:val="000000"/>
                <w:sz w:val="18"/>
                <w:szCs w:val="18"/>
                <w:lang w:eastAsia="es-CO"/>
              </w:rPr>
              <w:t>Pequeños Productores</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IBR - 2.1%</w:t>
            </w:r>
          </w:p>
        </w:tc>
        <w:tc>
          <w:tcPr>
            <w:tcW w:w="2455"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Hasta IBR + 6.7% </w:t>
            </w:r>
          </w:p>
        </w:tc>
      </w:tr>
      <w:tr w:rsidR="00A60D92" w:rsidRPr="00154B80" w:rsidTr="00A60D92">
        <w:trPr>
          <w:trHeight w:val="260"/>
        </w:trPr>
        <w:tc>
          <w:tcPr>
            <w:tcW w:w="39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60D92" w:rsidRPr="00154B80" w:rsidRDefault="00A60D92" w:rsidP="00A60D92">
            <w:pPr>
              <w:spacing w:after="0"/>
              <w:rPr>
                <w:rFonts w:ascii="Arial" w:hAnsi="Arial" w:cs="Arial"/>
                <w:color w:val="000000"/>
                <w:sz w:val="18"/>
                <w:szCs w:val="18"/>
                <w:lang w:eastAsia="es-CO"/>
              </w:rPr>
            </w:pPr>
            <w:r w:rsidRPr="00154B80">
              <w:rPr>
                <w:rFonts w:ascii="Arial" w:hAnsi="Arial" w:cs="Arial"/>
                <w:color w:val="000000"/>
                <w:sz w:val="18"/>
                <w:szCs w:val="18"/>
                <w:lang w:eastAsia="es-CO"/>
              </w:rPr>
              <w:t>Joven Rural</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IBR - 2.1% </w:t>
            </w:r>
          </w:p>
        </w:tc>
        <w:tc>
          <w:tcPr>
            <w:tcW w:w="2455"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Hasta IBR + 6.7%</w:t>
            </w:r>
          </w:p>
        </w:tc>
      </w:tr>
      <w:tr w:rsidR="00A60D92" w:rsidRPr="00154B80" w:rsidTr="00A60D92">
        <w:trPr>
          <w:trHeight w:val="260"/>
        </w:trPr>
        <w:tc>
          <w:tcPr>
            <w:tcW w:w="39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60D92" w:rsidRPr="00154B80" w:rsidRDefault="00A60D92" w:rsidP="00A60D92">
            <w:pPr>
              <w:spacing w:after="0"/>
              <w:rPr>
                <w:rFonts w:ascii="Arial" w:hAnsi="Arial" w:cs="Arial"/>
                <w:color w:val="000000"/>
                <w:sz w:val="18"/>
                <w:szCs w:val="18"/>
                <w:lang w:eastAsia="es-CO"/>
              </w:rPr>
            </w:pPr>
            <w:r w:rsidRPr="00154B80">
              <w:rPr>
                <w:rFonts w:ascii="Arial" w:hAnsi="Arial" w:cs="Arial"/>
                <w:color w:val="000000"/>
                <w:sz w:val="18"/>
                <w:szCs w:val="18"/>
                <w:lang w:eastAsia="es-CO"/>
              </w:rPr>
              <w:t>Comunidades Negras</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IBR - 2.1% </w:t>
            </w:r>
          </w:p>
        </w:tc>
        <w:tc>
          <w:tcPr>
            <w:tcW w:w="2455"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Hasta IBR + 6.7%</w:t>
            </w:r>
          </w:p>
        </w:tc>
      </w:tr>
      <w:tr w:rsidR="00A60D92" w:rsidRPr="00154B80" w:rsidTr="00A60D92">
        <w:trPr>
          <w:trHeight w:val="260"/>
        </w:trPr>
        <w:tc>
          <w:tcPr>
            <w:tcW w:w="39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60D92" w:rsidRPr="00154B80" w:rsidRDefault="00A60D92" w:rsidP="00A60D92">
            <w:pPr>
              <w:spacing w:after="0"/>
              <w:rPr>
                <w:rFonts w:ascii="Arial" w:hAnsi="Arial" w:cs="Arial"/>
                <w:color w:val="000000"/>
                <w:sz w:val="18"/>
                <w:szCs w:val="18"/>
                <w:lang w:eastAsia="es-CO"/>
              </w:rPr>
            </w:pPr>
            <w:r w:rsidRPr="00154B80">
              <w:rPr>
                <w:rFonts w:ascii="Arial" w:hAnsi="Arial" w:cs="Arial"/>
                <w:color w:val="000000"/>
                <w:sz w:val="18"/>
                <w:szCs w:val="18"/>
                <w:lang w:eastAsia="es-CO"/>
              </w:rPr>
              <w:t>Mujeres Rurales de Bajos Ingresos</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IBR - 2.1% </w:t>
            </w:r>
          </w:p>
        </w:tc>
        <w:tc>
          <w:tcPr>
            <w:tcW w:w="2455"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Hasta IBR + 4.9%</w:t>
            </w:r>
          </w:p>
        </w:tc>
      </w:tr>
      <w:tr w:rsidR="00A60D92" w:rsidRPr="00154B80" w:rsidTr="00A60D92">
        <w:trPr>
          <w:trHeight w:val="260"/>
        </w:trPr>
        <w:tc>
          <w:tcPr>
            <w:tcW w:w="39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60D92" w:rsidRPr="00154B80" w:rsidRDefault="00A60D92" w:rsidP="00A60D92">
            <w:pPr>
              <w:spacing w:after="0"/>
              <w:rPr>
                <w:rFonts w:ascii="Arial" w:hAnsi="Arial" w:cs="Arial"/>
                <w:color w:val="000000"/>
                <w:sz w:val="18"/>
                <w:szCs w:val="18"/>
                <w:lang w:eastAsia="es-CO"/>
              </w:rPr>
            </w:pPr>
            <w:r w:rsidRPr="00154B80">
              <w:rPr>
                <w:rFonts w:ascii="Arial" w:hAnsi="Arial" w:cs="Arial"/>
                <w:color w:val="000000"/>
                <w:sz w:val="18"/>
                <w:szCs w:val="18"/>
                <w:lang w:eastAsia="es-CO"/>
              </w:rPr>
              <w:t>Victimas conflicto armado interno</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IBR - 3.1% </w:t>
            </w:r>
          </w:p>
        </w:tc>
        <w:tc>
          <w:tcPr>
            <w:tcW w:w="2455"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Hasta IBR + 2.1%</w:t>
            </w:r>
          </w:p>
        </w:tc>
      </w:tr>
      <w:tr w:rsidR="00A60D92" w:rsidRPr="00154B80" w:rsidTr="00A60D92">
        <w:trPr>
          <w:trHeight w:val="260"/>
        </w:trPr>
        <w:tc>
          <w:tcPr>
            <w:tcW w:w="39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60D92" w:rsidRPr="00154B80" w:rsidRDefault="00A60D92" w:rsidP="00A60D92">
            <w:pPr>
              <w:spacing w:after="0"/>
              <w:rPr>
                <w:rFonts w:ascii="Arial" w:hAnsi="Arial" w:cs="Arial"/>
                <w:color w:val="000000"/>
                <w:sz w:val="18"/>
                <w:szCs w:val="18"/>
                <w:lang w:eastAsia="es-CO"/>
              </w:rPr>
            </w:pPr>
            <w:r w:rsidRPr="00154B80">
              <w:rPr>
                <w:rFonts w:ascii="Arial" w:hAnsi="Arial" w:cs="Arial"/>
                <w:color w:val="000000"/>
                <w:sz w:val="18"/>
                <w:szCs w:val="18"/>
                <w:lang w:eastAsia="es-CO"/>
              </w:rPr>
              <w:t>Población reinsertada</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IBR - 3.1% </w:t>
            </w:r>
          </w:p>
        </w:tc>
        <w:tc>
          <w:tcPr>
            <w:tcW w:w="2455"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Hasta IBR + 2.1%</w:t>
            </w:r>
          </w:p>
        </w:tc>
      </w:tr>
      <w:tr w:rsidR="00A60D92" w:rsidRPr="00154B80" w:rsidTr="00A60D92">
        <w:trPr>
          <w:trHeight w:val="520"/>
        </w:trPr>
        <w:tc>
          <w:tcPr>
            <w:tcW w:w="396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60D92" w:rsidRPr="00154B80" w:rsidRDefault="00A60D92" w:rsidP="00A60D92">
            <w:pPr>
              <w:spacing w:after="0"/>
              <w:rPr>
                <w:rFonts w:ascii="Arial" w:hAnsi="Arial" w:cs="Arial"/>
                <w:color w:val="000000"/>
                <w:sz w:val="18"/>
                <w:szCs w:val="18"/>
                <w:lang w:eastAsia="es-CO"/>
              </w:rPr>
            </w:pPr>
            <w:r w:rsidRPr="00154B80">
              <w:rPr>
                <w:rFonts w:ascii="Arial" w:hAnsi="Arial" w:cs="Arial"/>
                <w:color w:val="000000"/>
                <w:sz w:val="18"/>
                <w:szCs w:val="18"/>
                <w:lang w:eastAsia="es-CO"/>
              </w:rPr>
              <w:t>Población que ejecute programas de desarrollo alternativo</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IBR - 3.1% </w:t>
            </w:r>
          </w:p>
        </w:tc>
        <w:tc>
          <w:tcPr>
            <w:tcW w:w="2455"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Hasta IBR + 2.1% </w:t>
            </w:r>
          </w:p>
        </w:tc>
      </w:tr>
      <w:tr w:rsidR="00A60D92" w:rsidRPr="00154B80" w:rsidTr="00A60D92">
        <w:trPr>
          <w:trHeight w:val="520"/>
        </w:trPr>
        <w:tc>
          <w:tcPr>
            <w:tcW w:w="396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60D92" w:rsidRPr="00154B80" w:rsidRDefault="00A60D92" w:rsidP="00A60D92">
            <w:pPr>
              <w:spacing w:after="0"/>
              <w:rPr>
                <w:rFonts w:ascii="Arial" w:hAnsi="Arial" w:cs="Arial"/>
                <w:color w:val="000000"/>
                <w:sz w:val="18"/>
                <w:szCs w:val="18"/>
                <w:lang w:eastAsia="es-CO"/>
              </w:rPr>
            </w:pPr>
            <w:r w:rsidRPr="00154B80">
              <w:rPr>
                <w:rFonts w:ascii="Arial" w:hAnsi="Arial" w:cs="Arial"/>
                <w:color w:val="000000"/>
                <w:sz w:val="18"/>
                <w:szCs w:val="18"/>
                <w:lang w:eastAsia="es-CO"/>
              </w:rPr>
              <w:t>Pequeños Productores - Zonas de Reserva Campesina</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IBR - 2.1%</w:t>
            </w:r>
          </w:p>
        </w:tc>
        <w:tc>
          <w:tcPr>
            <w:tcW w:w="2455"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Hasta IBR + 5.8%</w:t>
            </w:r>
          </w:p>
        </w:tc>
      </w:tr>
      <w:tr w:rsidR="00A60D92" w:rsidRPr="00154B80" w:rsidTr="00A60D92">
        <w:trPr>
          <w:trHeight w:val="260"/>
        </w:trPr>
        <w:tc>
          <w:tcPr>
            <w:tcW w:w="39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60D92" w:rsidRPr="00154B80" w:rsidRDefault="00A60D92" w:rsidP="00A60D92">
            <w:pPr>
              <w:spacing w:after="0"/>
              <w:rPr>
                <w:rFonts w:ascii="Arial" w:hAnsi="Arial" w:cs="Arial"/>
                <w:color w:val="000000"/>
                <w:sz w:val="18"/>
                <w:szCs w:val="18"/>
                <w:lang w:eastAsia="es-CO"/>
              </w:rPr>
            </w:pPr>
            <w:r w:rsidRPr="00154B80">
              <w:rPr>
                <w:rFonts w:ascii="Arial" w:hAnsi="Arial" w:cs="Arial"/>
                <w:color w:val="000000"/>
                <w:sz w:val="18"/>
                <w:szCs w:val="18"/>
                <w:lang w:eastAsia="es-CO"/>
              </w:rPr>
              <w:t>Medianos Productores</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IBR + 1.2% </w:t>
            </w:r>
          </w:p>
        </w:tc>
        <w:tc>
          <w:tcPr>
            <w:tcW w:w="2455"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Hasta IBR + 9.4%</w:t>
            </w:r>
          </w:p>
        </w:tc>
      </w:tr>
      <w:tr w:rsidR="00A60D92" w:rsidRPr="00154B80" w:rsidTr="00A60D92">
        <w:trPr>
          <w:trHeight w:val="260"/>
        </w:trPr>
        <w:tc>
          <w:tcPr>
            <w:tcW w:w="39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60D92" w:rsidRPr="00154B80" w:rsidRDefault="00A60D92" w:rsidP="00A60D92">
            <w:pPr>
              <w:spacing w:after="0"/>
              <w:rPr>
                <w:rFonts w:ascii="Arial" w:hAnsi="Arial" w:cs="Arial"/>
                <w:color w:val="000000"/>
                <w:sz w:val="18"/>
                <w:szCs w:val="18"/>
                <w:lang w:eastAsia="es-CO"/>
              </w:rPr>
            </w:pPr>
            <w:r w:rsidRPr="00154B80">
              <w:rPr>
                <w:rFonts w:ascii="Arial" w:hAnsi="Arial" w:cs="Arial"/>
                <w:color w:val="000000"/>
                <w:sz w:val="18"/>
                <w:szCs w:val="18"/>
                <w:lang w:eastAsia="es-CO"/>
              </w:rPr>
              <w:t>Grandes Productores</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IBR + 2.1% </w:t>
            </w:r>
          </w:p>
        </w:tc>
        <w:tc>
          <w:tcPr>
            <w:tcW w:w="2455"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Hasta IBR + 9.4%</w:t>
            </w:r>
          </w:p>
        </w:tc>
      </w:tr>
      <w:tr w:rsidR="00A60D92" w:rsidRPr="00154B80" w:rsidTr="00A60D92">
        <w:trPr>
          <w:trHeight w:val="260"/>
        </w:trPr>
        <w:tc>
          <w:tcPr>
            <w:tcW w:w="39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60D92" w:rsidRPr="00154B80" w:rsidRDefault="00A60D92" w:rsidP="00A60D92">
            <w:pPr>
              <w:spacing w:after="0"/>
              <w:rPr>
                <w:rFonts w:ascii="Arial" w:hAnsi="Arial" w:cs="Arial"/>
                <w:color w:val="000000"/>
                <w:sz w:val="18"/>
                <w:szCs w:val="18"/>
                <w:lang w:eastAsia="es-CO"/>
              </w:rPr>
            </w:pPr>
            <w:r w:rsidRPr="00154B80">
              <w:rPr>
                <w:rFonts w:ascii="Arial" w:hAnsi="Arial" w:cs="Arial"/>
                <w:color w:val="000000"/>
                <w:sz w:val="18"/>
                <w:szCs w:val="18"/>
                <w:lang w:eastAsia="es-CO"/>
              </w:rPr>
              <w:t>Esquema Asociativo</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IBR - 3.1% </w:t>
            </w:r>
          </w:p>
        </w:tc>
        <w:tc>
          <w:tcPr>
            <w:tcW w:w="2455"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Hasta IBR + 4.9%</w:t>
            </w:r>
          </w:p>
        </w:tc>
      </w:tr>
      <w:tr w:rsidR="00A60D92" w:rsidRPr="00154B80" w:rsidTr="00A60D92">
        <w:trPr>
          <w:trHeight w:val="260"/>
        </w:trPr>
        <w:tc>
          <w:tcPr>
            <w:tcW w:w="39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60D92" w:rsidRPr="00154B80" w:rsidRDefault="00A60D92" w:rsidP="00A60D92">
            <w:pPr>
              <w:spacing w:after="0"/>
              <w:rPr>
                <w:rFonts w:ascii="Arial" w:hAnsi="Arial" w:cs="Arial"/>
                <w:color w:val="000000"/>
                <w:sz w:val="18"/>
                <w:szCs w:val="18"/>
                <w:lang w:eastAsia="es-CO"/>
              </w:rPr>
            </w:pPr>
            <w:r w:rsidRPr="00154B80">
              <w:rPr>
                <w:rFonts w:ascii="Arial" w:hAnsi="Arial" w:cs="Arial"/>
                <w:color w:val="000000"/>
                <w:sz w:val="18"/>
                <w:szCs w:val="18"/>
                <w:lang w:eastAsia="es-CO"/>
              </w:rPr>
              <w:t>Esquema de Integración</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IBR - 0.7% </w:t>
            </w:r>
          </w:p>
        </w:tc>
        <w:tc>
          <w:tcPr>
            <w:tcW w:w="2455"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Hasta IBR + 6.7%</w:t>
            </w:r>
          </w:p>
        </w:tc>
      </w:tr>
      <w:tr w:rsidR="00A60D92" w:rsidRPr="00154B80" w:rsidTr="00A60D92">
        <w:trPr>
          <w:trHeight w:val="260"/>
        </w:trPr>
        <w:tc>
          <w:tcPr>
            <w:tcW w:w="39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60D92" w:rsidRPr="00154B80" w:rsidRDefault="00A60D92" w:rsidP="00A60D92">
            <w:pPr>
              <w:spacing w:after="0"/>
              <w:rPr>
                <w:rFonts w:ascii="Arial" w:hAnsi="Arial" w:cs="Arial"/>
                <w:color w:val="000000"/>
                <w:sz w:val="18"/>
                <w:szCs w:val="18"/>
                <w:lang w:eastAsia="es-CO"/>
              </w:rPr>
            </w:pPr>
            <w:r w:rsidRPr="00154B80">
              <w:rPr>
                <w:rFonts w:ascii="Arial" w:hAnsi="Arial" w:cs="Arial"/>
                <w:color w:val="000000"/>
                <w:sz w:val="18"/>
                <w:szCs w:val="18"/>
                <w:lang w:eastAsia="es-CO"/>
              </w:rPr>
              <w:t>Microcrédito</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IBR + 2.6% </w:t>
            </w:r>
          </w:p>
        </w:tc>
        <w:tc>
          <w:tcPr>
            <w:tcW w:w="2455"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Hasta la máxima permitida</w:t>
            </w:r>
          </w:p>
        </w:tc>
      </w:tr>
      <w:tr w:rsidR="00A60D92" w:rsidRPr="00154B80" w:rsidTr="00A60D92">
        <w:trPr>
          <w:trHeight w:val="272"/>
        </w:trPr>
        <w:tc>
          <w:tcPr>
            <w:tcW w:w="39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60D92" w:rsidRPr="00154B80" w:rsidRDefault="00A60D92" w:rsidP="00A60D92">
            <w:pPr>
              <w:spacing w:after="0"/>
              <w:rPr>
                <w:rFonts w:ascii="Arial" w:hAnsi="Arial" w:cs="Arial"/>
                <w:color w:val="000000"/>
                <w:sz w:val="18"/>
                <w:szCs w:val="18"/>
                <w:lang w:eastAsia="es-CO"/>
              </w:rPr>
            </w:pPr>
            <w:r w:rsidRPr="00154B80">
              <w:rPr>
                <w:rFonts w:ascii="Arial" w:hAnsi="Arial" w:cs="Arial"/>
                <w:color w:val="000000"/>
                <w:sz w:val="18"/>
                <w:szCs w:val="18"/>
                <w:lang w:eastAsia="es-CO"/>
              </w:rPr>
              <w:t>Departamentos, Distritos y Municipios</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 xml:space="preserve">IBR - 2.1% </w:t>
            </w:r>
          </w:p>
        </w:tc>
        <w:tc>
          <w:tcPr>
            <w:tcW w:w="2455"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60D92" w:rsidRPr="00154B80" w:rsidRDefault="00A60D92" w:rsidP="00A60D92">
            <w:pPr>
              <w:spacing w:after="0"/>
              <w:jc w:val="center"/>
              <w:rPr>
                <w:rFonts w:ascii="Arial" w:hAnsi="Arial" w:cs="Arial"/>
                <w:color w:val="000000"/>
                <w:sz w:val="18"/>
                <w:szCs w:val="18"/>
                <w:lang w:eastAsia="es-CO"/>
              </w:rPr>
            </w:pPr>
            <w:r w:rsidRPr="00154B80">
              <w:rPr>
                <w:rFonts w:ascii="Arial" w:hAnsi="Arial" w:cs="Arial"/>
                <w:color w:val="000000"/>
                <w:sz w:val="18"/>
                <w:szCs w:val="18"/>
                <w:lang w:eastAsia="es-CO"/>
              </w:rPr>
              <w:t>Hasta IBR + 9.4%</w:t>
            </w:r>
          </w:p>
        </w:tc>
      </w:tr>
      <w:tr w:rsidR="00A60D92" w:rsidRPr="00154B80" w:rsidTr="00A60D92">
        <w:trPr>
          <w:trHeight w:val="353"/>
        </w:trPr>
        <w:tc>
          <w:tcPr>
            <w:tcW w:w="0" w:type="auto"/>
            <w:gridSpan w:val="3"/>
            <w:vAlign w:val="center"/>
            <w:hideMark/>
          </w:tcPr>
          <w:p w:rsidR="00F2072A" w:rsidRPr="00154B80" w:rsidRDefault="00F2072A" w:rsidP="00F2072A">
            <w:pPr>
              <w:spacing w:after="0" w:line="240" w:lineRule="auto"/>
              <w:jc w:val="both"/>
              <w:rPr>
                <w:rFonts w:ascii="Arial" w:hAnsi="Arial" w:cs="Arial"/>
                <w:color w:val="000000"/>
                <w:szCs w:val="20"/>
                <w:lang w:eastAsia="es-CO"/>
              </w:rPr>
            </w:pPr>
          </w:p>
          <w:p w:rsidR="00A60D92" w:rsidRPr="00154B80" w:rsidRDefault="00A60D92" w:rsidP="004434D7">
            <w:pPr>
              <w:pStyle w:val="Prrafodelista"/>
              <w:numPr>
                <w:ilvl w:val="0"/>
                <w:numId w:val="13"/>
              </w:numPr>
              <w:spacing w:after="0" w:line="240" w:lineRule="auto"/>
              <w:ind w:left="270" w:hanging="142"/>
              <w:jc w:val="both"/>
              <w:rPr>
                <w:rFonts w:ascii="Arial" w:hAnsi="Arial" w:cs="Arial"/>
                <w:color w:val="000000"/>
                <w:szCs w:val="20"/>
                <w:lang w:eastAsia="es-CO"/>
              </w:rPr>
            </w:pPr>
            <w:r w:rsidRPr="00154B80">
              <w:rPr>
                <w:rFonts w:ascii="Arial" w:hAnsi="Arial" w:cs="Arial"/>
                <w:color w:val="000000"/>
                <w:szCs w:val="20"/>
                <w:lang w:eastAsia="es-CO"/>
              </w:rPr>
              <w:t xml:space="preserve">Para efectos de determinar la tasa, se debe tomar el IBR nominal acorde con el pago de los intereses, contemplando los diferentes plazos de IBR que publique el Banco de la República. </w:t>
            </w:r>
            <w:r w:rsidR="00CF36B7" w:rsidRPr="00154B80">
              <w:rPr>
                <w:rFonts w:ascii="Arial" w:hAnsi="Arial" w:cs="Arial"/>
                <w:color w:val="000000"/>
                <w:szCs w:val="20"/>
                <w:lang w:eastAsia="es-CO"/>
              </w:rPr>
              <w:t xml:space="preserve">Para periodicidades diferentes, se deberá tomar el IBR del plazo inmediatamente inferior. </w:t>
            </w:r>
            <w:r w:rsidRPr="00154B80">
              <w:rPr>
                <w:rFonts w:ascii="Arial" w:hAnsi="Arial" w:cs="Arial"/>
                <w:color w:val="000000"/>
                <w:szCs w:val="20"/>
                <w:lang w:eastAsia="es-CO"/>
              </w:rPr>
              <w:t xml:space="preserve">El margen o los puntos son únicos independiente de la periodicidad de pago de intereses y se adicionan de forma directa al IBR correspondiente.    </w:t>
            </w:r>
          </w:p>
          <w:p w:rsidR="00F2072A" w:rsidRPr="00154B80" w:rsidRDefault="00F2072A" w:rsidP="00F2072A">
            <w:pPr>
              <w:spacing w:after="0" w:line="240" w:lineRule="auto"/>
              <w:jc w:val="both"/>
              <w:rPr>
                <w:rFonts w:ascii="Arial" w:hAnsi="Arial" w:cs="Arial"/>
                <w:color w:val="000000"/>
                <w:sz w:val="20"/>
                <w:szCs w:val="20"/>
                <w:lang w:eastAsia="es-CO"/>
              </w:rPr>
            </w:pPr>
          </w:p>
        </w:tc>
      </w:tr>
    </w:tbl>
    <w:p w:rsidR="00DE2012" w:rsidRPr="00154B80" w:rsidRDefault="00A60D92" w:rsidP="004434D7">
      <w:pPr>
        <w:pStyle w:val="Prrafodelista"/>
        <w:numPr>
          <w:ilvl w:val="0"/>
          <w:numId w:val="13"/>
        </w:numPr>
        <w:spacing w:after="0" w:line="240" w:lineRule="auto"/>
        <w:ind w:left="270" w:hanging="142"/>
        <w:jc w:val="both"/>
        <w:rPr>
          <w:rFonts w:ascii="Arial" w:hAnsi="Arial" w:cs="Arial"/>
        </w:rPr>
      </w:pPr>
      <w:r w:rsidRPr="00154B80">
        <w:rPr>
          <w:rFonts w:ascii="Arial" w:hAnsi="Arial" w:cs="Arial"/>
          <w:color w:val="000000"/>
          <w:lang w:eastAsia="es-CO"/>
        </w:rPr>
        <w:t>Para la liquidación de los intereses se deben contemplar los lineamientos que para el efecto establezca FINAGRO.</w:t>
      </w:r>
    </w:p>
    <w:p w:rsidR="005075B9" w:rsidRPr="00154B80" w:rsidRDefault="005075B9" w:rsidP="005075B9">
      <w:pPr>
        <w:pStyle w:val="Prrafodelista"/>
        <w:spacing w:after="0" w:line="240" w:lineRule="auto"/>
        <w:ind w:left="270"/>
        <w:jc w:val="both"/>
        <w:rPr>
          <w:rFonts w:ascii="Arial" w:hAnsi="Arial" w:cs="Arial"/>
        </w:rPr>
      </w:pPr>
    </w:p>
    <w:p w:rsidR="005075B9" w:rsidRPr="00154B80" w:rsidRDefault="005075B9" w:rsidP="005075B9">
      <w:pPr>
        <w:pStyle w:val="Prrafodelista"/>
        <w:numPr>
          <w:ilvl w:val="0"/>
          <w:numId w:val="13"/>
        </w:numPr>
        <w:spacing w:after="0" w:line="240" w:lineRule="auto"/>
        <w:ind w:left="270" w:hanging="142"/>
        <w:jc w:val="both"/>
        <w:rPr>
          <w:rFonts w:ascii="Arial" w:hAnsi="Arial" w:cs="Arial"/>
        </w:rPr>
      </w:pPr>
      <w:r w:rsidRPr="00154B80">
        <w:rPr>
          <w:rFonts w:ascii="Arial" w:hAnsi="Arial" w:cs="Arial"/>
          <w:color w:val="000000"/>
          <w:lang w:eastAsia="es-CO"/>
        </w:rPr>
        <w:t>Cualquier</w:t>
      </w:r>
      <w:r w:rsidRPr="00154B80">
        <w:rPr>
          <w:rFonts w:ascii="Arial" w:hAnsi="Arial" w:cs="Arial"/>
        </w:rPr>
        <w:t xml:space="preserve"> operación originada con tasa IBR se deberá normalizar con la misma tasa de referencia. Para el caso de las operaciones originadas en DTF, el Intermediario Financiero podrá pactar libremente con el beneficiario la tasa de referencia a aplicar</w:t>
      </w:r>
      <w:r w:rsidR="00AC0399" w:rsidRPr="00154B80">
        <w:rPr>
          <w:rFonts w:ascii="Arial" w:hAnsi="Arial" w:cs="Arial"/>
        </w:rPr>
        <w:t>, cuando se trate de una consolidación de pasivos</w:t>
      </w:r>
      <w:r w:rsidRPr="00154B80">
        <w:rPr>
          <w:rFonts w:ascii="Arial" w:hAnsi="Arial" w:cs="Arial"/>
        </w:rPr>
        <w:t xml:space="preserve">.                                 </w:t>
      </w:r>
    </w:p>
    <w:p w:rsidR="00DE2012" w:rsidRPr="00154B80" w:rsidRDefault="00DE2012">
      <w:pPr>
        <w:spacing w:after="0" w:line="240" w:lineRule="auto"/>
        <w:ind w:right="-1"/>
        <w:jc w:val="both"/>
        <w:rPr>
          <w:rFonts w:ascii="Arial" w:hAnsi="Arial" w:cs="Arial"/>
        </w:rPr>
      </w:pPr>
    </w:p>
    <w:p w:rsidR="006A5384" w:rsidRPr="00154B80" w:rsidRDefault="00DB26D1" w:rsidP="00DB26D1">
      <w:pPr>
        <w:spacing w:after="0" w:line="240" w:lineRule="auto"/>
        <w:ind w:right="-1"/>
        <w:jc w:val="both"/>
        <w:rPr>
          <w:rFonts w:ascii="Arial" w:hAnsi="Arial" w:cs="Arial"/>
          <w:b/>
        </w:rPr>
      </w:pPr>
      <w:r w:rsidRPr="00154B80">
        <w:rPr>
          <w:rFonts w:ascii="Arial" w:hAnsi="Arial" w:cs="Arial"/>
          <w:b/>
        </w:rPr>
        <w:t xml:space="preserve">Parágrafo 1o. </w:t>
      </w:r>
      <w:r w:rsidR="006A5384" w:rsidRPr="00154B80">
        <w:rPr>
          <w:rFonts w:ascii="Arial" w:hAnsi="Arial" w:cs="Arial"/>
        </w:rPr>
        <w:t xml:space="preserve">Cuando el plazo del crédito sea superior a diez (10) años, la tasa de interés podrá acordarse libremente entre el beneficiario del crédito y el intermediario financiero. </w:t>
      </w:r>
    </w:p>
    <w:p w:rsidR="006A5384" w:rsidRPr="00154B80" w:rsidRDefault="006A5384">
      <w:pPr>
        <w:spacing w:after="0" w:line="240" w:lineRule="auto"/>
        <w:ind w:right="-1"/>
        <w:jc w:val="both"/>
        <w:rPr>
          <w:rFonts w:ascii="Arial" w:hAnsi="Arial" w:cs="Arial"/>
        </w:rPr>
      </w:pPr>
    </w:p>
    <w:p w:rsidR="00DE2012" w:rsidRPr="00154B80" w:rsidRDefault="00DB26D1" w:rsidP="00DB26D1">
      <w:pPr>
        <w:spacing w:after="0" w:line="240" w:lineRule="auto"/>
        <w:jc w:val="both"/>
        <w:rPr>
          <w:rFonts w:ascii="Arial" w:hAnsi="Arial" w:cs="Arial"/>
        </w:rPr>
      </w:pPr>
      <w:r w:rsidRPr="00154B80">
        <w:rPr>
          <w:rFonts w:ascii="Arial" w:hAnsi="Arial" w:cs="Arial"/>
          <w:b/>
        </w:rPr>
        <w:lastRenderedPageBreak/>
        <w:t xml:space="preserve">Parágrafo 2o. </w:t>
      </w:r>
      <w:r w:rsidR="006A5384" w:rsidRPr="00154B80">
        <w:rPr>
          <w:rFonts w:ascii="Arial" w:hAnsi="Arial" w:cs="Arial"/>
        </w:rPr>
        <w:t>Los intermediarios financieros y beneficiarios del crédito podrán acordar la capitalización de intereses, de conformidad con lo dispuesto en el artículo 2 de la Resolución 17 de 2007 de la Junta Directiva del Banco de la República y sus modificaciones.</w:t>
      </w:r>
      <w:r w:rsidR="00DE3311" w:rsidRPr="00154B80">
        <w:rPr>
          <w:rFonts w:ascii="Arial" w:hAnsi="Arial" w:cs="Arial"/>
        </w:rPr>
        <w:t>”</w:t>
      </w:r>
    </w:p>
    <w:p w:rsidR="006A5384" w:rsidRPr="00154B80" w:rsidRDefault="006A5384">
      <w:pPr>
        <w:spacing w:after="0" w:line="240" w:lineRule="auto"/>
        <w:ind w:right="-1"/>
        <w:jc w:val="both"/>
        <w:rPr>
          <w:rFonts w:ascii="Arial" w:hAnsi="Arial" w:cs="Arial"/>
        </w:rPr>
      </w:pPr>
    </w:p>
    <w:p w:rsidR="00CF36B7" w:rsidRPr="00154B80" w:rsidRDefault="008E3502">
      <w:pPr>
        <w:spacing w:after="0" w:line="240" w:lineRule="auto"/>
        <w:ind w:right="-1"/>
        <w:jc w:val="both"/>
        <w:rPr>
          <w:rFonts w:ascii="Arial" w:hAnsi="Arial" w:cs="Arial"/>
          <w:b/>
        </w:rPr>
      </w:pPr>
      <w:r w:rsidRPr="00154B80">
        <w:rPr>
          <w:rFonts w:ascii="Arial" w:hAnsi="Arial" w:cs="Arial"/>
          <w:b/>
        </w:rPr>
        <w:t>Artículo 2</w:t>
      </w:r>
      <w:r w:rsidR="00FC06E9" w:rsidRPr="00154B80">
        <w:rPr>
          <w:rFonts w:ascii="Arial" w:hAnsi="Arial" w:cs="Arial"/>
          <w:b/>
        </w:rPr>
        <w:t>o</w:t>
      </w:r>
      <w:r w:rsidRPr="00154B80">
        <w:rPr>
          <w:rFonts w:ascii="Arial" w:hAnsi="Arial" w:cs="Arial"/>
          <w:b/>
        </w:rPr>
        <w:t>.</w:t>
      </w:r>
      <w:r w:rsidR="00CF36B7" w:rsidRPr="00154B80">
        <w:rPr>
          <w:rFonts w:ascii="Arial" w:hAnsi="Arial" w:cs="Arial"/>
          <w:b/>
        </w:rPr>
        <w:t xml:space="preserve"> </w:t>
      </w:r>
      <w:r w:rsidR="00CF36B7" w:rsidRPr="00154B80">
        <w:rPr>
          <w:rFonts w:ascii="Arial" w:hAnsi="Arial" w:cs="Arial"/>
        </w:rPr>
        <w:t>Para efectos de</w:t>
      </w:r>
      <w:r w:rsidR="00CF36B7" w:rsidRPr="00154B80">
        <w:rPr>
          <w:rFonts w:ascii="Arial" w:hAnsi="Arial" w:cs="Arial"/>
          <w:b/>
        </w:rPr>
        <w:t xml:space="preserve"> </w:t>
      </w:r>
      <w:r w:rsidR="00CF36B7" w:rsidRPr="00154B80">
        <w:rPr>
          <w:rFonts w:ascii="Arial" w:hAnsi="Arial" w:cs="Arial"/>
        </w:rPr>
        <w:t xml:space="preserve">los incentivos o subsidios </w:t>
      </w:r>
      <w:r w:rsidR="00A86056" w:rsidRPr="00154B80">
        <w:rPr>
          <w:rFonts w:ascii="Arial" w:hAnsi="Arial" w:cs="Arial"/>
        </w:rPr>
        <w:t xml:space="preserve">establecidos por la CNCA, </w:t>
      </w:r>
      <w:r w:rsidR="00CF36B7" w:rsidRPr="00154B80">
        <w:rPr>
          <w:rFonts w:ascii="Arial" w:hAnsi="Arial" w:cs="Arial"/>
        </w:rPr>
        <w:t>relacionados exclusivamente con el crédito, FINAGRO</w:t>
      </w:r>
      <w:r w:rsidR="00565C11" w:rsidRPr="00154B80">
        <w:rPr>
          <w:rFonts w:ascii="Arial" w:hAnsi="Arial" w:cs="Arial"/>
        </w:rPr>
        <w:t xml:space="preserve"> mediante circular reglamentaría</w:t>
      </w:r>
      <w:r w:rsidR="00CF36B7" w:rsidRPr="00154B80">
        <w:rPr>
          <w:rFonts w:ascii="Arial" w:hAnsi="Arial" w:cs="Arial"/>
        </w:rPr>
        <w:t xml:space="preserve"> </w:t>
      </w:r>
      <w:r w:rsidR="00565C11" w:rsidRPr="00154B80">
        <w:rPr>
          <w:rFonts w:ascii="Arial" w:hAnsi="Arial" w:cs="Arial"/>
        </w:rPr>
        <w:t xml:space="preserve">señalará </w:t>
      </w:r>
      <w:r w:rsidR="00CF36B7" w:rsidRPr="00154B80">
        <w:rPr>
          <w:rFonts w:ascii="Arial" w:hAnsi="Arial" w:cs="Arial"/>
        </w:rPr>
        <w:t xml:space="preserve">la equivalencia de tasas </w:t>
      </w:r>
      <w:r w:rsidR="00565C11" w:rsidRPr="00154B80">
        <w:rPr>
          <w:rFonts w:ascii="Arial" w:hAnsi="Arial" w:cs="Arial"/>
        </w:rPr>
        <w:t>a I</w:t>
      </w:r>
      <w:r w:rsidR="00CF36B7" w:rsidRPr="00154B80">
        <w:rPr>
          <w:rFonts w:ascii="Arial" w:hAnsi="Arial" w:cs="Arial"/>
        </w:rPr>
        <w:t>BR.</w:t>
      </w:r>
      <w:r w:rsidRPr="00154B80">
        <w:rPr>
          <w:rFonts w:ascii="Arial" w:hAnsi="Arial" w:cs="Arial"/>
          <w:b/>
        </w:rPr>
        <w:t xml:space="preserve"> </w:t>
      </w:r>
    </w:p>
    <w:p w:rsidR="00CF36B7" w:rsidRPr="00154B80" w:rsidRDefault="00CF36B7">
      <w:pPr>
        <w:spacing w:after="0" w:line="240" w:lineRule="auto"/>
        <w:ind w:right="-1"/>
        <w:jc w:val="both"/>
        <w:rPr>
          <w:rFonts w:ascii="Arial" w:hAnsi="Arial" w:cs="Arial"/>
          <w:b/>
        </w:rPr>
      </w:pPr>
    </w:p>
    <w:p w:rsidR="006A5384" w:rsidRPr="00154B80" w:rsidRDefault="002E42E9">
      <w:pPr>
        <w:spacing w:after="0" w:line="240" w:lineRule="auto"/>
        <w:ind w:right="-1"/>
        <w:jc w:val="both"/>
        <w:rPr>
          <w:rFonts w:ascii="Arial" w:hAnsi="Arial" w:cs="Arial"/>
          <w:b/>
        </w:rPr>
      </w:pPr>
      <w:r w:rsidRPr="00154B80">
        <w:rPr>
          <w:rFonts w:ascii="Arial" w:hAnsi="Arial" w:cs="Arial"/>
          <w:b/>
        </w:rPr>
        <w:t xml:space="preserve">Artículo </w:t>
      </w:r>
      <w:r w:rsidR="0058502A" w:rsidRPr="00154B80">
        <w:rPr>
          <w:rFonts w:ascii="Arial" w:hAnsi="Arial" w:cs="Arial"/>
          <w:b/>
        </w:rPr>
        <w:t>3</w:t>
      </w:r>
      <w:r w:rsidRPr="00154B80">
        <w:rPr>
          <w:rFonts w:ascii="Arial" w:hAnsi="Arial" w:cs="Arial"/>
          <w:b/>
        </w:rPr>
        <w:t xml:space="preserve">o. </w:t>
      </w:r>
      <w:r w:rsidR="00282E4E" w:rsidRPr="00154B80">
        <w:rPr>
          <w:rFonts w:ascii="Arial" w:hAnsi="Arial" w:cs="Arial"/>
        </w:rPr>
        <w:t xml:space="preserve">Durante el año </w:t>
      </w:r>
      <w:r w:rsidR="00DE3311" w:rsidRPr="00154B80">
        <w:rPr>
          <w:rFonts w:ascii="Arial" w:hAnsi="Arial" w:cs="Arial"/>
        </w:rPr>
        <w:t>2019</w:t>
      </w:r>
      <w:r w:rsidR="00C64F28" w:rsidRPr="00154B80">
        <w:rPr>
          <w:rFonts w:ascii="Arial" w:hAnsi="Arial" w:cs="Arial"/>
        </w:rPr>
        <w:t xml:space="preserve">, </w:t>
      </w:r>
      <w:r w:rsidR="00282E4E" w:rsidRPr="00154B80">
        <w:rPr>
          <w:rFonts w:ascii="Arial" w:hAnsi="Arial" w:cs="Arial"/>
        </w:rPr>
        <w:t xml:space="preserve">el intermediario financiero y el beneficiario del crédito podrán </w:t>
      </w:r>
      <w:r w:rsidR="005D41A3" w:rsidRPr="00154B80">
        <w:rPr>
          <w:rFonts w:ascii="Arial" w:hAnsi="Arial" w:cs="Arial"/>
        </w:rPr>
        <w:t xml:space="preserve">pactar la condición financiera </w:t>
      </w:r>
      <w:r w:rsidR="003C115B" w:rsidRPr="00154B80">
        <w:rPr>
          <w:rFonts w:ascii="Arial" w:hAnsi="Arial" w:cs="Arial"/>
        </w:rPr>
        <w:t>de cada obligación</w:t>
      </w:r>
      <w:r w:rsidR="00C353E1" w:rsidRPr="00154B80">
        <w:rPr>
          <w:rFonts w:ascii="Arial" w:hAnsi="Arial" w:cs="Arial"/>
        </w:rPr>
        <w:t xml:space="preserve"> en los términos </w:t>
      </w:r>
      <w:r w:rsidR="00F60756" w:rsidRPr="00154B80">
        <w:rPr>
          <w:rFonts w:ascii="Arial" w:hAnsi="Arial" w:cs="Arial"/>
        </w:rPr>
        <w:t>establecido</w:t>
      </w:r>
      <w:r w:rsidR="003C115B" w:rsidRPr="00154B80">
        <w:rPr>
          <w:rFonts w:ascii="Arial" w:hAnsi="Arial" w:cs="Arial"/>
        </w:rPr>
        <w:t>s</w:t>
      </w:r>
      <w:r w:rsidR="00F60756" w:rsidRPr="00154B80">
        <w:rPr>
          <w:rFonts w:ascii="Arial" w:hAnsi="Arial" w:cs="Arial"/>
        </w:rPr>
        <w:t xml:space="preserve"> en la presente r</w:t>
      </w:r>
      <w:r w:rsidR="00C353E1" w:rsidRPr="00154B80">
        <w:rPr>
          <w:rFonts w:ascii="Arial" w:hAnsi="Arial" w:cs="Arial"/>
        </w:rPr>
        <w:t>esolución</w:t>
      </w:r>
      <w:r w:rsidR="00896A09" w:rsidRPr="00154B80">
        <w:rPr>
          <w:rFonts w:ascii="Arial" w:hAnsi="Arial" w:cs="Arial"/>
        </w:rPr>
        <w:t xml:space="preserve"> y en la reglamentación que expida FINAGRO</w:t>
      </w:r>
      <w:r w:rsidR="00C353E1" w:rsidRPr="00154B80">
        <w:rPr>
          <w:rFonts w:ascii="Arial" w:hAnsi="Arial" w:cs="Arial"/>
        </w:rPr>
        <w:t>.</w:t>
      </w:r>
      <w:r w:rsidR="003C115B" w:rsidRPr="00154B80">
        <w:rPr>
          <w:rFonts w:ascii="Arial" w:hAnsi="Arial" w:cs="Arial"/>
        </w:rPr>
        <w:t xml:space="preserve"> Esta transición aplicará a los incentivos, subsidios y beneficios atados al crédito.</w:t>
      </w:r>
      <w:r w:rsidR="00C353E1" w:rsidRPr="00154B80">
        <w:rPr>
          <w:rFonts w:ascii="Arial" w:hAnsi="Arial" w:cs="Arial"/>
        </w:rPr>
        <w:t xml:space="preserve"> A partir del año </w:t>
      </w:r>
      <w:r w:rsidR="00DE3311" w:rsidRPr="00154B80">
        <w:rPr>
          <w:rFonts w:ascii="Arial" w:hAnsi="Arial" w:cs="Arial"/>
        </w:rPr>
        <w:t xml:space="preserve">2020 </w:t>
      </w:r>
      <w:r w:rsidR="00C353E1" w:rsidRPr="00154B80">
        <w:rPr>
          <w:rFonts w:ascii="Arial" w:hAnsi="Arial" w:cs="Arial"/>
        </w:rPr>
        <w:t xml:space="preserve">los nuevos créditos </w:t>
      </w:r>
      <w:r w:rsidR="00277FDF" w:rsidRPr="00154B80">
        <w:rPr>
          <w:rFonts w:ascii="Arial" w:hAnsi="Arial" w:cs="Arial"/>
        </w:rPr>
        <w:t xml:space="preserve">se </w:t>
      </w:r>
      <w:r w:rsidR="003C115B" w:rsidRPr="00154B80">
        <w:rPr>
          <w:rFonts w:ascii="Arial" w:hAnsi="Arial" w:cs="Arial"/>
        </w:rPr>
        <w:t>deberán</w:t>
      </w:r>
      <w:r w:rsidR="00277FDF" w:rsidRPr="00154B80">
        <w:rPr>
          <w:rFonts w:ascii="Arial" w:hAnsi="Arial" w:cs="Arial"/>
        </w:rPr>
        <w:t xml:space="preserve"> indexar únicamente al IBR</w:t>
      </w:r>
      <w:r w:rsidR="003C115B" w:rsidRPr="00154B80">
        <w:rPr>
          <w:rFonts w:ascii="Arial" w:hAnsi="Arial" w:cs="Arial"/>
        </w:rPr>
        <w:t>, así como los incentivos, subsidios y beneficios atados al crédito.</w:t>
      </w:r>
      <w:r w:rsidR="00896A09" w:rsidRPr="00154B80">
        <w:rPr>
          <w:rFonts w:ascii="Arial" w:hAnsi="Arial" w:cs="Arial"/>
        </w:rPr>
        <w:t xml:space="preserve"> </w:t>
      </w:r>
      <w:r w:rsidR="008E3502" w:rsidRPr="00154B80">
        <w:rPr>
          <w:rFonts w:ascii="Arial" w:hAnsi="Arial" w:cs="Arial"/>
          <w:b/>
        </w:rPr>
        <w:t xml:space="preserve"> </w:t>
      </w:r>
    </w:p>
    <w:p w:rsidR="006B4573" w:rsidRPr="00154B80" w:rsidRDefault="006B4573">
      <w:pPr>
        <w:spacing w:after="0" w:line="240" w:lineRule="auto"/>
        <w:ind w:right="-1"/>
        <w:jc w:val="both"/>
        <w:rPr>
          <w:rFonts w:ascii="Arial" w:hAnsi="Arial" w:cs="Arial"/>
          <w:b/>
        </w:rPr>
      </w:pPr>
    </w:p>
    <w:p w:rsidR="00FD6723" w:rsidRPr="00154B80" w:rsidRDefault="002E42E9" w:rsidP="00366C08">
      <w:pPr>
        <w:spacing w:line="240" w:lineRule="auto"/>
        <w:jc w:val="both"/>
        <w:rPr>
          <w:rFonts w:ascii="Arial" w:hAnsi="Arial" w:cs="Arial"/>
          <w:bCs/>
          <w:lang w:val="es-CO"/>
        </w:rPr>
      </w:pPr>
      <w:r w:rsidRPr="00154B80">
        <w:rPr>
          <w:rFonts w:ascii="Arial" w:hAnsi="Arial" w:cs="Arial"/>
          <w:b/>
          <w:bCs/>
          <w:lang w:val="es-CO"/>
        </w:rPr>
        <w:t xml:space="preserve">Artículo </w:t>
      </w:r>
      <w:r w:rsidR="0058502A" w:rsidRPr="00154B80">
        <w:rPr>
          <w:rFonts w:ascii="Arial" w:hAnsi="Arial" w:cs="Arial"/>
          <w:b/>
          <w:bCs/>
          <w:lang w:val="es-CO"/>
        </w:rPr>
        <w:t>4</w:t>
      </w:r>
      <w:r w:rsidR="00FC06E9" w:rsidRPr="00154B80">
        <w:rPr>
          <w:rFonts w:ascii="Arial" w:hAnsi="Arial" w:cs="Arial"/>
          <w:b/>
          <w:bCs/>
          <w:lang w:val="es-CO"/>
        </w:rPr>
        <w:t>o</w:t>
      </w:r>
      <w:r w:rsidR="00366C08" w:rsidRPr="00154B80">
        <w:rPr>
          <w:rFonts w:ascii="Arial" w:hAnsi="Arial" w:cs="Arial"/>
          <w:b/>
          <w:bCs/>
          <w:lang w:val="es-CO"/>
        </w:rPr>
        <w:t>.</w:t>
      </w:r>
      <w:r w:rsidR="00366C08" w:rsidRPr="00154B80">
        <w:rPr>
          <w:rFonts w:ascii="Arial" w:hAnsi="Arial" w:cs="Arial"/>
          <w:bCs/>
          <w:lang w:val="es-CO"/>
        </w:rPr>
        <w:t xml:space="preserve"> </w:t>
      </w:r>
      <w:r w:rsidR="00FD6723" w:rsidRPr="00154B80">
        <w:rPr>
          <w:rFonts w:ascii="Arial" w:hAnsi="Arial" w:cs="Arial"/>
          <w:bCs/>
          <w:lang w:val="es-CO"/>
        </w:rPr>
        <w:t xml:space="preserve">FINAGRO </w:t>
      </w:r>
      <w:r w:rsidR="00826560" w:rsidRPr="00154B80">
        <w:rPr>
          <w:rFonts w:ascii="Arial" w:hAnsi="Arial" w:cs="Arial"/>
          <w:bCs/>
          <w:lang w:val="es-CO"/>
        </w:rPr>
        <w:t xml:space="preserve">adoptará </w:t>
      </w:r>
      <w:r w:rsidR="00FD6723" w:rsidRPr="00154B80">
        <w:rPr>
          <w:rFonts w:ascii="Arial" w:hAnsi="Arial" w:cs="Arial"/>
          <w:bCs/>
          <w:lang w:val="es-CO"/>
        </w:rPr>
        <w:t xml:space="preserve">los procedimientos y las medidas necesarias para el desarrollo de la presente </w:t>
      </w:r>
      <w:r w:rsidRPr="00154B80">
        <w:rPr>
          <w:rFonts w:ascii="Arial" w:hAnsi="Arial" w:cs="Arial"/>
          <w:bCs/>
          <w:lang w:val="es-CO"/>
        </w:rPr>
        <w:t>r</w:t>
      </w:r>
      <w:r w:rsidR="00FD6723" w:rsidRPr="00154B80">
        <w:rPr>
          <w:rFonts w:ascii="Arial" w:hAnsi="Arial" w:cs="Arial"/>
          <w:bCs/>
          <w:lang w:val="es-CO"/>
        </w:rPr>
        <w:t>esolución</w:t>
      </w:r>
      <w:r w:rsidRPr="00154B80">
        <w:rPr>
          <w:rFonts w:ascii="Arial" w:hAnsi="Arial" w:cs="Arial"/>
          <w:bCs/>
          <w:lang w:val="es-CO"/>
        </w:rPr>
        <w:t>.</w:t>
      </w:r>
    </w:p>
    <w:p w:rsidR="00366C08" w:rsidRPr="00154B80" w:rsidRDefault="00CF36B7" w:rsidP="00CF36B7">
      <w:pPr>
        <w:tabs>
          <w:tab w:val="left" w:pos="3119"/>
        </w:tabs>
        <w:spacing w:line="240" w:lineRule="auto"/>
        <w:jc w:val="both"/>
        <w:rPr>
          <w:rFonts w:ascii="Arial" w:hAnsi="Arial" w:cs="Arial"/>
          <w:b/>
          <w:lang w:val="es-CO"/>
        </w:rPr>
      </w:pPr>
      <w:r w:rsidRPr="00154B80">
        <w:rPr>
          <w:rFonts w:ascii="Arial" w:hAnsi="Arial" w:cs="Arial"/>
          <w:b/>
          <w:lang w:val="es-CO"/>
        </w:rPr>
        <w:t xml:space="preserve">Artículo </w:t>
      </w:r>
      <w:r w:rsidR="0058502A" w:rsidRPr="00154B80">
        <w:rPr>
          <w:rFonts w:ascii="Arial" w:hAnsi="Arial" w:cs="Arial"/>
          <w:b/>
          <w:lang w:val="es-CO"/>
        </w:rPr>
        <w:t>5</w:t>
      </w:r>
      <w:r w:rsidR="00FD6723" w:rsidRPr="00154B80">
        <w:rPr>
          <w:rFonts w:ascii="Arial" w:hAnsi="Arial" w:cs="Arial"/>
          <w:b/>
          <w:lang w:val="es-CO"/>
        </w:rPr>
        <w:t xml:space="preserve">o. </w:t>
      </w:r>
      <w:r w:rsidR="00366C08" w:rsidRPr="00154B80">
        <w:rPr>
          <w:rFonts w:ascii="Arial" w:hAnsi="Arial" w:cs="Arial"/>
          <w:lang w:val="es-CO"/>
        </w:rPr>
        <w:t xml:space="preserve">La presente </w:t>
      </w:r>
      <w:r w:rsidR="002E42E9" w:rsidRPr="00154B80">
        <w:rPr>
          <w:rFonts w:ascii="Arial" w:hAnsi="Arial" w:cs="Arial"/>
          <w:lang w:val="es-CO"/>
        </w:rPr>
        <w:t>r</w:t>
      </w:r>
      <w:r w:rsidR="00366C08" w:rsidRPr="00154B80">
        <w:rPr>
          <w:rFonts w:ascii="Arial" w:hAnsi="Arial" w:cs="Arial"/>
          <w:lang w:val="es-CO"/>
        </w:rPr>
        <w:t>esolución rige a partir de la fecha de su publicación en el Diario Oficial</w:t>
      </w:r>
      <w:r w:rsidR="006C2B2C" w:rsidRPr="00154B80">
        <w:rPr>
          <w:rFonts w:ascii="Arial" w:hAnsi="Arial" w:cs="Arial"/>
          <w:lang w:val="es-CO"/>
        </w:rPr>
        <w:t>.</w:t>
      </w:r>
      <w:r w:rsidR="00366C08" w:rsidRPr="00154B80">
        <w:rPr>
          <w:rFonts w:ascii="Arial" w:hAnsi="Arial" w:cs="Arial"/>
          <w:lang w:val="es-CO"/>
        </w:rPr>
        <w:t xml:space="preserve"> </w:t>
      </w:r>
    </w:p>
    <w:p w:rsidR="00366C08" w:rsidRPr="00154B80" w:rsidRDefault="00366C08" w:rsidP="00366C08">
      <w:pPr>
        <w:spacing w:after="0" w:line="0" w:lineRule="atLeast"/>
        <w:jc w:val="both"/>
        <w:rPr>
          <w:rFonts w:ascii="Arial" w:hAnsi="Arial" w:cs="Arial"/>
        </w:rPr>
      </w:pPr>
      <w:r w:rsidRPr="00154B80">
        <w:rPr>
          <w:rFonts w:ascii="Arial" w:hAnsi="Arial" w:cs="Arial"/>
          <w:b/>
          <w:bCs/>
          <w:color w:val="000000"/>
          <w:lang w:val="es-CO"/>
        </w:rPr>
        <w:t xml:space="preserve">Artículo </w:t>
      </w:r>
      <w:r w:rsidR="0058502A" w:rsidRPr="00154B80">
        <w:rPr>
          <w:rFonts w:ascii="Arial" w:hAnsi="Arial" w:cs="Arial"/>
          <w:b/>
          <w:bCs/>
          <w:color w:val="000000"/>
          <w:lang w:val="es-CO"/>
        </w:rPr>
        <w:t>6</w:t>
      </w:r>
      <w:r w:rsidR="00FD6723" w:rsidRPr="00154B80">
        <w:rPr>
          <w:rFonts w:ascii="Arial" w:hAnsi="Arial" w:cs="Arial"/>
          <w:b/>
          <w:bCs/>
          <w:color w:val="000000"/>
          <w:lang w:val="es-CO"/>
        </w:rPr>
        <w:t>o</w:t>
      </w:r>
      <w:r w:rsidRPr="00154B80">
        <w:rPr>
          <w:rFonts w:ascii="Arial" w:hAnsi="Arial" w:cs="Arial"/>
          <w:b/>
          <w:bCs/>
          <w:color w:val="000000"/>
          <w:lang w:val="es-CO"/>
        </w:rPr>
        <w:t>.</w:t>
      </w:r>
      <w:r w:rsidRPr="00154B80">
        <w:rPr>
          <w:rFonts w:ascii="Arial" w:hAnsi="Arial" w:cs="Arial"/>
          <w:color w:val="000000"/>
          <w:lang w:val="es-CO"/>
        </w:rPr>
        <w:t xml:space="preserve"> Los términos y condici</w:t>
      </w:r>
      <w:r w:rsidR="002E42E9" w:rsidRPr="00154B80">
        <w:rPr>
          <w:rFonts w:ascii="Arial" w:hAnsi="Arial" w:cs="Arial"/>
          <w:color w:val="000000"/>
          <w:lang w:val="es-CO"/>
        </w:rPr>
        <w:t>ones establecidas en las demás r</w:t>
      </w:r>
      <w:r w:rsidRPr="00154B80">
        <w:rPr>
          <w:rFonts w:ascii="Arial" w:hAnsi="Arial" w:cs="Arial"/>
          <w:color w:val="000000"/>
          <w:lang w:val="es-CO"/>
        </w:rPr>
        <w:t>esoluciones de esta Comisión permanecerán inalterados y conservarán todo su vigor y efecto, en cuanto no se opongan a</w:t>
      </w:r>
      <w:r w:rsidR="002E42E9" w:rsidRPr="00154B80">
        <w:rPr>
          <w:rFonts w:ascii="Arial" w:hAnsi="Arial" w:cs="Arial"/>
          <w:color w:val="000000"/>
          <w:lang w:val="es-CO"/>
        </w:rPr>
        <w:t xml:space="preserve"> lo establecido en la presente r</w:t>
      </w:r>
      <w:r w:rsidRPr="00154B80">
        <w:rPr>
          <w:rFonts w:ascii="Arial" w:hAnsi="Arial" w:cs="Arial"/>
          <w:color w:val="000000"/>
          <w:lang w:val="es-CO"/>
        </w:rPr>
        <w:t>esolución.</w:t>
      </w:r>
    </w:p>
    <w:p w:rsidR="001E22A4" w:rsidRPr="00154B80" w:rsidRDefault="001E22A4">
      <w:pPr>
        <w:spacing w:after="0" w:line="240" w:lineRule="auto"/>
        <w:ind w:right="-1"/>
        <w:jc w:val="both"/>
        <w:rPr>
          <w:rFonts w:ascii="Arial" w:hAnsi="Arial" w:cs="Arial"/>
        </w:rPr>
      </w:pPr>
    </w:p>
    <w:p w:rsidR="00AB04F2" w:rsidRPr="00154B80" w:rsidRDefault="00AB04F2" w:rsidP="00F2072A">
      <w:pPr>
        <w:autoSpaceDE w:val="0"/>
        <w:autoSpaceDN w:val="0"/>
        <w:adjustRightInd w:val="0"/>
        <w:spacing w:line="0" w:lineRule="atLeast"/>
        <w:jc w:val="both"/>
        <w:rPr>
          <w:rFonts w:ascii="Arial" w:hAnsi="Arial" w:cs="Arial"/>
        </w:rPr>
      </w:pPr>
      <w:r w:rsidRPr="00154B80">
        <w:rPr>
          <w:rFonts w:ascii="Arial" w:hAnsi="Arial" w:cs="Arial"/>
        </w:rPr>
        <w:t>Dada en Bogotá D.C., a los catorce (14) días del mes de diciembre de 2018.</w:t>
      </w:r>
    </w:p>
    <w:p w:rsidR="00FC06E9" w:rsidRPr="00154B80" w:rsidRDefault="00FC06E9" w:rsidP="00F2072A">
      <w:pPr>
        <w:autoSpaceDE w:val="0"/>
        <w:autoSpaceDN w:val="0"/>
        <w:adjustRightInd w:val="0"/>
        <w:spacing w:line="0" w:lineRule="atLeast"/>
        <w:jc w:val="both"/>
        <w:rPr>
          <w:rFonts w:ascii="Arial" w:hAnsi="Arial" w:cs="Arial"/>
          <w:bCs/>
        </w:rPr>
      </w:pPr>
    </w:p>
    <w:p w:rsidR="00AB04F2" w:rsidRPr="00154B80" w:rsidRDefault="00AB04F2" w:rsidP="00AB04F2">
      <w:pPr>
        <w:spacing w:after="0"/>
        <w:rPr>
          <w:rFonts w:ascii="Arial" w:hAnsi="Arial" w:cs="Arial"/>
          <w:b/>
        </w:rPr>
      </w:pPr>
      <w:r w:rsidRPr="00154B80">
        <w:rPr>
          <w:rFonts w:ascii="Arial" w:hAnsi="Arial" w:cs="Arial"/>
          <w:b/>
        </w:rPr>
        <w:t>ANDRÉS VALENCIA PINZÓN</w:t>
      </w:r>
      <w:r w:rsidRPr="00154B80">
        <w:rPr>
          <w:rFonts w:ascii="Arial" w:hAnsi="Arial" w:cs="Arial"/>
        </w:rPr>
        <w:tab/>
      </w:r>
      <w:r w:rsidRPr="00154B80">
        <w:rPr>
          <w:rFonts w:ascii="Arial" w:hAnsi="Arial" w:cs="Arial"/>
        </w:rPr>
        <w:tab/>
      </w:r>
      <w:r w:rsidRPr="00154B80">
        <w:rPr>
          <w:rFonts w:ascii="Arial" w:hAnsi="Arial" w:cs="Arial"/>
          <w:b/>
        </w:rPr>
        <w:t>CLAUDIA ACOSTA ECHEVERRÍA</w:t>
      </w:r>
    </w:p>
    <w:p w:rsidR="00125EBB" w:rsidRPr="00505BD7" w:rsidRDefault="00AB04F2" w:rsidP="00505BD7">
      <w:pPr>
        <w:spacing w:after="0"/>
        <w:rPr>
          <w:rFonts w:ascii="Arial" w:hAnsi="Arial" w:cs="Arial"/>
          <w:b/>
        </w:rPr>
      </w:pPr>
      <w:r w:rsidRPr="00154B80">
        <w:rPr>
          <w:rFonts w:ascii="Arial" w:hAnsi="Arial" w:cs="Arial"/>
        </w:rPr>
        <w:t>Presidente</w:t>
      </w:r>
      <w:r w:rsidRPr="00154B80">
        <w:rPr>
          <w:rFonts w:ascii="Arial" w:hAnsi="Arial" w:cs="Arial"/>
        </w:rPr>
        <w:tab/>
      </w:r>
      <w:r w:rsidRPr="00154B80">
        <w:rPr>
          <w:rFonts w:ascii="Arial" w:hAnsi="Arial" w:cs="Arial"/>
        </w:rPr>
        <w:tab/>
      </w:r>
      <w:r w:rsidRPr="00154B80">
        <w:rPr>
          <w:rFonts w:ascii="Arial" w:hAnsi="Arial" w:cs="Arial"/>
        </w:rPr>
        <w:tab/>
      </w:r>
      <w:r w:rsidRPr="00154B80">
        <w:rPr>
          <w:rFonts w:ascii="Arial" w:hAnsi="Arial" w:cs="Arial"/>
        </w:rPr>
        <w:tab/>
      </w:r>
      <w:r w:rsidRPr="00154B80">
        <w:rPr>
          <w:rFonts w:ascii="Arial" w:hAnsi="Arial" w:cs="Arial"/>
        </w:rPr>
        <w:tab/>
        <w:t>Secretaria Técnica (E)</w:t>
      </w:r>
      <w:bookmarkStart w:id="2" w:name="_GoBack"/>
      <w:bookmarkEnd w:id="2"/>
    </w:p>
    <w:sectPr w:rsidR="00125EBB" w:rsidRPr="00505BD7" w:rsidSect="00505BD7">
      <w:headerReference w:type="default" r:id="rId8"/>
      <w:pgSz w:w="11906" w:h="16838" w:code="9"/>
      <w:pgMar w:top="1276"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AEA" w:rsidRDefault="00CA1AEA">
      <w:pPr>
        <w:spacing w:after="0" w:line="240" w:lineRule="auto"/>
      </w:pPr>
      <w:r>
        <w:separator/>
      </w:r>
    </w:p>
  </w:endnote>
  <w:endnote w:type="continuationSeparator" w:id="0">
    <w:p w:rsidR="00CA1AEA" w:rsidRDefault="00CA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AEA" w:rsidRDefault="00CA1AEA">
      <w:pPr>
        <w:spacing w:after="0" w:line="240" w:lineRule="auto"/>
      </w:pPr>
      <w:r>
        <w:separator/>
      </w:r>
    </w:p>
  </w:footnote>
  <w:footnote w:type="continuationSeparator" w:id="0">
    <w:p w:rsidR="00CA1AEA" w:rsidRDefault="00CA1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DB4" w:rsidRDefault="00A26DB4">
    <w:pPr>
      <w:pStyle w:val="Encabezado"/>
      <w:jc w:val="right"/>
    </w:pPr>
  </w:p>
  <w:p w:rsidR="00A26DB4" w:rsidRDefault="00A26D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8D6"/>
    <w:multiLevelType w:val="hybridMultilevel"/>
    <w:tmpl w:val="FE1648B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4205F38"/>
    <w:multiLevelType w:val="hybridMultilevel"/>
    <w:tmpl w:val="41CA37C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71713E"/>
    <w:multiLevelType w:val="hybridMultilevel"/>
    <w:tmpl w:val="C862F8B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7FB2801"/>
    <w:multiLevelType w:val="hybridMultilevel"/>
    <w:tmpl w:val="DB20D8D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AC75CF2"/>
    <w:multiLevelType w:val="hybridMultilevel"/>
    <w:tmpl w:val="59047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9F407C"/>
    <w:multiLevelType w:val="hybridMultilevel"/>
    <w:tmpl w:val="1AB04FD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0F1A09"/>
    <w:multiLevelType w:val="multilevel"/>
    <w:tmpl w:val="C1AEC7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48A22E4"/>
    <w:multiLevelType w:val="hybridMultilevel"/>
    <w:tmpl w:val="6ADCDE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73210DC"/>
    <w:multiLevelType w:val="hybridMultilevel"/>
    <w:tmpl w:val="C96496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A4501BB"/>
    <w:multiLevelType w:val="hybridMultilevel"/>
    <w:tmpl w:val="1B24B4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504C3DAD"/>
    <w:multiLevelType w:val="hybridMultilevel"/>
    <w:tmpl w:val="94C493B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5ED730AF"/>
    <w:multiLevelType w:val="hybridMultilevel"/>
    <w:tmpl w:val="BA4EC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DAB5446"/>
    <w:multiLevelType w:val="hybridMultilevel"/>
    <w:tmpl w:val="FAC4E770"/>
    <w:lvl w:ilvl="0" w:tplc="40520AD0">
      <w:start w:val="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9"/>
  </w:num>
  <w:num w:numId="5">
    <w:abstractNumId w:val="12"/>
  </w:num>
  <w:num w:numId="6">
    <w:abstractNumId w:val="7"/>
  </w:num>
  <w:num w:numId="7">
    <w:abstractNumId w:val="3"/>
  </w:num>
  <w:num w:numId="8">
    <w:abstractNumId w:val="1"/>
  </w:num>
  <w:num w:numId="9">
    <w:abstractNumId w:val="6"/>
  </w:num>
  <w:num w:numId="10">
    <w:abstractNumId w:val="0"/>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BD"/>
    <w:rsid w:val="00014C56"/>
    <w:rsid w:val="000201CE"/>
    <w:rsid w:val="000202A2"/>
    <w:rsid w:val="00023B5F"/>
    <w:rsid w:val="000318D5"/>
    <w:rsid w:val="00042D85"/>
    <w:rsid w:val="0004426B"/>
    <w:rsid w:val="000876B4"/>
    <w:rsid w:val="000A5CC5"/>
    <w:rsid w:val="000D7A35"/>
    <w:rsid w:val="000E5EFB"/>
    <w:rsid w:val="00103B41"/>
    <w:rsid w:val="00122482"/>
    <w:rsid w:val="00125EBB"/>
    <w:rsid w:val="0012740D"/>
    <w:rsid w:val="00140987"/>
    <w:rsid w:val="00144D57"/>
    <w:rsid w:val="00154B80"/>
    <w:rsid w:val="00161E17"/>
    <w:rsid w:val="00174001"/>
    <w:rsid w:val="00176230"/>
    <w:rsid w:val="001846BA"/>
    <w:rsid w:val="00186F95"/>
    <w:rsid w:val="00187F8E"/>
    <w:rsid w:val="001A0AD8"/>
    <w:rsid w:val="001C4335"/>
    <w:rsid w:val="001C6BA6"/>
    <w:rsid w:val="001D288E"/>
    <w:rsid w:val="001D38C2"/>
    <w:rsid w:val="001D71C5"/>
    <w:rsid w:val="001E22A4"/>
    <w:rsid w:val="002231F2"/>
    <w:rsid w:val="00226BE1"/>
    <w:rsid w:val="00227E29"/>
    <w:rsid w:val="00235D8D"/>
    <w:rsid w:val="0024319F"/>
    <w:rsid w:val="0026153D"/>
    <w:rsid w:val="00277FDF"/>
    <w:rsid w:val="00282E4E"/>
    <w:rsid w:val="00284098"/>
    <w:rsid w:val="002C011C"/>
    <w:rsid w:val="002C5F42"/>
    <w:rsid w:val="002D71C1"/>
    <w:rsid w:val="002E42E9"/>
    <w:rsid w:val="00312698"/>
    <w:rsid w:val="00343306"/>
    <w:rsid w:val="00346E90"/>
    <w:rsid w:val="00354FCB"/>
    <w:rsid w:val="00364DEC"/>
    <w:rsid w:val="00366C08"/>
    <w:rsid w:val="00370CD5"/>
    <w:rsid w:val="00384DB7"/>
    <w:rsid w:val="003C115B"/>
    <w:rsid w:val="003C7728"/>
    <w:rsid w:val="003E1854"/>
    <w:rsid w:val="0040328E"/>
    <w:rsid w:val="0040665B"/>
    <w:rsid w:val="0041756C"/>
    <w:rsid w:val="00434851"/>
    <w:rsid w:val="004434D7"/>
    <w:rsid w:val="00443D91"/>
    <w:rsid w:val="00450E98"/>
    <w:rsid w:val="00477C1A"/>
    <w:rsid w:val="00483C88"/>
    <w:rsid w:val="004873E9"/>
    <w:rsid w:val="004A16CF"/>
    <w:rsid w:val="004C4CCD"/>
    <w:rsid w:val="004D35D1"/>
    <w:rsid w:val="004E0E98"/>
    <w:rsid w:val="004E2C52"/>
    <w:rsid w:val="004E313D"/>
    <w:rsid w:val="004E4786"/>
    <w:rsid w:val="005028F9"/>
    <w:rsid w:val="00505BD7"/>
    <w:rsid w:val="005075B9"/>
    <w:rsid w:val="0052556D"/>
    <w:rsid w:val="0053168F"/>
    <w:rsid w:val="00565C11"/>
    <w:rsid w:val="0058502A"/>
    <w:rsid w:val="005B0DCA"/>
    <w:rsid w:val="005C0011"/>
    <w:rsid w:val="005C704A"/>
    <w:rsid w:val="005D1B62"/>
    <w:rsid w:val="005D3EBD"/>
    <w:rsid w:val="005D41A3"/>
    <w:rsid w:val="005D5130"/>
    <w:rsid w:val="005D537F"/>
    <w:rsid w:val="005D548E"/>
    <w:rsid w:val="005E77C4"/>
    <w:rsid w:val="005F087E"/>
    <w:rsid w:val="00603239"/>
    <w:rsid w:val="006116A2"/>
    <w:rsid w:val="00611A46"/>
    <w:rsid w:val="00617781"/>
    <w:rsid w:val="0062220D"/>
    <w:rsid w:val="00641406"/>
    <w:rsid w:val="006424C9"/>
    <w:rsid w:val="00657730"/>
    <w:rsid w:val="0066488E"/>
    <w:rsid w:val="00665D5E"/>
    <w:rsid w:val="00684AF6"/>
    <w:rsid w:val="006A5384"/>
    <w:rsid w:val="006A71DF"/>
    <w:rsid w:val="006B4573"/>
    <w:rsid w:val="006C2B2C"/>
    <w:rsid w:val="006D6853"/>
    <w:rsid w:val="006E4C26"/>
    <w:rsid w:val="00724F76"/>
    <w:rsid w:val="00727DF0"/>
    <w:rsid w:val="00740906"/>
    <w:rsid w:val="00746089"/>
    <w:rsid w:val="007479A3"/>
    <w:rsid w:val="007627A1"/>
    <w:rsid w:val="00793B84"/>
    <w:rsid w:val="007A5679"/>
    <w:rsid w:val="007C050A"/>
    <w:rsid w:val="007C4ADE"/>
    <w:rsid w:val="007C604D"/>
    <w:rsid w:val="007D079C"/>
    <w:rsid w:val="007E12FC"/>
    <w:rsid w:val="007E5E33"/>
    <w:rsid w:val="007F2B69"/>
    <w:rsid w:val="007F6B66"/>
    <w:rsid w:val="008161F6"/>
    <w:rsid w:val="00816653"/>
    <w:rsid w:val="00826560"/>
    <w:rsid w:val="00831272"/>
    <w:rsid w:val="008414BF"/>
    <w:rsid w:val="008454B5"/>
    <w:rsid w:val="00851AA8"/>
    <w:rsid w:val="008827B4"/>
    <w:rsid w:val="008876F1"/>
    <w:rsid w:val="0089128A"/>
    <w:rsid w:val="00895606"/>
    <w:rsid w:val="008964DD"/>
    <w:rsid w:val="00896A09"/>
    <w:rsid w:val="008A1875"/>
    <w:rsid w:val="008B2E6E"/>
    <w:rsid w:val="008D44DD"/>
    <w:rsid w:val="008E1CDE"/>
    <w:rsid w:val="008E3502"/>
    <w:rsid w:val="00901832"/>
    <w:rsid w:val="00920577"/>
    <w:rsid w:val="00927A51"/>
    <w:rsid w:val="00930386"/>
    <w:rsid w:val="009324D6"/>
    <w:rsid w:val="00933F40"/>
    <w:rsid w:val="00944DE9"/>
    <w:rsid w:val="00946E49"/>
    <w:rsid w:val="0096316C"/>
    <w:rsid w:val="009705BB"/>
    <w:rsid w:val="009744B4"/>
    <w:rsid w:val="009848D5"/>
    <w:rsid w:val="009A5E1F"/>
    <w:rsid w:val="009B3F38"/>
    <w:rsid w:val="009C7CEE"/>
    <w:rsid w:val="009D54AC"/>
    <w:rsid w:val="009F0134"/>
    <w:rsid w:val="009F3EF7"/>
    <w:rsid w:val="00A11F3B"/>
    <w:rsid w:val="00A241DE"/>
    <w:rsid w:val="00A25818"/>
    <w:rsid w:val="00A26DB4"/>
    <w:rsid w:val="00A30A63"/>
    <w:rsid w:val="00A3739B"/>
    <w:rsid w:val="00A42E6F"/>
    <w:rsid w:val="00A51D0C"/>
    <w:rsid w:val="00A60B52"/>
    <w:rsid w:val="00A60D92"/>
    <w:rsid w:val="00A611B5"/>
    <w:rsid w:val="00A61894"/>
    <w:rsid w:val="00A751B2"/>
    <w:rsid w:val="00A82789"/>
    <w:rsid w:val="00A82CD2"/>
    <w:rsid w:val="00A86056"/>
    <w:rsid w:val="00AB04F2"/>
    <w:rsid w:val="00AC0399"/>
    <w:rsid w:val="00AD1045"/>
    <w:rsid w:val="00AD694F"/>
    <w:rsid w:val="00AE27A8"/>
    <w:rsid w:val="00AE36C7"/>
    <w:rsid w:val="00AF748B"/>
    <w:rsid w:val="00B02F33"/>
    <w:rsid w:val="00B11408"/>
    <w:rsid w:val="00B13FC6"/>
    <w:rsid w:val="00B36FB3"/>
    <w:rsid w:val="00B44062"/>
    <w:rsid w:val="00B508E9"/>
    <w:rsid w:val="00B54332"/>
    <w:rsid w:val="00B65C60"/>
    <w:rsid w:val="00B70D77"/>
    <w:rsid w:val="00B8471B"/>
    <w:rsid w:val="00B86081"/>
    <w:rsid w:val="00B87B6C"/>
    <w:rsid w:val="00BB6FAC"/>
    <w:rsid w:val="00BB7D4A"/>
    <w:rsid w:val="00BC5942"/>
    <w:rsid w:val="00BD02BE"/>
    <w:rsid w:val="00BD2099"/>
    <w:rsid w:val="00BE0368"/>
    <w:rsid w:val="00BE1B94"/>
    <w:rsid w:val="00BE719F"/>
    <w:rsid w:val="00BF293A"/>
    <w:rsid w:val="00C019D7"/>
    <w:rsid w:val="00C07DF6"/>
    <w:rsid w:val="00C10DFA"/>
    <w:rsid w:val="00C27D9B"/>
    <w:rsid w:val="00C320B9"/>
    <w:rsid w:val="00C353E1"/>
    <w:rsid w:val="00C3710A"/>
    <w:rsid w:val="00C63E60"/>
    <w:rsid w:val="00C64F28"/>
    <w:rsid w:val="00C75A42"/>
    <w:rsid w:val="00C94382"/>
    <w:rsid w:val="00CA1440"/>
    <w:rsid w:val="00CA167A"/>
    <w:rsid w:val="00CA1AEA"/>
    <w:rsid w:val="00CA1F68"/>
    <w:rsid w:val="00CD55E3"/>
    <w:rsid w:val="00CF280E"/>
    <w:rsid w:val="00CF36B7"/>
    <w:rsid w:val="00D02DFB"/>
    <w:rsid w:val="00D16053"/>
    <w:rsid w:val="00D176C4"/>
    <w:rsid w:val="00D22FF0"/>
    <w:rsid w:val="00D40B7D"/>
    <w:rsid w:val="00D61129"/>
    <w:rsid w:val="00D65BDD"/>
    <w:rsid w:val="00D6619E"/>
    <w:rsid w:val="00D71F9E"/>
    <w:rsid w:val="00D77433"/>
    <w:rsid w:val="00D800B0"/>
    <w:rsid w:val="00DB26D1"/>
    <w:rsid w:val="00DC4949"/>
    <w:rsid w:val="00DE1BB1"/>
    <w:rsid w:val="00DE2012"/>
    <w:rsid w:val="00DE3311"/>
    <w:rsid w:val="00DF5DB7"/>
    <w:rsid w:val="00E017FA"/>
    <w:rsid w:val="00E15BB2"/>
    <w:rsid w:val="00E16A38"/>
    <w:rsid w:val="00E30E04"/>
    <w:rsid w:val="00E42E23"/>
    <w:rsid w:val="00E73961"/>
    <w:rsid w:val="00E9649E"/>
    <w:rsid w:val="00EC20F7"/>
    <w:rsid w:val="00ED4FCE"/>
    <w:rsid w:val="00EE617F"/>
    <w:rsid w:val="00EE72D7"/>
    <w:rsid w:val="00EF3688"/>
    <w:rsid w:val="00F008DC"/>
    <w:rsid w:val="00F05586"/>
    <w:rsid w:val="00F1618F"/>
    <w:rsid w:val="00F2072A"/>
    <w:rsid w:val="00F40A97"/>
    <w:rsid w:val="00F4192E"/>
    <w:rsid w:val="00F56980"/>
    <w:rsid w:val="00F56C23"/>
    <w:rsid w:val="00F60756"/>
    <w:rsid w:val="00F736D0"/>
    <w:rsid w:val="00FA32A3"/>
    <w:rsid w:val="00FA653B"/>
    <w:rsid w:val="00FB33E6"/>
    <w:rsid w:val="00FC06E9"/>
    <w:rsid w:val="00FD6723"/>
    <w:rsid w:val="00FD7A50"/>
    <w:rsid w:val="00FE44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FE52D-2334-410B-8341-D7500882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2E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2E23"/>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Textonotapie">
    <w:name w:val="footnote text"/>
    <w:basedOn w:val="Normal"/>
    <w:link w:val="TextonotapieCar"/>
    <w:uiPriority w:val="99"/>
    <w:semiHidden/>
    <w:unhideWhenUsed/>
    <w:rsid w:val="00E42E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42E23"/>
    <w:rPr>
      <w:sz w:val="20"/>
      <w:szCs w:val="20"/>
    </w:rPr>
  </w:style>
  <w:style w:type="character" w:styleId="Refdenotaalpie">
    <w:name w:val="footnote reference"/>
    <w:basedOn w:val="Fuentedeprrafopredeter"/>
    <w:uiPriority w:val="99"/>
    <w:semiHidden/>
    <w:unhideWhenUsed/>
    <w:rsid w:val="00E42E23"/>
    <w:rPr>
      <w:vertAlign w:val="superscript"/>
    </w:rPr>
  </w:style>
  <w:style w:type="paragraph" w:styleId="Prrafodelista">
    <w:name w:val="List Paragraph"/>
    <w:basedOn w:val="Normal"/>
    <w:uiPriority w:val="34"/>
    <w:qFormat/>
    <w:rsid w:val="00E42E23"/>
    <w:pPr>
      <w:ind w:left="720"/>
      <w:contextualSpacing/>
    </w:pPr>
  </w:style>
  <w:style w:type="character" w:styleId="Refdecomentario">
    <w:name w:val="annotation reference"/>
    <w:basedOn w:val="Fuentedeprrafopredeter"/>
    <w:uiPriority w:val="99"/>
    <w:semiHidden/>
    <w:unhideWhenUsed/>
    <w:rsid w:val="00E42E23"/>
    <w:rPr>
      <w:sz w:val="16"/>
      <w:szCs w:val="16"/>
    </w:rPr>
  </w:style>
  <w:style w:type="paragraph" w:styleId="Textocomentario">
    <w:name w:val="annotation text"/>
    <w:basedOn w:val="Normal"/>
    <w:link w:val="TextocomentarioCar"/>
    <w:uiPriority w:val="99"/>
    <w:semiHidden/>
    <w:unhideWhenUsed/>
    <w:rsid w:val="00E42E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2E23"/>
    <w:rPr>
      <w:sz w:val="20"/>
      <w:szCs w:val="20"/>
    </w:rPr>
  </w:style>
  <w:style w:type="paragraph" w:styleId="Asuntodelcomentario">
    <w:name w:val="annotation subject"/>
    <w:basedOn w:val="Textocomentario"/>
    <w:next w:val="Textocomentario"/>
    <w:link w:val="AsuntodelcomentarioCar"/>
    <w:uiPriority w:val="99"/>
    <w:semiHidden/>
    <w:unhideWhenUsed/>
    <w:rsid w:val="00E42E23"/>
    <w:rPr>
      <w:b/>
      <w:bCs/>
    </w:rPr>
  </w:style>
  <w:style w:type="character" w:customStyle="1" w:styleId="AsuntodelcomentarioCar">
    <w:name w:val="Asunto del comentario Car"/>
    <w:basedOn w:val="TextocomentarioCar"/>
    <w:link w:val="Asuntodelcomentario"/>
    <w:uiPriority w:val="99"/>
    <w:semiHidden/>
    <w:rsid w:val="00E42E23"/>
    <w:rPr>
      <w:b/>
      <w:bCs/>
      <w:sz w:val="20"/>
      <w:szCs w:val="20"/>
    </w:rPr>
  </w:style>
  <w:style w:type="paragraph" w:styleId="Textodeglobo">
    <w:name w:val="Balloon Text"/>
    <w:basedOn w:val="Normal"/>
    <w:link w:val="TextodegloboCar"/>
    <w:uiPriority w:val="99"/>
    <w:semiHidden/>
    <w:unhideWhenUsed/>
    <w:rsid w:val="00E42E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2E23"/>
    <w:rPr>
      <w:rFonts w:ascii="Segoe UI" w:hAnsi="Segoe UI" w:cs="Segoe UI"/>
      <w:sz w:val="18"/>
      <w:szCs w:val="18"/>
    </w:rPr>
  </w:style>
  <w:style w:type="paragraph" w:styleId="Encabezado">
    <w:name w:val="header"/>
    <w:basedOn w:val="Normal"/>
    <w:link w:val="EncabezadoCar"/>
    <w:uiPriority w:val="99"/>
    <w:unhideWhenUsed/>
    <w:rsid w:val="00E42E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2E23"/>
  </w:style>
  <w:style w:type="paragraph" w:styleId="Piedepgina">
    <w:name w:val="footer"/>
    <w:basedOn w:val="Normal"/>
    <w:link w:val="PiedepginaCar"/>
    <w:uiPriority w:val="99"/>
    <w:unhideWhenUsed/>
    <w:rsid w:val="00E42E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2E23"/>
  </w:style>
  <w:style w:type="paragraph" w:styleId="Textonotaalfinal">
    <w:name w:val="endnote text"/>
    <w:basedOn w:val="Normal"/>
    <w:link w:val="TextonotaalfinalCar"/>
    <w:uiPriority w:val="99"/>
    <w:semiHidden/>
    <w:unhideWhenUsed/>
    <w:rsid w:val="009F3EF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F3EF7"/>
    <w:rPr>
      <w:sz w:val="20"/>
      <w:szCs w:val="20"/>
    </w:rPr>
  </w:style>
  <w:style w:type="character" w:styleId="Refdenotaalfinal">
    <w:name w:val="endnote reference"/>
    <w:basedOn w:val="Fuentedeprrafopredeter"/>
    <w:uiPriority w:val="99"/>
    <w:semiHidden/>
    <w:unhideWhenUsed/>
    <w:rsid w:val="009F3EF7"/>
    <w:rPr>
      <w:vertAlign w:val="superscript"/>
    </w:rPr>
  </w:style>
  <w:style w:type="paragraph" w:styleId="Textoindependiente2">
    <w:name w:val="Body Text 2"/>
    <w:basedOn w:val="Normal"/>
    <w:link w:val="Textoindependiente2Car"/>
    <w:uiPriority w:val="99"/>
    <w:unhideWhenUsed/>
    <w:rsid w:val="00505BD7"/>
    <w:pPr>
      <w:spacing w:after="120" w:line="480" w:lineRule="auto"/>
      <w:jc w:val="both"/>
    </w:pPr>
    <w:rPr>
      <w:rFonts w:ascii="Arial" w:hAnsi="Arial" w:cs="Arial"/>
      <w:sz w:val="24"/>
      <w:szCs w:val="24"/>
      <w:lang w:val="es-CO" w:eastAsia="x-none"/>
    </w:rPr>
  </w:style>
  <w:style w:type="character" w:customStyle="1" w:styleId="Textoindependiente2Car">
    <w:name w:val="Texto independiente 2 Car"/>
    <w:basedOn w:val="Fuentedeprrafopredeter"/>
    <w:link w:val="Textoindependiente2"/>
    <w:uiPriority w:val="99"/>
    <w:rsid w:val="00505BD7"/>
    <w:rPr>
      <w:rFonts w:ascii="Arial" w:hAnsi="Arial" w:cs="Arial"/>
      <w:sz w:val="24"/>
      <w:szCs w:val="24"/>
      <w:lang w:val="es-CO" w:eastAsia="x-none"/>
    </w:rPr>
  </w:style>
  <w:style w:type="paragraph" w:styleId="Sinespaciado">
    <w:name w:val="No Spacing"/>
    <w:uiPriority w:val="1"/>
    <w:qFormat/>
    <w:rsid w:val="00D160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1207">
      <w:bodyDiv w:val="1"/>
      <w:marLeft w:val="0"/>
      <w:marRight w:val="0"/>
      <w:marTop w:val="0"/>
      <w:marBottom w:val="0"/>
      <w:divBdr>
        <w:top w:val="none" w:sz="0" w:space="0" w:color="auto"/>
        <w:left w:val="none" w:sz="0" w:space="0" w:color="auto"/>
        <w:bottom w:val="none" w:sz="0" w:space="0" w:color="auto"/>
        <w:right w:val="none" w:sz="0" w:space="0" w:color="auto"/>
      </w:divBdr>
    </w:div>
    <w:div w:id="150024424">
      <w:bodyDiv w:val="1"/>
      <w:marLeft w:val="0"/>
      <w:marRight w:val="0"/>
      <w:marTop w:val="0"/>
      <w:marBottom w:val="0"/>
      <w:divBdr>
        <w:top w:val="none" w:sz="0" w:space="0" w:color="auto"/>
        <w:left w:val="none" w:sz="0" w:space="0" w:color="auto"/>
        <w:bottom w:val="none" w:sz="0" w:space="0" w:color="auto"/>
        <w:right w:val="none" w:sz="0" w:space="0" w:color="auto"/>
      </w:divBdr>
    </w:div>
    <w:div w:id="207886666">
      <w:bodyDiv w:val="1"/>
      <w:marLeft w:val="0"/>
      <w:marRight w:val="0"/>
      <w:marTop w:val="0"/>
      <w:marBottom w:val="0"/>
      <w:divBdr>
        <w:top w:val="none" w:sz="0" w:space="0" w:color="auto"/>
        <w:left w:val="none" w:sz="0" w:space="0" w:color="auto"/>
        <w:bottom w:val="none" w:sz="0" w:space="0" w:color="auto"/>
        <w:right w:val="none" w:sz="0" w:space="0" w:color="auto"/>
      </w:divBdr>
    </w:div>
    <w:div w:id="261838949">
      <w:bodyDiv w:val="1"/>
      <w:marLeft w:val="0"/>
      <w:marRight w:val="0"/>
      <w:marTop w:val="0"/>
      <w:marBottom w:val="0"/>
      <w:divBdr>
        <w:top w:val="none" w:sz="0" w:space="0" w:color="auto"/>
        <w:left w:val="none" w:sz="0" w:space="0" w:color="auto"/>
        <w:bottom w:val="none" w:sz="0" w:space="0" w:color="auto"/>
        <w:right w:val="none" w:sz="0" w:space="0" w:color="auto"/>
      </w:divBdr>
    </w:div>
    <w:div w:id="268437343">
      <w:bodyDiv w:val="1"/>
      <w:marLeft w:val="0"/>
      <w:marRight w:val="0"/>
      <w:marTop w:val="0"/>
      <w:marBottom w:val="0"/>
      <w:divBdr>
        <w:top w:val="none" w:sz="0" w:space="0" w:color="auto"/>
        <w:left w:val="none" w:sz="0" w:space="0" w:color="auto"/>
        <w:bottom w:val="none" w:sz="0" w:space="0" w:color="auto"/>
        <w:right w:val="none" w:sz="0" w:space="0" w:color="auto"/>
      </w:divBdr>
    </w:div>
    <w:div w:id="481391259">
      <w:bodyDiv w:val="1"/>
      <w:marLeft w:val="0"/>
      <w:marRight w:val="0"/>
      <w:marTop w:val="0"/>
      <w:marBottom w:val="0"/>
      <w:divBdr>
        <w:top w:val="none" w:sz="0" w:space="0" w:color="auto"/>
        <w:left w:val="none" w:sz="0" w:space="0" w:color="auto"/>
        <w:bottom w:val="none" w:sz="0" w:space="0" w:color="auto"/>
        <w:right w:val="none" w:sz="0" w:space="0" w:color="auto"/>
      </w:divBdr>
    </w:div>
    <w:div w:id="512573511">
      <w:bodyDiv w:val="1"/>
      <w:marLeft w:val="0"/>
      <w:marRight w:val="0"/>
      <w:marTop w:val="0"/>
      <w:marBottom w:val="0"/>
      <w:divBdr>
        <w:top w:val="none" w:sz="0" w:space="0" w:color="auto"/>
        <w:left w:val="none" w:sz="0" w:space="0" w:color="auto"/>
        <w:bottom w:val="none" w:sz="0" w:space="0" w:color="auto"/>
        <w:right w:val="none" w:sz="0" w:space="0" w:color="auto"/>
      </w:divBdr>
    </w:div>
    <w:div w:id="525172535">
      <w:bodyDiv w:val="1"/>
      <w:marLeft w:val="0"/>
      <w:marRight w:val="0"/>
      <w:marTop w:val="0"/>
      <w:marBottom w:val="0"/>
      <w:divBdr>
        <w:top w:val="none" w:sz="0" w:space="0" w:color="auto"/>
        <w:left w:val="none" w:sz="0" w:space="0" w:color="auto"/>
        <w:bottom w:val="none" w:sz="0" w:space="0" w:color="auto"/>
        <w:right w:val="none" w:sz="0" w:space="0" w:color="auto"/>
      </w:divBdr>
    </w:div>
    <w:div w:id="529680538">
      <w:bodyDiv w:val="1"/>
      <w:marLeft w:val="0"/>
      <w:marRight w:val="0"/>
      <w:marTop w:val="0"/>
      <w:marBottom w:val="0"/>
      <w:divBdr>
        <w:top w:val="none" w:sz="0" w:space="0" w:color="auto"/>
        <w:left w:val="none" w:sz="0" w:space="0" w:color="auto"/>
        <w:bottom w:val="none" w:sz="0" w:space="0" w:color="auto"/>
        <w:right w:val="none" w:sz="0" w:space="0" w:color="auto"/>
      </w:divBdr>
    </w:div>
    <w:div w:id="759522218">
      <w:bodyDiv w:val="1"/>
      <w:marLeft w:val="0"/>
      <w:marRight w:val="0"/>
      <w:marTop w:val="0"/>
      <w:marBottom w:val="0"/>
      <w:divBdr>
        <w:top w:val="none" w:sz="0" w:space="0" w:color="auto"/>
        <w:left w:val="none" w:sz="0" w:space="0" w:color="auto"/>
        <w:bottom w:val="none" w:sz="0" w:space="0" w:color="auto"/>
        <w:right w:val="none" w:sz="0" w:space="0" w:color="auto"/>
      </w:divBdr>
    </w:div>
    <w:div w:id="909116478">
      <w:bodyDiv w:val="1"/>
      <w:marLeft w:val="0"/>
      <w:marRight w:val="0"/>
      <w:marTop w:val="0"/>
      <w:marBottom w:val="0"/>
      <w:divBdr>
        <w:top w:val="none" w:sz="0" w:space="0" w:color="auto"/>
        <w:left w:val="none" w:sz="0" w:space="0" w:color="auto"/>
        <w:bottom w:val="none" w:sz="0" w:space="0" w:color="auto"/>
        <w:right w:val="none" w:sz="0" w:space="0" w:color="auto"/>
      </w:divBdr>
    </w:div>
    <w:div w:id="920481417">
      <w:bodyDiv w:val="1"/>
      <w:marLeft w:val="0"/>
      <w:marRight w:val="0"/>
      <w:marTop w:val="0"/>
      <w:marBottom w:val="0"/>
      <w:divBdr>
        <w:top w:val="none" w:sz="0" w:space="0" w:color="auto"/>
        <w:left w:val="none" w:sz="0" w:space="0" w:color="auto"/>
        <w:bottom w:val="none" w:sz="0" w:space="0" w:color="auto"/>
        <w:right w:val="none" w:sz="0" w:space="0" w:color="auto"/>
      </w:divBdr>
    </w:div>
    <w:div w:id="1047527967">
      <w:bodyDiv w:val="1"/>
      <w:marLeft w:val="0"/>
      <w:marRight w:val="0"/>
      <w:marTop w:val="0"/>
      <w:marBottom w:val="0"/>
      <w:divBdr>
        <w:top w:val="none" w:sz="0" w:space="0" w:color="auto"/>
        <w:left w:val="none" w:sz="0" w:space="0" w:color="auto"/>
        <w:bottom w:val="none" w:sz="0" w:space="0" w:color="auto"/>
        <w:right w:val="none" w:sz="0" w:space="0" w:color="auto"/>
      </w:divBdr>
    </w:div>
    <w:div w:id="1098208450">
      <w:bodyDiv w:val="1"/>
      <w:marLeft w:val="0"/>
      <w:marRight w:val="0"/>
      <w:marTop w:val="0"/>
      <w:marBottom w:val="0"/>
      <w:divBdr>
        <w:top w:val="none" w:sz="0" w:space="0" w:color="auto"/>
        <w:left w:val="none" w:sz="0" w:space="0" w:color="auto"/>
        <w:bottom w:val="none" w:sz="0" w:space="0" w:color="auto"/>
        <w:right w:val="none" w:sz="0" w:space="0" w:color="auto"/>
      </w:divBdr>
    </w:div>
    <w:div w:id="1144659178">
      <w:bodyDiv w:val="1"/>
      <w:marLeft w:val="0"/>
      <w:marRight w:val="0"/>
      <w:marTop w:val="0"/>
      <w:marBottom w:val="0"/>
      <w:divBdr>
        <w:top w:val="none" w:sz="0" w:space="0" w:color="auto"/>
        <w:left w:val="none" w:sz="0" w:space="0" w:color="auto"/>
        <w:bottom w:val="none" w:sz="0" w:space="0" w:color="auto"/>
        <w:right w:val="none" w:sz="0" w:space="0" w:color="auto"/>
      </w:divBdr>
    </w:div>
    <w:div w:id="1457026955">
      <w:bodyDiv w:val="1"/>
      <w:marLeft w:val="0"/>
      <w:marRight w:val="0"/>
      <w:marTop w:val="0"/>
      <w:marBottom w:val="0"/>
      <w:divBdr>
        <w:top w:val="none" w:sz="0" w:space="0" w:color="auto"/>
        <w:left w:val="none" w:sz="0" w:space="0" w:color="auto"/>
        <w:bottom w:val="none" w:sz="0" w:space="0" w:color="auto"/>
        <w:right w:val="none" w:sz="0" w:space="0" w:color="auto"/>
      </w:divBdr>
    </w:div>
    <w:div w:id="1457139118">
      <w:bodyDiv w:val="1"/>
      <w:marLeft w:val="0"/>
      <w:marRight w:val="0"/>
      <w:marTop w:val="0"/>
      <w:marBottom w:val="0"/>
      <w:divBdr>
        <w:top w:val="none" w:sz="0" w:space="0" w:color="auto"/>
        <w:left w:val="none" w:sz="0" w:space="0" w:color="auto"/>
        <w:bottom w:val="none" w:sz="0" w:space="0" w:color="auto"/>
        <w:right w:val="none" w:sz="0" w:space="0" w:color="auto"/>
      </w:divBdr>
    </w:div>
    <w:div w:id="187095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Jul18</b:Tag>
    <b:SourceType>DocumentFromInternetSite</b:SourceType>
    <b:Guid>{A85C026C-779E-4EE6-801B-652E7ECE18FB}</b:Guid>
    <b:Author>
      <b:Author>
        <b:NameList>
          <b:Person>
            <b:Last>Proenza</b:Last>
            <b:First>Juliana</b:First>
            <b:Middle>Maria Luna</b:Middle>
          </b:Person>
        </b:NameList>
      </b:Author>
    </b:Author>
    <b:Title>CESA</b:Title>
    <b:Year>2012</b:Year>
    <b:Month>12</b:Month>
    <b:Day>01</b:Day>
    <b:URL>http://repository.cesa.edu.co/bitstream/handle/10726/308/TEF00185.pdf?sequence=5&amp;isAllowed=y</b:URL>
    <b:RefOrder>1</b:RefOrder>
  </b:Source>
</b:Sources>
</file>

<file path=customXml/itemProps1.xml><?xml version="1.0" encoding="utf-8"?>
<ds:datastoreItem xmlns:ds="http://schemas.openxmlformats.org/officeDocument/2006/customXml" ds:itemID="{9CCB011F-5C34-496F-A332-121C7610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1340</Words>
  <Characters>7376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Fernanda Guerra Charry</dc:creator>
  <cp:lastModifiedBy>Maria Fernanda Guerra Charry</cp:lastModifiedBy>
  <cp:revision>48</cp:revision>
  <dcterms:created xsi:type="dcterms:W3CDTF">2018-12-11T17:08:00Z</dcterms:created>
  <dcterms:modified xsi:type="dcterms:W3CDTF">2018-12-11T23:35:00Z</dcterms:modified>
</cp:coreProperties>
</file>