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8F" w:rsidRPr="00D2471F" w:rsidRDefault="009D7151" w:rsidP="00BB4585">
      <w:pPr>
        <w:jc w:val="center"/>
        <w:rPr>
          <w:b/>
        </w:rPr>
      </w:pPr>
      <w:r w:rsidRPr="00D2471F">
        <w:rPr>
          <w:b/>
        </w:rPr>
        <w:t xml:space="preserve">PROYECTO </w:t>
      </w:r>
    </w:p>
    <w:p w:rsidR="009D7151" w:rsidRPr="00D2471F" w:rsidRDefault="009D7151" w:rsidP="00BB4585">
      <w:pPr>
        <w:jc w:val="center"/>
        <w:rPr>
          <w:b/>
        </w:rPr>
      </w:pPr>
    </w:p>
    <w:p w:rsidR="007D64D6" w:rsidRPr="00D2471F" w:rsidRDefault="007D64D6" w:rsidP="00BB4585">
      <w:pPr>
        <w:jc w:val="center"/>
        <w:rPr>
          <w:b/>
        </w:rPr>
      </w:pPr>
      <w:r w:rsidRPr="00D2471F">
        <w:rPr>
          <w:b/>
        </w:rPr>
        <w:t>REPÚBLICA DE COLOMBIA</w:t>
      </w:r>
    </w:p>
    <w:p w:rsidR="00A72BAA" w:rsidRPr="00D2471F" w:rsidRDefault="00A72BAA" w:rsidP="00BB4585">
      <w:pPr>
        <w:jc w:val="center"/>
        <w:rPr>
          <w:b/>
        </w:rPr>
      </w:pPr>
    </w:p>
    <w:p w:rsidR="00BB4585" w:rsidRPr="00D2471F" w:rsidRDefault="007D64D6" w:rsidP="00BB4585">
      <w:pPr>
        <w:jc w:val="center"/>
        <w:rPr>
          <w:b/>
        </w:rPr>
      </w:pPr>
      <w:r w:rsidRPr="00D2471F">
        <w:rPr>
          <w:b/>
        </w:rPr>
        <w:t xml:space="preserve">COMISIÓN NACIONAL DE CRÉDITO AGROPECUARIO </w:t>
      </w:r>
    </w:p>
    <w:p w:rsidR="007D64D6" w:rsidRPr="00D2471F" w:rsidRDefault="007D64D6" w:rsidP="00BB4585">
      <w:pPr>
        <w:jc w:val="center"/>
        <w:rPr>
          <w:b/>
        </w:rPr>
      </w:pPr>
      <w:r w:rsidRPr="00D2471F">
        <w:rPr>
          <w:b/>
        </w:rPr>
        <w:t xml:space="preserve">RESOLUCIÓN N </w:t>
      </w:r>
      <w:r w:rsidR="00384345" w:rsidRPr="00D2471F">
        <w:rPr>
          <w:b/>
        </w:rPr>
        <w:t>_</w:t>
      </w:r>
      <w:r w:rsidR="00FF2AED" w:rsidRPr="00D2471F">
        <w:rPr>
          <w:b/>
        </w:rPr>
        <w:t>_</w:t>
      </w:r>
      <w:r w:rsidRPr="00D2471F">
        <w:rPr>
          <w:b/>
        </w:rPr>
        <w:t xml:space="preserve"> DE 2018</w:t>
      </w:r>
    </w:p>
    <w:p w:rsidR="00BB4585" w:rsidRPr="00D2471F" w:rsidRDefault="00BB4585" w:rsidP="00BB4585">
      <w:pPr>
        <w:jc w:val="center"/>
      </w:pPr>
    </w:p>
    <w:p w:rsidR="007D64D6" w:rsidRPr="00D2471F" w:rsidRDefault="007D64D6" w:rsidP="00BB4585">
      <w:pPr>
        <w:jc w:val="center"/>
      </w:pPr>
      <w:r w:rsidRPr="00D2471F">
        <w:t xml:space="preserve">Por la </w:t>
      </w:r>
      <w:r w:rsidR="000701F2" w:rsidRPr="00D2471F">
        <w:t xml:space="preserve">cual </w:t>
      </w:r>
      <w:r w:rsidR="0078590A" w:rsidRPr="00D2471F">
        <w:t>se modifica la Resolución</w:t>
      </w:r>
      <w:r w:rsidR="00FF2AED" w:rsidRPr="00D2471F">
        <w:t xml:space="preserve"> </w:t>
      </w:r>
      <w:r w:rsidR="008D0959" w:rsidRPr="00D2471F">
        <w:t>1</w:t>
      </w:r>
      <w:r w:rsidR="00FF2AED" w:rsidRPr="00D2471F">
        <w:t xml:space="preserve"> de 201</w:t>
      </w:r>
      <w:r w:rsidR="008D0959" w:rsidRPr="00D2471F">
        <w:t>8</w:t>
      </w:r>
      <w:r w:rsidR="00FF2AED" w:rsidRPr="00D2471F">
        <w:t xml:space="preserve"> “</w:t>
      </w:r>
      <w:r w:rsidR="00384345" w:rsidRPr="00D2471F">
        <w:t>Por la cual se adopta</w:t>
      </w:r>
      <w:r w:rsidR="00FC6A42" w:rsidRPr="00D2471F">
        <w:t>n</w:t>
      </w:r>
      <w:r w:rsidR="00384345" w:rsidRPr="00D2471F">
        <w:t xml:space="preserve"> </w:t>
      </w:r>
      <w:r w:rsidR="008D0959" w:rsidRPr="00D2471F">
        <w:t>medidas para financiar el pago de pasivos no financieros con terceros a cargo de productores de arroz destinados al financiamiento de su actividad productiva</w:t>
      </w:r>
      <w:r w:rsidR="00717B50" w:rsidRPr="00D2471F">
        <w:t>”</w:t>
      </w:r>
    </w:p>
    <w:p w:rsidR="00E25E8F" w:rsidRPr="00D2471F" w:rsidRDefault="00E25E8F" w:rsidP="00BB4585">
      <w:pPr>
        <w:jc w:val="center"/>
      </w:pPr>
    </w:p>
    <w:p w:rsidR="0084086B" w:rsidRPr="00D2471F" w:rsidRDefault="0084086B" w:rsidP="00BB4585">
      <w:pPr>
        <w:jc w:val="center"/>
        <w:rPr>
          <w:b/>
        </w:rPr>
      </w:pPr>
      <w:r w:rsidRPr="00D2471F">
        <w:rPr>
          <w:b/>
        </w:rPr>
        <w:t xml:space="preserve"> </w:t>
      </w:r>
    </w:p>
    <w:p w:rsidR="007D64D6" w:rsidRPr="00D2471F" w:rsidRDefault="007D64D6" w:rsidP="00BB4585">
      <w:pPr>
        <w:jc w:val="center"/>
        <w:rPr>
          <w:b/>
        </w:rPr>
      </w:pPr>
      <w:r w:rsidRPr="00D2471F">
        <w:rPr>
          <w:b/>
        </w:rPr>
        <w:t>LA COMISIÓN NACIONAL DE CRÉDITO AGROPECUARIO</w:t>
      </w:r>
    </w:p>
    <w:p w:rsidR="0084086B" w:rsidRPr="00D2471F" w:rsidRDefault="0084086B" w:rsidP="00BB4585">
      <w:pPr>
        <w:jc w:val="center"/>
        <w:rPr>
          <w:b/>
        </w:rPr>
      </w:pPr>
    </w:p>
    <w:p w:rsidR="000A288E" w:rsidRPr="00D2471F" w:rsidRDefault="000A288E" w:rsidP="007A2461">
      <w:r w:rsidRPr="00D2471F">
        <w:t xml:space="preserve">En ejercicio de las facultades conferidas </w:t>
      </w:r>
      <w:bookmarkStart w:id="0" w:name="_Hlk531618272"/>
      <w:r w:rsidRPr="00D2471F">
        <w:t xml:space="preserve">en </w:t>
      </w:r>
      <w:r w:rsidR="00BC18CB" w:rsidRPr="00D2471F">
        <w:t>los</w:t>
      </w:r>
      <w:r w:rsidRPr="00D2471F">
        <w:t xml:space="preserve"> artículo</w:t>
      </w:r>
      <w:r w:rsidR="00BC18CB" w:rsidRPr="00D2471F">
        <w:t>s</w:t>
      </w:r>
      <w:r w:rsidRPr="00D2471F">
        <w:t xml:space="preserve"> 218 y 220 del Estatuto Orgánico del Sistema Financiero modificado por el </w:t>
      </w:r>
      <w:r w:rsidR="00855D7E" w:rsidRPr="00D2471F">
        <w:t>D</w:t>
      </w:r>
      <w:r w:rsidRPr="00D2471F">
        <w:t>ecreto</w:t>
      </w:r>
      <w:r w:rsidR="00855D7E" w:rsidRPr="00D2471F">
        <w:t xml:space="preserve"> Ley</w:t>
      </w:r>
      <w:r w:rsidRPr="00D2471F">
        <w:t xml:space="preserve"> 2371 de 2015 </w:t>
      </w:r>
      <w:bookmarkEnd w:id="0"/>
      <w:r w:rsidRPr="00D2471F">
        <w:t>y el Decreto 1313 de 1990</w:t>
      </w:r>
      <w:r w:rsidR="0078590A" w:rsidRPr="00D2471F">
        <w:t xml:space="preserve"> y, </w:t>
      </w:r>
    </w:p>
    <w:p w:rsidR="0084086B" w:rsidRPr="00D2471F" w:rsidRDefault="0084086B" w:rsidP="000A288E">
      <w:pPr>
        <w:jc w:val="center"/>
        <w:rPr>
          <w:b/>
        </w:rPr>
      </w:pPr>
    </w:p>
    <w:p w:rsidR="000A288E" w:rsidRPr="00D2471F" w:rsidRDefault="000A288E" w:rsidP="000A288E">
      <w:pPr>
        <w:jc w:val="center"/>
        <w:rPr>
          <w:b/>
        </w:rPr>
      </w:pPr>
      <w:r w:rsidRPr="00D2471F">
        <w:rPr>
          <w:b/>
        </w:rPr>
        <w:t>CONSIDERANDO</w:t>
      </w:r>
    </w:p>
    <w:p w:rsidR="001649FD" w:rsidRPr="00D2471F" w:rsidRDefault="001649FD" w:rsidP="000A288E">
      <w:pPr>
        <w:jc w:val="center"/>
        <w:rPr>
          <w:b/>
        </w:rPr>
      </w:pPr>
    </w:p>
    <w:p w:rsidR="000A288E" w:rsidRPr="00D2471F" w:rsidRDefault="0084086B" w:rsidP="000A288E">
      <w:pPr>
        <w:spacing w:line="0" w:lineRule="atLeast"/>
        <w:rPr>
          <w:rFonts w:cs="Arial"/>
          <w:snapToGrid w:val="0"/>
        </w:rPr>
      </w:pPr>
      <w:r w:rsidRPr="00D2471F">
        <w:rPr>
          <w:rFonts w:cs="Arial"/>
          <w:b/>
          <w:snapToGrid w:val="0"/>
        </w:rPr>
        <w:t xml:space="preserve">Primero. </w:t>
      </w:r>
      <w:r w:rsidR="000A288E" w:rsidRPr="00D2471F">
        <w:rPr>
          <w:rFonts w:cs="Arial"/>
          <w:snapToGrid w:val="0"/>
        </w:rPr>
        <w:t>Que</w:t>
      </w:r>
      <w:r w:rsidR="0078590A" w:rsidRPr="00D2471F">
        <w:rPr>
          <w:rFonts w:cs="Arial"/>
          <w:snapToGrid w:val="0"/>
        </w:rPr>
        <w:t>,</w:t>
      </w:r>
      <w:r w:rsidR="000A288E" w:rsidRPr="00D2471F">
        <w:rPr>
          <w:rFonts w:cs="Arial"/>
          <w:snapToGrid w:val="0"/>
        </w:rPr>
        <w:t xml:space="preserve"> de acuerdo con lo dispuesto en el artículo 218 del Estatuto Orgánico del Sistema Financiero</w:t>
      </w:r>
      <w:r w:rsidR="000701F2" w:rsidRPr="00D2471F">
        <w:rPr>
          <w:rFonts w:cs="Arial"/>
          <w:snapToGrid w:val="0"/>
        </w:rPr>
        <w:t>,</w:t>
      </w:r>
      <w:r w:rsidR="000A288E" w:rsidRPr="00D2471F">
        <w:rPr>
          <w:rFonts w:cs="Arial"/>
          <w:snapToGrid w:val="0"/>
        </w:rPr>
        <w:t xml:space="preserve"> modificado por el artículo </w:t>
      </w:r>
      <w:r w:rsidR="007C0CC5" w:rsidRPr="00D2471F">
        <w:rPr>
          <w:rFonts w:cs="Arial"/>
          <w:snapToGrid w:val="0"/>
        </w:rPr>
        <w:t>2</w:t>
      </w:r>
      <w:r w:rsidR="000A288E" w:rsidRPr="00D2471F">
        <w:rPr>
          <w:rFonts w:cs="Arial"/>
          <w:snapToGrid w:val="0"/>
        </w:rPr>
        <w:t xml:space="preserve"> del Decreto Ley 2371 de 2015, la Comisión Nacional de Crédito Agropecuario, podrá:</w:t>
      </w:r>
    </w:p>
    <w:p w:rsidR="000701F2" w:rsidRPr="00D2471F" w:rsidRDefault="000701F2" w:rsidP="000A288E">
      <w:pPr>
        <w:spacing w:line="0" w:lineRule="atLeast"/>
        <w:rPr>
          <w:rFonts w:cs="Arial"/>
          <w:snapToGrid w:val="0"/>
        </w:rPr>
      </w:pPr>
    </w:p>
    <w:p w:rsidR="000A288E" w:rsidRPr="00D2471F" w:rsidRDefault="000701F2" w:rsidP="000A288E">
      <w:pPr>
        <w:spacing w:line="0" w:lineRule="atLeast"/>
        <w:rPr>
          <w:rFonts w:cs="Arial"/>
          <w:i/>
          <w:snapToGrid w:val="0"/>
        </w:rPr>
      </w:pPr>
      <w:r w:rsidRPr="00D2471F">
        <w:rPr>
          <w:rFonts w:cs="Arial"/>
          <w:i/>
          <w:snapToGrid w:val="0"/>
        </w:rPr>
        <w:t>“(…)</w:t>
      </w:r>
    </w:p>
    <w:p w:rsidR="00B17F26" w:rsidRPr="00D2471F" w:rsidRDefault="00B17F26" w:rsidP="00B75346">
      <w:pPr>
        <w:spacing w:line="120" w:lineRule="auto"/>
        <w:rPr>
          <w:rFonts w:cs="Arial"/>
          <w:i/>
          <w:color w:val="000000"/>
        </w:rPr>
      </w:pPr>
    </w:p>
    <w:p w:rsidR="000A288E" w:rsidRPr="00D2471F" w:rsidRDefault="000A288E" w:rsidP="000A288E">
      <w:pPr>
        <w:rPr>
          <w:rFonts w:cs="Arial"/>
          <w:i/>
          <w:color w:val="000000" w:themeColor="text1"/>
        </w:rPr>
      </w:pPr>
      <w:r w:rsidRPr="00D2471F">
        <w:rPr>
          <w:rFonts w:cs="Arial"/>
          <w:i/>
          <w:color w:val="000000"/>
        </w:rPr>
        <w:t>b) Establecer las actividades, los costos y los porcentajes de estos últimos que podrán ser objeto de financiación por parte de las entidades que integran el Sistema Nacional de Crédito Agropecuario. </w:t>
      </w:r>
    </w:p>
    <w:p w:rsidR="000A288E" w:rsidRPr="00D2471F" w:rsidRDefault="000A288E" w:rsidP="00B75346">
      <w:pPr>
        <w:spacing w:line="120" w:lineRule="auto"/>
        <w:rPr>
          <w:rFonts w:cs="Arial"/>
          <w:i/>
          <w:color w:val="000000"/>
        </w:rPr>
      </w:pPr>
    </w:p>
    <w:p w:rsidR="000A288E" w:rsidRPr="00D2471F" w:rsidRDefault="000A288E" w:rsidP="000A288E">
      <w:pPr>
        <w:rPr>
          <w:rFonts w:cs="Arial"/>
          <w:i/>
          <w:color w:val="000000" w:themeColor="text1"/>
        </w:rPr>
      </w:pPr>
      <w:r w:rsidRPr="00D2471F">
        <w:rPr>
          <w:rFonts w:cs="Arial"/>
          <w:i/>
          <w:color w:val="000000"/>
        </w:rPr>
        <w:t>c) Fijar, dentro de los límites de carácter general que señale la Junta Directiva del Banco de la República, las políticas sobre las tasas de interés que se cobrarán a los usuarios del crédito por parte de las entidades que integran el Sistema Nacional de Crédito Agropecuario. </w:t>
      </w:r>
    </w:p>
    <w:p w:rsidR="00B17F26" w:rsidRPr="00D2471F" w:rsidRDefault="00B17F26" w:rsidP="00B75346">
      <w:pPr>
        <w:spacing w:line="120" w:lineRule="auto"/>
        <w:rPr>
          <w:rFonts w:cs="Arial"/>
          <w:i/>
          <w:color w:val="000000"/>
        </w:rPr>
      </w:pPr>
    </w:p>
    <w:p w:rsidR="000A288E" w:rsidRPr="00D2471F" w:rsidRDefault="00B17F26" w:rsidP="000A288E">
      <w:pPr>
        <w:rPr>
          <w:rFonts w:cs="Arial"/>
          <w:i/>
          <w:color w:val="000000"/>
        </w:rPr>
      </w:pPr>
      <w:r w:rsidRPr="00D2471F">
        <w:rPr>
          <w:rFonts w:cs="Arial"/>
          <w:i/>
          <w:color w:val="000000"/>
        </w:rPr>
        <w:t>(…)</w:t>
      </w:r>
    </w:p>
    <w:p w:rsidR="00B17F26" w:rsidRPr="00D2471F" w:rsidRDefault="00B17F26" w:rsidP="00B75346">
      <w:pPr>
        <w:spacing w:line="120" w:lineRule="auto"/>
        <w:rPr>
          <w:rFonts w:cs="Arial"/>
          <w:i/>
          <w:color w:val="000000"/>
        </w:rPr>
      </w:pPr>
    </w:p>
    <w:p w:rsidR="00005991" w:rsidRPr="00D2471F" w:rsidRDefault="000A288E" w:rsidP="000A288E">
      <w:pPr>
        <w:rPr>
          <w:rFonts w:cs="Arial"/>
          <w:i/>
          <w:color w:val="000000"/>
        </w:rPr>
      </w:pPr>
      <w:r w:rsidRPr="00D2471F">
        <w:rPr>
          <w:rFonts w:cs="Arial"/>
          <w:i/>
          <w:color w:val="000000"/>
        </w:rPr>
        <w:t xml:space="preserve">f) Fijar las tasas y márgenes de redescuento de las operaciones que apruebe </w:t>
      </w:r>
      <w:r w:rsidR="00855D7E" w:rsidRPr="00D2471F">
        <w:rPr>
          <w:rFonts w:cs="Arial"/>
          <w:i/>
          <w:color w:val="000000"/>
        </w:rPr>
        <w:t>FINAGRO</w:t>
      </w:r>
      <w:r w:rsidR="000701F2" w:rsidRPr="00D2471F">
        <w:rPr>
          <w:rFonts w:cs="Arial"/>
          <w:i/>
          <w:color w:val="000000"/>
        </w:rPr>
        <w:t>.</w:t>
      </w:r>
    </w:p>
    <w:p w:rsidR="00B75346" w:rsidRPr="00D2471F" w:rsidRDefault="00B75346" w:rsidP="00B75346">
      <w:pPr>
        <w:spacing w:line="120" w:lineRule="auto"/>
        <w:rPr>
          <w:rFonts w:cs="Arial"/>
          <w:i/>
          <w:color w:val="000000"/>
        </w:rPr>
      </w:pPr>
    </w:p>
    <w:p w:rsidR="000A288E" w:rsidRPr="00D2471F" w:rsidRDefault="00005991" w:rsidP="000A288E">
      <w:pPr>
        <w:rPr>
          <w:rFonts w:cs="Arial"/>
          <w:i/>
          <w:color w:val="000000" w:themeColor="text1"/>
        </w:rPr>
      </w:pPr>
      <w:r w:rsidRPr="00D2471F">
        <w:rPr>
          <w:rFonts w:cs="Arial"/>
          <w:i/>
          <w:color w:val="000000"/>
        </w:rPr>
        <w:t>(…)</w:t>
      </w:r>
      <w:r w:rsidR="000701F2" w:rsidRPr="00D2471F">
        <w:rPr>
          <w:rFonts w:cs="Arial"/>
          <w:i/>
          <w:color w:val="000000"/>
        </w:rPr>
        <w:t>”</w:t>
      </w:r>
    </w:p>
    <w:p w:rsidR="000A288E" w:rsidRPr="00D2471F" w:rsidRDefault="000A288E" w:rsidP="000A288E">
      <w:pPr>
        <w:spacing w:line="0" w:lineRule="atLeast"/>
        <w:rPr>
          <w:rFonts w:cs="Arial"/>
          <w:snapToGrid w:val="0"/>
        </w:rPr>
      </w:pPr>
    </w:p>
    <w:p w:rsidR="000A288E" w:rsidRPr="00D2471F" w:rsidRDefault="0084086B" w:rsidP="000A288E">
      <w:r w:rsidRPr="00D2471F">
        <w:rPr>
          <w:b/>
        </w:rPr>
        <w:t>Segundo</w:t>
      </w:r>
      <w:r w:rsidR="00A72BAA" w:rsidRPr="00D2471F">
        <w:rPr>
          <w:b/>
        </w:rPr>
        <w:t>.</w:t>
      </w:r>
      <w:r w:rsidRPr="00D2471F">
        <w:rPr>
          <w:b/>
        </w:rPr>
        <w:t xml:space="preserve"> </w:t>
      </w:r>
      <w:r w:rsidR="000A288E" w:rsidRPr="00D2471F">
        <w:t>Que</w:t>
      </w:r>
      <w:r w:rsidR="00DE425E" w:rsidRPr="00D2471F">
        <w:t>,</w:t>
      </w:r>
      <w:r w:rsidR="000A288E" w:rsidRPr="00D2471F">
        <w:t xml:space="preserve"> de acuerdo con lo dispuesto en el artículo 220 del Estatuto Orgánico del Sistema Financiero, la Comisión Nacional de Crédito Agropecuario </w:t>
      </w:r>
      <w:r w:rsidR="000701F2" w:rsidRPr="00D2471F">
        <w:t>“</w:t>
      </w:r>
      <w:r w:rsidR="000A288E" w:rsidRPr="00D2471F">
        <w:rPr>
          <w:i/>
        </w:rPr>
        <w:t>definirá las líneas de crédito que otorgarán las entidades que integran el Sistema Nacional de Crédito Agropecuario, y las instituciones bancarias y financieras debidamente autorizadas por la Superintendencia Bancaria, para conceder créditos con destino al sector agropecuario, afines y similares</w:t>
      </w:r>
      <w:r w:rsidR="000A288E" w:rsidRPr="00D2471F">
        <w:t xml:space="preserve"> (…)</w:t>
      </w:r>
      <w:r w:rsidR="000701F2" w:rsidRPr="00D2471F">
        <w:t>”.</w:t>
      </w:r>
    </w:p>
    <w:p w:rsidR="000A288E" w:rsidRPr="00D2471F" w:rsidRDefault="000A288E" w:rsidP="000A288E"/>
    <w:p w:rsidR="00A9514E" w:rsidRPr="00D2471F" w:rsidRDefault="0084086B" w:rsidP="00A9514E">
      <w:pPr>
        <w:rPr>
          <w:rFonts w:cs="Arial"/>
          <w:szCs w:val="22"/>
          <w:lang w:val="es-ES" w:eastAsia="en-US"/>
        </w:rPr>
      </w:pPr>
      <w:r w:rsidRPr="00D2471F">
        <w:rPr>
          <w:rFonts w:cs="Arial"/>
          <w:b/>
          <w:color w:val="000000" w:themeColor="text1"/>
        </w:rPr>
        <w:t>Tercero</w:t>
      </w:r>
      <w:r w:rsidR="00A72BAA" w:rsidRPr="00D2471F">
        <w:rPr>
          <w:rFonts w:cs="Arial"/>
          <w:b/>
          <w:color w:val="000000" w:themeColor="text1"/>
        </w:rPr>
        <w:t>.</w:t>
      </w:r>
      <w:r w:rsidRPr="00D2471F">
        <w:rPr>
          <w:rFonts w:cs="Arial"/>
          <w:b/>
          <w:color w:val="000000" w:themeColor="text1"/>
        </w:rPr>
        <w:t xml:space="preserve"> </w:t>
      </w:r>
    </w:p>
    <w:p w:rsidR="00A9514E" w:rsidRPr="00D2471F" w:rsidRDefault="00A9514E" w:rsidP="000A288E">
      <w:pPr>
        <w:rPr>
          <w:rFonts w:cs="Arial"/>
          <w:b/>
          <w:color w:val="000000" w:themeColor="text1"/>
        </w:rPr>
      </w:pPr>
    </w:p>
    <w:p w:rsidR="00A9514E" w:rsidRPr="00D2471F" w:rsidRDefault="00A9514E" w:rsidP="000A288E">
      <w:pPr>
        <w:rPr>
          <w:rFonts w:cs="Arial"/>
          <w:b/>
          <w:color w:val="000000" w:themeColor="text1"/>
        </w:rPr>
      </w:pPr>
    </w:p>
    <w:p w:rsidR="00853ABF" w:rsidRPr="00D2471F" w:rsidRDefault="000A288E" w:rsidP="000A288E">
      <w:pPr>
        <w:rPr>
          <w:rFonts w:cs="Arial"/>
          <w:color w:val="000000" w:themeColor="text1"/>
        </w:rPr>
      </w:pPr>
      <w:r w:rsidRPr="00D2471F">
        <w:rPr>
          <w:rFonts w:cs="Arial"/>
          <w:color w:val="000000" w:themeColor="text1"/>
        </w:rPr>
        <w:t>Que</w:t>
      </w:r>
      <w:r w:rsidR="0034165F" w:rsidRPr="00D2471F">
        <w:rPr>
          <w:rFonts w:cs="Arial"/>
          <w:color w:val="000000" w:themeColor="text1"/>
        </w:rPr>
        <w:t>,</w:t>
      </w:r>
      <w:r w:rsidRPr="00D2471F">
        <w:rPr>
          <w:rFonts w:cs="Arial"/>
          <w:color w:val="000000" w:themeColor="text1"/>
        </w:rPr>
        <w:t xml:space="preserve"> el Ministerio de Agricultura y Desarrollo Rural considera conveniente procurar la reactivación económica del sector arrocero, </w:t>
      </w:r>
      <w:r w:rsidR="00853ABF" w:rsidRPr="00D2471F">
        <w:rPr>
          <w:rFonts w:cs="Arial"/>
          <w:color w:val="000000" w:themeColor="text1"/>
        </w:rPr>
        <w:t xml:space="preserve">el cual </w:t>
      </w:r>
      <w:r w:rsidRPr="00D2471F">
        <w:rPr>
          <w:rFonts w:cs="Arial"/>
          <w:color w:val="000000" w:themeColor="text1"/>
        </w:rPr>
        <w:t xml:space="preserve">se </w:t>
      </w:r>
      <w:r w:rsidR="00853ABF" w:rsidRPr="00D2471F">
        <w:rPr>
          <w:rFonts w:cs="Arial"/>
          <w:color w:val="000000" w:themeColor="text1"/>
        </w:rPr>
        <w:t xml:space="preserve">vio </w:t>
      </w:r>
      <w:r w:rsidRPr="00D2471F">
        <w:rPr>
          <w:rFonts w:cs="Arial"/>
          <w:color w:val="000000" w:themeColor="text1"/>
        </w:rPr>
        <w:t xml:space="preserve">fuertemente afectado por factores </w:t>
      </w:r>
      <w:r w:rsidRPr="00D2471F">
        <w:rPr>
          <w:rFonts w:cs="Arial"/>
          <w:color w:val="000000" w:themeColor="text1"/>
        </w:rPr>
        <w:lastRenderedPageBreak/>
        <w:t xml:space="preserve">fitosanitarios, como la enfermedad conocida como </w:t>
      </w:r>
      <w:proofErr w:type="spellStart"/>
      <w:r w:rsidRPr="00D2471F">
        <w:rPr>
          <w:rFonts w:cs="Arial"/>
          <w:color w:val="000000" w:themeColor="text1"/>
        </w:rPr>
        <w:t>vaneamiento</w:t>
      </w:r>
      <w:proofErr w:type="spellEnd"/>
      <w:r w:rsidRPr="00D2471F">
        <w:rPr>
          <w:rFonts w:cs="Arial"/>
          <w:color w:val="000000" w:themeColor="text1"/>
        </w:rPr>
        <w:t xml:space="preserve"> de la espiga de arroz presentada entre l</w:t>
      </w:r>
      <w:r w:rsidR="00855D7E" w:rsidRPr="00D2471F">
        <w:rPr>
          <w:rFonts w:cs="Arial"/>
          <w:color w:val="000000" w:themeColor="text1"/>
        </w:rPr>
        <w:t>os</w:t>
      </w:r>
      <w:r w:rsidRPr="00D2471F">
        <w:rPr>
          <w:rFonts w:cs="Arial"/>
          <w:color w:val="000000" w:themeColor="text1"/>
        </w:rPr>
        <w:t xml:space="preserve"> año</w:t>
      </w:r>
      <w:r w:rsidR="00855D7E" w:rsidRPr="00D2471F">
        <w:rPr>
          <w:rFonts w:cs="Arial"/>
          <w:color w:val="000000" w:themeColor="text1"/>
        </w:rPr>
        <w:t>s</w:t>
      </w:r>
      <w:r w:rsidRPr="00D2471F">
        <w:rPr>
          <w:rFonts w:cs="Arial"/>
          <w:color w:val="000000" w:themeColor="text1"/>
        </w:rPr>
        <w:t xml:space="preserve"> 2011 y 2012, así como por la caída </w:t>
      </w:r>
      <w:r w:rsidR="007609EC" w:rsidRPr="00D2471F">
        <w:rPr>
          <w:rFonts w:cs="Arial"/>
          <w:color w:val="000000" w:themeColor="text1"/>
        </w:rPr>
        <w:t>severa</w:t>
      </w:r>
      <w:r w:rsidR="00FC6A42" w:rsidRPr="00D2471F">
        <w:rPr>
          <w:rFonts w:cs="Arial"/>
          <w:color w:val="000000" w:themeColor="text1"/>
        </w:rPr>
        <w:t>s</w:t>
      </w:r>
      <w:r w:rsidR="007609EC" w:rsidRPr="00D2471F">
        <w:rPr>
          <w:rFonts w:cs="Arial"/>
          <w:color w:val="000000" w:themeColor="text1"/>
        </w:rPr>
        <w:t xml:space="preserve"> </w:t>
      </w:r>
      <w:r w:rsidRPr="00D2471F">
        <w:rPr>
          <w:rFonts w:cs="Arial"/>
          <w:color w:val="000000" w:themeColor="text1"/>
        </w:rPr>
        <w:t>en los precios, debido a la confluencia de varios factores de mercado durante los años 2013 y 2014</w:t>
      </w:r>
      <w:r w:rsidR="00853ABF" w:rsidRPr="00D2471F">
        <w:rPr>
          <w:rFonts w:cs="Arial"/>
          <w:color w:val="000000" w:themeColor="text1"/>
        </w:rPr>
        <w:t>.</w:t>
      </w:r>
    </w:p>
    <w:p w:rsidR="00EA7808" w:rsidRPr="00D2471F" w:rsidRDefault="00085B3E" w:rsidP="000A288E">
      <w:pPr>
        <w:rPr>
          <w:rFonts w:cs="Arial"/>
          <w:color w:val="000000" w:themeColor="text1"/>
        </w:rPr>
      </w:pPr>
      <w:r w:rsidRPr="00D2471F">
        <w:rPr>
          <w:rFonts w:cs="Arial"/>
          <w:color w:val="000000" w:themeColor="text1"/>
        </w:rPr>
        <w:t xml:space="preserve"> </w:t>
      </w:r>
    </w:p>
    <w:p w:rsidR="00CC2AE1" w:rsidRPr="00D2471F" w:rsidRDefault="0084086B" w:rsidP="00CC2AE1">
      <w:pPr>
        <w:rPr>
          <w:rFonts w:cs="Arial"/>
          <w:lang w:val="es-ES"/>
        </w:rPr>
      </w:pPr>
      <w:r w:rsidRPr="00D2471F">
        <w:rPr>
          <w:rFonts w:cs="Arial"/>
          <w:b/>
          <w:color w:val="000000" w:themeColor="text1"/>
        </w:rPr>
        <w:t>Cuarto</w:t>
      </w:r>
      <w:r w:rsidR="00A72BAA" w:rsidRPr="00D2471F">
        <w:rPr>
          <w:rFonts w:cs="Arial"/>
          <w:b/>
          <w:color w:val="000000" w:themeColor="text1"/>
        </w:rPr>
        <w:t>.</w:t>
      </w:r>
      <w:r w:rsidRPr="00D2471F">
        <w:rPr>
          <w:rFonts w:cs="Arial"/>
          <w:b/>
          <w:color w:val="000000" w:themeColor="text1"/>
        </w:rPr>
        <w:t xml:space="preserve"> </w:t>
      </w:r>
      <w:r w:rsidR="008E5A1A" w:rsidRPr="00D2471F">
        <w:rPr>
          <w:rFonts w:cs="Arial"/>
          <w:color w:val="000000" w:themeColor="text1"/>
        </w:rPr>
        <w:t>Que, es</w:t>
      </w:r>
      <w:r w:rsidR="008E5A1A" w:rsidRPr="00D2471F">
        <w:rPr>
          <w:rFonts w:cs="Arial"/>
          <w:b/>
          <w:color w:val="000000" w:themeColor="text1"/>
        </w:rPr>
        <w:t xml:space="preserve"> </w:t>
      </w:r>
      <w:r w:rsidR="008E5A1A" w:rsidRPr="00D2471F">
        <w:rPr>
          <w:rFonts w:cs="Arial"/>
          <w:lang w:val="es-ES"/>
        </w:rPr>
        <w:t>política del Ministerio de Agricultura y Desarrollo Rural generar herramientas para la inclusión financiera de los productores agropecuarios</w:t>
      </w:r>
      <w:r w:rsidR="00CC2AE1" w:rsidRPr="00D2471F">
        <w:rPr>
          <w:rFonts w:cs="Arial"/>
          <w:lang w:val="es-ES"/>
        </w:rPr>
        <w:t xml:space="preserve"> con especial atención al subsector arrocero</w:t>
      </w:r>
      <w:r w:rsidR="00F62F78" w:rsidRPr="00D2471F">
        <w:rPr>
          <w:rFonts w:cs="Arial"/>
          <w:lang w:val="es-ES"/>
        </w:rPr>
        <w:t xml:space="preserve">, por ser </w:t>
      </w:r>
      <w:r w:rsidR="004C2437" w:rsidRPr="00D2471F">
        <w:rPr>
          <w:rFonts w:cs="Arial"/>
          <w:lang w:val="es-ES"/>
        </w:rPr>
        <w:t>uno de</w:t>
      </w:r>
      <w:r w:rsidR="00F07D06" w:rsidRPr="00D2471F">
        <w:rPr>
          <w:rFonts w:cs="Arial"/>
          <w:lang w:val="es-ES"/>
        </w:rPr>
        <w:t xml:space="preserve"> </w:t>
      </w:r>
      <w:r w:rsidR="004C2437" w:rsidRPr="00D2471F">
        <w:rPr>
          <w:rFonts w:cs="Arial"/>
          <w:lang w:val="es-ES"/>
        </w:rPr>
        <w:t xml:space="preserve">los sectores </w:t>
      </w:r>
      <w:r w:rsidR="00F07D06" w:rsidRPr="00D2471F">
        <w:rPr>
          <w:rFonts w:cs="Arial"/>
          <w:lang w:val="es-ES"/>
        </w:rPr>
        <w:t xml:space="preserve">donde es recurrente dinámicas </w:t>
      </w:r>
      <w:r w:rsidR="00F62F78" w:rsidRPr="00D2471F">
        <w:rPr>
          <w:rFonts w:cs="Arial"/>
          <w:lang w:val="es-ES"/>
        </w:rPr>
        <w:t xml:space="preserve">de financiamiento </w:t>
      </w:r>
      <w:r w:rsidR="00383D13" w:rsidRPr="00D2471F">
        <w:rPr>
          <w:rFonts w:cs="Arial"/>
          <w:lang w:val="es-ES"/>
        </w:rPr>
        <w:t xml:space="preserve">a través de </w:t>
      </w:r>
      <w:proofErr w:type="spellStart"/>
      <w:r w:rsidR="00383D13" w:rsidRPr="00D2471F">
        <w:rPr>
          <w:rFonts w:cs="Arial"/>
          <w:lang w:val="es-ES"/>
        </w:rPr>
        <w:t>agrocomercios</w:t>
      </w:r>
      <w:proofErr w:type="spellEnd"/>
      <w:r w:rsidR="00383D13" w:rsidRPr="00D2471F">
        <w:rPr>
          <w:rFonts w:cs="Arial"/>
          <w:lang w:val="es-ES"/>
        </w:rPr>
        <w:t xml:space="preserve"> y </w:t>
      </w:r>
      <w:proofErr w:type="spellStart"/>
      <w:r w:rsidR="00383D13" w:rsidRPr="00D2471F">
        <w:rPr>
          <w:rFonts w:cs="Arial"/>
          <w:lang w:val="es-ES"/>
        </w:rPr>
        <w:t>agroinsumos</w:t>
      </w:r>
      <w:proofErr w:type="spellEnd"/>
      <w:r w:rsidR="00CC2AE1" w:rsidRPr="00D2471F">
        <w:rPr>
          <w:rFonts w:cs="Arial"/>
          <w:lang w:val="es-ES"/>
        </w:rPr>
        <w:t>.</w:t>
      </w:r>
    </w:p>
    <w:p w:rsidR="00CC2AE1" w:rsidRPr="00D2471F" w:rsidRDefault="00CC2AE1" w:rsidP="00CC2AE1">
      <w:pPr>
        <w:rPr>
          <w:rFonts w:cs="Arial"/>
          <w:lang w:val="es-ES"/>
        </w:rPr>
      </w:pPr>
    </w:p>
    <w:p w:rsidR="008E5A1A" w:rsidRPr="00D2471F" w:rsidRDefault="00CC2AE1" w:rsidP="00CC2AE1">
      <w:pPr>
        <w:rPr>
          <w:rFonts w:cs="Arial"/>
          <w:szCs w:val="22"/>
          <w:lang w:val="es-ES" w:eastAsia="en-US"/>
        </w:rPr>
      </w:pPr>
      <w:r w:rsidRPr="00D2471F">
        <w:rPr>
          <w:rFonts w:cs="Arial"/>
          <w:b/>
          <w:lang w:val="es-ES"/>
        </w:rPr>
        <w:t>Quinto.</w:t>
      </w:r>
      <w:r w:rsidRPr="00D2471F">
        <w:rPr>
          <w:rFonts w:cs="Arial"/>
          <w:lang w:val="es-ES"/>
        </w:rPr>
        <w:t xml:space="preserve"> </w:t>
      </w:r>
      <w:r w:rsidR="006E1D1E" w:rsidRPr="00D2471F">
        <w:rPr>
          <w:rFonts w:cs="Arial"/>
          <w:lang w:val="es-ES"/>
        </w:rPr>
        <w:t xml:space="preserve">Que, </w:t>
      </w:r>
      <w:r w:rsidR="008E5A1A" w:rsidRPr="00D2471F">
        <w:rPr>
          <w:rFonts w:cs="Arial"/>
          <w:lang w:val="es-ES"/>
        </w:rPr>
        <w:t xml:space="preserve">es necesario </w:t>
      </w:r>
      <w:r w:rsidRPr="00D2471F">
        <w:rPr>
          <w:rFonts w:cs="Arial"/>
          <w:lang w:val="es-ES"/>
        </w:rPr>
        <w:t xml:space="preserve">contar con </w:t>
      </w:r>
      <w:r w:rsidR="008E5A1A" w:rsidRPr="00D2471F">
        <w:rPr>
          <w:rFonts w:cs="Arial"/>
          <w:lang w:val="es-ES"/>
        </w:rPr>
        <w:t xml:space="preserve">instrumentos especiales </w:t>
      </w:r>
      <w:r w:rsidRPr="00D2471F">
        <w:rPr>
          <w:rFonts w:cs="Arial"/>
          <w:lang w:val="es-ES"/>
        </w:rPr>
        <w:t xml:space="preserve">que fomenten </w:t>
      </w:r>
      <w:r w:rsidR="008E5A1A" w:rsidRPr="00D2471F">
        <w:rPr>
          <w:rFonts w:cs="Arial"/>
          <w:lang w:val="es-ES"/>
        </w:rPr>
        <w:t xml:space="preserve">el acceso </w:t>
      </w:r>
      <w:r w:rsidRPr="00D2471F">
        <w:rPr>
          <w:rFonts w:cs="Arial"/>
          <w:lang w:val="es-ES"/>
        </w:rPr>
        <w:t xml:space="preserve">al crédito al </w:t>
      </w:r>
      <w:r w:rsidR="008E5A1A" w:rsidRPr="00D2471F">
        <w:rPr>
          <w:rFonts w:cs="Arial"/>
          <w:lang w:val="es-ES"/>
        </w:rPr>
        <w:t>sistema financiero</w:t>
      </w:r>
      <w:r w:rsidR="006E1D1E" w:rsidRPr="00D2471F">
        <w:rPr>
          <w:rFonts w:cs="Arial"/>
          <w:lang w:val="es-ES"/>
        </w:rPr>
        <w:t xml:space="preserve"> para estos productores</w:t>
      </w:r>
      <w:r w:rsidRPr="00D2471F">
        <w:rPr>
          <w:rFonts w:cs="Arial"/>
          <w:lang w:val="es-ES"/>
        </w:rPr>
        <w:t>,</w:t>
      </w:r>
      <w:r w:rsidR="008E5A1A" w:rsidRPr="00D2471F">
        <w:rPr>
          <w:rFonts w:cs="Arial"/>
          <w:lang w:val="es-ES"/>
        </w:rPr>
        <w:t xml:space="preserve"> </w:t>
      </w:r>
      <w:r w:rsidRPr="00D2471F">
        <w:rPr>
          <w:rFonts w:cs="Arial"/>
          <w:lang w:val="es-ES"/>
        </w:rPr>
        <w:t>desestimulando el uso de otras fuentes informales de financiamiento.</w:t>
      </w:r>
      <w:r w:rsidR="008E5A1A" w:rsidRPr="00D2471F">
        <w:rPr>
          <w:rFonts w:cs="Arial"/>
          <w:lang w:val="es-ES"/>
        </w:rPr>
        <w:t xml:space="preserve"> </w:t>
      </w:r>
      <w:r w:rsidRPr="00D2471F">
        <w:rPr>
          <w:rFonts w:cs="Arial"/>
          <w:lang w:val="es-ES"/>
        </w:rPr>
        <w:t xml:space="preserve">Para hacer efectiva la medida, es necesario que estos productores cuenten con el </w:t>
      </w:r>
      <w:r w:rsidR="008E5A1A" w:rsidRPr="00D2471F">
        <w:rPr>
          <w:rFonts w:cs="Arial"/>
          <w:lang w:val="es-ES"/>
        </w:rPr>
        <w:t xml:space="preserve">tiempo suficiente para </w:t>
      </w:r>
      <w:r w:rsidR="006E1D1E" w:rsidRPr="00D2471F">
        <w:rPr>
          <w:rFonts w:cs="Arial"/>
          <w:lang w:val="es-ES"/>
        </w:rPr>
        <w:t xml:space="preserve">normalizar </w:t>
      </w:r>
      <w:r w:rsidR="008E5A1A" w:rsidRPr="00D2471F">
        <w:rPr>
          <w:rFonts w:cs="Arial"/>
          <w:lang w:val="es-ES"/>
        </w:rPr>
        <w:t xml:space="preserve">sus obligaciones </w:t>
      </w:r>
      <w:r w:rsidRPr="00D2471F">
        <w:rPr>
          <w:rFonts w:cs="Arial"/>
          <w:lang w:val="es-ES"/>
        </w:rPr>
        <w:t xml:space="preserve">crediticias con el sector real </w:t>
      </w:r>
      <w:r w:rsidR="008E5A1A" w:rsidRPr="00D2471F">
        <w:rPr>
          <w:rFonts w:cs="Arial"/>
          <w:lang w:val="es-ES"/>
        </w:rPr>
        <w:t xml:space="preserve">y </w:t>
      </w:r>
      <w:r w:rsidRPr="00D2471F">
        <w:rPr>
          <w:rFonts w:cs="Arial"/>
          <w:lang w:val="es-ES"/>
        </w:rPr>
        <w:t xml:space="preserve">así puedan </w:t>
      </w:r>
      <w:r w:rsidR="008E5A1A" w:rsidRPr="00D2471F">
        <w:rPr>
          <w:rFonts w:cs="Arial"/>
          <w:lang w:val="es-ES"/>
        </w:rPr>
        <w:t xml:space="preserve">acudir a la banca para </w:t>
      </w:r>
      <w:r w:rsidRPr="00D2471F">
        <w:rPr>
          <w:rFonts w:cs="Arial"/>
          <w:lang w:val="es-ES"/>
        </w:rPr>
        <w:t xml:space="preserve">obtener </w:t>
      </w:r>
      <w:r w:rsidR="008E5A1A" w:rsidRPr="00D2471F">
        <w:rPr>
          <w:rFonts w:cs="Arial"/>
          <w:lang w:val="es-ES"/>
        </w:rPr>
        <w:t xml:space="preserve">el financiamiento de sus actividades productivas, </w:t>
      </w:r>
      <w:r w:rsidR="006E1D1E" w:rsidRPr="00D2471F">
        <w:rPr>
          <w:rFonts w:cs="Arial"/>
          <w:lang w:val="es-ES"/>
        </w:rPr>
        <w:t xml:space="preserve">haciendo necesario </w:t>
      </w:r>
      <w:r w:rsidR="008E5A1A" w:rsidRPr="00D2471F">
        <w:rPr>
          <w:rFonts w:cs="Arial"/>
          <w:lang w:val="es-ES"/>
        </w:rPr>
        <w:t xml:space="preserve">ampliar </w:t>
      </w:r>
      <w:r w:rsidR="00ED2EEA" w:rsidRPr="00D2471F">
        <w:rPr>
          <w:rFonts w:cs="Arial"/>
          <w:lang w:val="es-ES"/>
        </w:rPr>
        <w:t xml:space="preserve">el plazo de </w:t>
      </w:r>
      <w:r w:rsidR="008E5A1A" w:rsidRPr="00D2471F">
        <w:rPr>
          <w:rFonts w:cs="Arial"/>
          <w:lang w:val="es-ES"/>
        </w:rPr>
        <w:t>la línea por el término de un año más.</w:t>
      </w:r>
    </w:p>
    <w:p w:rsidR="008E5A1A" w:rsidRPr="00D2471F" w:rsidRDefault="008E5A1A" w:rsidP="00EA7808"/>
    <w:p w:rsidR="007D64D6" w:rsidRPr="00D2471F" w:rsidRDefault="00C600A2" w:rsidP="000701F2">
      <w:r w:rsidRPr="00D2471F">
        <w:rPr>
          <w:b/>
        </w:rPr>
        <w:t>Sexto</w:t>
      </w:r>
      <w:r w:rsidR="00A72BAA" w:rsidRPr="00D2471F">
        <w:rPr>
          <w:b/>
        </w:rPr>
        <w:t>.</w:t>
      </w:r>
      <w:r w:rsidR="0084086B" w:rsidRPr="00D2471F">
        <w:rPr>
          <w:b/>
        </w:rPr>
        <w:t xml:space="preserve"> </w:t>
      </w:r>
      <w:r w:rsidR="007D64D6" w:rsidRPr="00D2471F">
        <w:t xml:space="preserve">Que </w:t>
      </w:r>
      <w:r w:rsidR="0079079D" w:rsidRPr="00D2471F">
        <w:t xml:space="preserve">el </w:t>
      </w:r>
      <w:r w:rsidR="007D64D6" w:rsidRPr="00D2471F">
        <w:t>proyecto de</w:t>
      </w:r>
      <w:r w:rsidR="000701F2" w:rsidRPr="00D2471F">
        <w:t xml:space="preserve"> </w:t>
      </w:r>
      <w:r w:rsidR="000B63BD" w:rsidRPr="00D2471F">
        <w:t xml:space="preserve">resolución </w:t>
      </w:r>
      <w:r w:rsidR="000701F2" w:rsidRPr="00D2471F">
        <w:t>“</w:t>
      </w:r>
      <w:r w:rsidR="000B63BD" w:rsidRPr="00D2471F">
        <w:t>2018 “Por la cual se adopta medidas para financiar el pago de pasivos no financieros con terceros a cargo de productores de arroz destinados al financiamiento de su actividad productiva</w:t>
      </w:r>
      <w:r w:rsidR="000701F2" w:rsidRPr="00D2471F">
        <w:t>”</w:t>
      </w:r>
      <w:r w:rsidR="00EA7808" w:rsidRPr="00D2471F">
        <w:t xml:space="preserve">, </w:t>
      </w:r>
      <w:r w:rsidR="007D64D6" w:rsidRPr="00D2471F">
        <w:t>estuvo publicado en la página web de FINAGRO para comentarios</w:t>
      </w:r>
      <w:r w:rsidR="0079079D" w:rsidRPr="00D2471F">
        <w:t>.</w:t>
      </w:r>
    </w:p>
    <w:p w:rsidR="007D64D6" w:rsidRPr="00D2471F" w:rsidRDefault="007D64D6" w:rsidP="007D64D6"/>
    <w:p w:rsidR="007D64D6" w:rsidRPr="00D2471F" w:rsidRDefault="0084086B" w:rsidP="007D64D6">
      <w:pPr>
        <w:rPr>
          <w:rFonts w:cs="Arial"/>
        </w:rPr>
      </w:pPr>
      <w:r w:rsidRPr="00D2471F">
        <w:rPr>
          <w:b/>
        </w:rPr>
        <w:t>Séptimo</w:t>
      </w:r>
      <w:r w:rsidR="00A72BAA" w:rsidRPr="00D2471F">
        <w:rPr>
          <w:b/>
        </w:rPr>
        <w:t>.</w:t>
      </w:r>
      <w:r w:rsidRPr="00D2471F">
        <w:rPr>
          <w:b/>
        </w:rPr>
        <w:t xml:space="preserve"> </w:t>
      </w:r>
      <w:r w:rsidR="008371E2" w:rsidRPr="00D2471F">
        <w:rPr>
          <w:rFonts w:cs="Arial"/>
        </w:rPr>
        <w:t xml:space="preserve">Que, el documento con la justificación jurídica y técnica de la presente resolución fue presentado para consideración de la CNCA y discutido en la reunión llevada a cabo el </w:t>
      </w:r>
      <w:r w:rsidR="008371E2" w:rsidRPr="00D2471F">
        <w:rPr>
          <w:rFonts w:cs="Arial"/>
          <w:snapToGrid w:val="0"/>
        </w:rPr>
        <w:t xml:space="preserve">14 </w:t>
      </w:r>
      <w:r w:rsidR="008371E2" w:rsidRPr="00D2471F">
        <w:rPr>
          <w:rFonts w:cs="Arial"/>
        </w:rPr>
        <w:t xml:space="preserve">de </w:t>
      </w:r>
      <w:r w:rsidR="008371E2" w:rsidRPr="00D2471F">
        <w:rPr>
          <w:rFonts w:cs="Arial"/>
          <w:snapToGrid w:val="0"/>
        </w:rPr>
        <w:t>diciembre</w:t>
      </w:r>
      <w:r w:rsidR="008371E2" w:rsidRPr="00D2471F">
        <w:rPr>
          <w:rFonts w:cs="Arial"/>
          <w:b/>
          <w:snapToGrid w:val="0"/>
        </w:rPr>
        <w:t xml:space="preserve"> </w:t>
      </w:r>
      <w:r w:rsidR="008371E2" w:rsidRPr="00D2471F">
        <w:rPr>
          <w:rFonts w:cs="Arial"/>
        </w:rPr>
        <w:t>de 2018.</w:t>
      </w:r>
    </w:p>
    <w:p w:rsidR="004F7192" w:rsidRPr="00D2471F" w:rsidRDefault="004F7192" w:rsidP="007D64D6"/>
    <w:p w:rsidR="007D64D6" w:rsidRPr="00D2471F" w:rsidRDefault="0084086B" w:rsidP="007D64D6">
      <w:r w:rsidRPr="00D2471F">
        <w:t>E</w:t>
      </w:r>
      <w:r w:rsidR="007D64D6" w:rsidRPr="00D2471F">
        <w:t>n mérito de lo anterior,</w:t>
      </w:r>
    </w:p>
    <w:p w:rsidR="00E25E8F" w:rsidRPr="00D2471F" w:rsidRDefault="00E25E8F" w:rsidP="001F589E">
      <w:pPr>
        <w:jc w:val="center"/>
        <w:rPr>
          <w:b/>
        </w:rPr>
      </w:pPr>
    </w:p>
    <w:p w:rsidR="007D64D6" w:rsidRPr="00D2471F" w:rsidRDefault="007D64D6" w:rsidP="001F589E">
      <w:pPr>
        <w:jc w:val="center"/>
        <w:rPr>
          <w:b/>
        </w:rPr>
      </w:pPr>
      <w:r w:rsidRPr="00D2471F">
        <w:rPr>
          <w:b/>
        </w:rPr>
        <w:t>RESUELVE</w:t>
      </w:r>
    </w:p>
    <w:p w:rsidR="007D64D6" w:rsidRPr="00D2471F" w:rsidRDefault="007D64D6" w:rsidP="007D64D6"/>
    <w:p w:rsidR="007D64D6" w:rsidRPr="00D2471F" w:rsidRDefault="007D64D6" w:rsidP="001F589E">
      <w:r w:rsidRPr="00D2471F">
        <w:rPr>
          <w:b/>
        </w:rPr>
        <w:t xml:space="preserve">Artículo </w:t>
      </w:r>
      <w:r w:rsidR="00247164" w:rsidRPr="00D2471F">
        <w:rPr>
          <w:b/>
        </w:rPr>
        <w:t>1</w:t>
      </w:r>
      <w:r w:rsidR="0084086B" w:rsidRPr="00D2471F">
        <w:rPr>
          <w:b/>
        </w:rPr>
        <w:t>o</w:t>
      </w:r>
      <w:r w:rsidRPr="00D2471F">
        <w:rPr>
          <w:b/>
        </w:rPr>
        <w:t>.</w:t>
      </w:r>
      <w:r w:rsidRPr="00D2471F">
        <w:t xml:space="preserve"> </w:t>
      </w:r>
      <w:r w:rsidR="008E57FC" w:rsidRPr="00D2471F">
        <w:t>Modificar e</w:t>
      </w:r>
      <w:r w:rsidR="00984747" w:rsidRPr="00D2471F">
        <w:t xml:space="preserve">l artículo </w:t>
      </w:r>
      <w:r w:rsidR="006668EA" w:rsidRPr="00D2471F">
        <w:t xml:space="preserve">8 </w:t>
      </w:r>
      <w:r w:rsidR="00984747" w:rsidRPr="00D2471F">
        <w:t xml:space="preserve">de la </w:t>
      </w:r>
      <w:r w:rsidR="008E57FC" w:rsidRPr="00D2471F">
        <w:t>R</w:t>
      </w:r>
      <w:r w:rsidR="00984747" w:rsidRPr="00D2471F">
        <w:t>esolució</w:t>
      </w:r>
      <w:r w:rsidR="00C75298" w:rsidRPr="00D2471F">
        <w:t>n</w:t>
      </w:r>
      <w:r w:rsidR="00984747" w:rsidRPr="00D2471F">
        <w:t xml:space="preserve"> </w:t>
      </w:r>
      <w:r w:rsidR="00247164" w:rsidRPr="00D2471F">
        <w:t>1</w:t>
      </w:r>
      <w:r w:rsidR="00984747" w:rsidRPr="00D2471F">
        <w:t xml:space="preserve"> de 201</w:t>
      </w:r>
      <w:r w:rsidR="00247164" w:rsidRPr="00D2471F">
        <w:t>8</w:t>
      </w:r>
      <w:r w:rsidR="008E57FC" w:rsidRPr="00D2471F">
        <w:t xml:space="preserve"> de la Comisión Nacional de Crédito Agropecuario, de la siguiente manera</w:t>
      </w:r>
      <w:r w:rsidR="00984747" w:rsidRPr="00D2471F">
        <w:t>:</w:t>
      </w:r>
    </w:p>
    <w:p w:rsidR="00984747" w:rsidRPr="00D2471F" w:rsidRDefault="00984747" w:rsidP="001F589E"/>
    <w:p w:rsidR="00904679" w:rsidRPr="00D2471F" w:rsidRDefault="008E57FC" w:rsidP="00247164">
      <w:r w:rsidRPr="00D2471F">
        <w:rPr>
          <w:b/>
        </w:rPr>
        <w:t>“</w:t>
      </w:r>
      <w:r w:rsidR="00984747" w:rsidRPr="00D2471F">
        <w:rPr>
          <w:b/>
          <w:i/>
        </w:rPr>
        <w:t>A</w:t>
      </w:r>
      <w:r w:rsidRPr="00D2471F">
        <w:rPr>
          <w:b/>
          <w:i/>
        </w:rPr>
        <w:t>rtículo</w:t>
      </w:r>
      <w:r w:rsidR="00984747" w:rsidRPr="00D2471F">
        <w:rPr>
          <w:b/>
          <w:i/>
        </w:rPr>
        <w:t xml:space="preserve"> </w:t>
      </w:r>
      <w:r w:rsidR="00247164" w:rsidRPr="00D2471F">
        <w:rPr>
          <w:b/>
          <w:i/>
        </w:rPr>
        <w:t>8</w:t>
      </w:r>
      <w:r w:rsidR="00984747" w:rsidRPr="00D2471F">
        <w:rPr>
          <w:b/>
          <w:i/>
        </w:rPr>
        <w:t xml:space="preserve">° - </w:t>
      </w:r>
      <w:r w:rsidR="00247164" w:rsidRPr="00D2471F">
        <w:rPr>
          <w:i/>
        </w:rPr>
        <w:t xml:space="preserve">Las operaciones de </w:t>
      </w:r>
      <w:proofErr w:type="spellStart"/>
      <w:r w:rsidR="00247164" w:rsidRPr="00D2471F">
        <w:rPr>
          <w:i/>
        </w:rPr>
        <w:t>que</w:t>
      </w:r>
      <w:proofErr w:type="spellEnd"/>
      <w:r w:rsidR="006668EA" w:rsidRPr="00D2471F">
        <w:rPr>
          <w:i/>
        </w:rPr>
        <w:t xml:space="preserve"> trata esta r</w:t>
      </w:r>
      <w:r w:rsidR="00247164" w:rsidRPr="00D2471F">
        <w:rPr>
          <w:i/>
        </w:rPr>
        <w:t>esolución deberán registrarse ante FINAGRO antes de finalizar el año 2019.</w:t>
      </w:r>
      <w:r w:rsidRPr="00D2471F">
        <w:t>”</w:t>
      </w:r>
    </w:p>
    <w:p w:rsidR="00984747" w:rsidRPr="00D2471F" w:rsidRDefault="00984747" w:rsidP="001F589E"/>
    <w:p w:rsidR="00C05376" w:rsidRPr="00D2471F" w:rsidRDefault="00C05376" w:rsidP="00C05376">
      <w:pPr>
        <w:rPr>
          <w:rFonts w:cs="Arial"/>
        </w:rPr>
      </w:pPr>
      <w:r w:rsidRPr="00D2471F">
        <w:rPr>
          <w:rFonts w:cs="Arial"/>
          <w:b/>
        </w:rPr>
        <w:t xml:space="preserve">Artículo </w:t>
      </w:r>
      <w:r w:rsidR="007A131E" w:rsidRPr="00D2471F">
        <w:rPr>
          <w:rFonts w:cs="Arial"/>
          <w:b/>
        </w:rPr>
        <w:t>2</w:t>
      </w:r>
      <w:r w:rsidRPr="00D2471F">
        <w:rPr>
          <w:rFonts w:cs="Arial"/>
          <w:b/>
        </w:rPr>
        <w:t xml:space="preserve">o. </w:t>
      </w:r>
      <w:r w:rsidRPr="00D2471F">
        <w:rPr>
          <w:rFonts w:cs="Arial"/>
        </w:rPr>
        <w:t xml:space="preserve">FINAGRO adoptará los procedimientos y medidas necesarias para el desarrollo de la presente resolución. </w:t>
      </w:r>
    </w:p>
    <w:p w:rsidR="00C05376" w:rsidRPr="00D2471F" w:rsidRDefault="00C05376" w:rsidP="00C05376">
      <w:pPr>
        <w:rPr>
          <w:rFonts w:cs="Arial"/>
        </w:rPr>
      </w:pPr>
    </w:p>
    <w:p w:rsidR="00C05376" w:rsidRPr="00D2471F" w:rsidRDefault="00C05376" w:rsidP="00C05376">
      <w:pPr>
        <w:rPr>
          <w:rFonts w:cs="Arial"/>
        </w:rPr>
      </w:pPr>
      <w:r w:rsidRPr="00D2471F">
        <w:rPr>
          <w:rFonts w:cs="Arial"/>
          <w:b/>
        </w:rPr>
        <w:t xml:space="preserve">Artículo </w:t>
      </w:r>
      <w:r w:rsidR="007A131E" w:rsidRPr="00D2471F">
        <w:rPr>
          <w:rFonts w:cs="Arial"/>
          <w:b/>
        </w:rPr>
        <w:t>3</w:t>
      </w:r>
      <w:r w:rsidRPr="00D2471F">
        <w:rPr>
          <w:rFonts w:cs="Arial"/>
          <w:b/>
        </w:rPr>
        <w:t xml:space="preserve">o. </w:t>
      </w:r>
      <w:r w:rsidRPr="00D2471F">
        <w:rPr>
          <w:rFonts w:cs="Arial"/>
        </w:rPr>
        <w:t xml:space="preserve">La presente resolución rige a partir de la fecha de su publicación en el Diario Oficial, y sus efectos aplicarán a partir de la fecha en que FINAGRO expida la circular reglamentaria correspondiente. </w:t>
      </w:r>
    </w:p>
    <w:p w:rsidR="00282628" w:rsidRPr="00D2471F" w:rsidRDefault="00282628" w:rsidP="001F589E">
      <w:pPr>
        <w:rPr>
          <w:b/>
        </w:rPr>
      </w:pPr>
    </w:p>
    <w:p w:rsidR="007D64D6" w:rsidRPr="00D2471F" w:rsidRDefault="007D64D6" w:rsidP="001F589E"/>
    <w:p w:rsidR="007D64D6" w:rsidRPr="00D2471F" w:rsidRDefault="007D64D6" w:rsidP="001F589E">
      <w:r w:rsidRPr="00D2471F">
        <w:t>Dada en Bogotá D.C.,</w:t>
      </w:r>
      <w:r w:rsidR="00E97D22" w:rsidRPr="00D2471F">
        <w:t xml:space="preserve"> a los catorce (14) </w:t>
      </w:r>
      <w:r w:rsidR="00A72BAA" w:rsidRPr="00D2471F">
        <w:t xml:space="preserve">días </w:t>
      </w:r>
      <w:r w:rsidR="00E97D22" w:rsidRPr="00D2471F">
        <w:t>del mes de diciembre de dos mil dieciocho (2018).</w:t>
      </w:r>
    </w:p>
    <w:p w:rsidR="007D64D6" w:rsidRPr="00D2471F" w:rsidRDefault="007D64D6" w:rsidP="001F589E"/>
    <w:p w:rsidR="00E25E8F" w:rsidRPr="00D2471F" w:rsidRDefault="00E25E8F" w:rsidP="001F589E"/>
    <w:p w:rsidR="007D64D6" w:rsidRPr="00D2471F" w:rsidRDefault="007D64D6" w:rsidP="001F589E"/>
    <w:p w:rsidR="00B04271" w:rsidRPr="00D2471F" w:rsidRDefault="00B04271" w:rsidP="00B04271">
      <w:pPr>
        <w:spacing w:line="0" w:lineRule="atLeast"/>
        <w:rPr>
          <w:rFonts w:cs="Arial"/>
          <w:b/>
          <w:color w:val="000000" w:themeColor="text1"/>
        </w:rPr>
      </w:pPr>
      <w:r w:rsidRPr="00D2471F">
        <w:rPr>
          <w:rFonts w:cs="Arial"/>
          <w:b/>
          <w:color w:val="000000" w:themeColor="text1"/>
        </w:rPr>
        <w:t>ANDRÉS VALENCIA</w:t>
      </w:r>
      <w:r w:rsidRPr="00D2471F">
        <w:rPr>
          <w:rFonts w:cs="Arial"/>
          <w:b/>
          <w:color w:val="000000" w:themeColor="text1"/>
        </w:rPr>
        <w:tab/>
        <w:t>PINZÓN</w:t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b/>
          <w:color w:val="000000" w:themeColor="text1"/>
        </w:rPr>
        <w:t>CLAUDIA ACOSTA ECHEVERRÍA</w:t>
      </w:r>
    </w:p>
    <w:p w:rsidR="00BA30EC" w:rsidRDefault="00B04271" w:rsidP="007A2461">
      <w:pPr>
        <w:spacing w:line="0" w:lineRule="atLeast"/>
      </w:pPr>
      <w:r w:rsidRPr="00D2471F">
        <w:rPr>
          <w:rFonts w:cs="Arial"/>
          <w:color w:val="000000" w:themeColor="text1"/>
        </w:rPr>
        <w:t>Presidente</w:t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</w:r>
      <w:r w:rsidRPr="00D2471F">
        <w:rPr>
          <w:rFonts w:cs="Arial"/>
          <w:color w:val="000000" w:themeColor="text1"/>
        </w:rPr>
        <w:tab/>
        <w:t>Secretaria Técnica (E)</w:t>
      </w:r>
      <w:bookmarkStart w:id="1" w:name="_GoBack"/>
      <w:bookmarkEnd w:id="1"/>
      <w:r w:rsidRPr="00C81D08">
        <w:rPr>
          <w:rFonts w:cs="Arial"/>
          <w:color w:val="000000" w:themeColor="text1"/>
        </w:rPr>
        <w:t xml:space="preserve"> </w:t>
      </w:r>
    </w:p>
    <w:sectPr w:rsidR="00BA3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A5B37"/>
    <w:multiLevelType w:val="hybridMultilevel"/>
    <w:tmpl w:val="4B380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D6"/>
    <w:rsid w:val="000036F5"/>
    <w:rsid w:val="00005991"/>
    <w:rsid w:val="000075AF"/>
    <w:rsid w:val="00047CD5"/>
    <w:rsid w:val="000701F2"/>
    <w:rsid w:val="00085B3E"/>
    <w:rsid w:val="00092825"/>
    <w:rsid w:val="000A2364"/>
    <w:rsid w:val="000A288E"/>
    <w:rsid w:val="000B63BD"/>
    <w:rsid w:val="000F2C8E"/>
    <w:rsid w:val="001649FD"/>
    <w:rsid w:val="0016550B"/>
    <w:rsid w:val="001663F5"/>
    <w:rsid w:val="001F589E"/>
    <w:rsid w:val="00247164"/>
    <w:rsid w:val="002737E1"/>
    <w:rsid w:val="00282628"/>
    <w:rsid w:val="002B5045"/>
    <w:rsid w:val="002D7FE0"/>
    <w:rsid w:val="003253CC"/>
    <w:rsid w:val="0034165F"/>
    <w:rsid w:val="00380F1B"/>
    <w:rsid w:val="00383D13"/>
    <w:rsid w:val="00384345"/>
    <w:rsid w:val="0039574E"/>
    <w:rsid w:val="003C2615"/>
    <w:rsid w:val="003E520F"/>
    <w:rsid w:val="004210D3"/>
    <w:rsid w:val="0043159E"/>
    <w:rsid w:val="00432732"/>
    <w:rsid w:val="004B16AC"/>
    <w:rsid w:val="004C2437"/>
    <w:rsid w:val="004F7192"/>
    <w:rsid w:val="00661451"/>
    <w:rsid w:val="00661D16"/>
    <w:rsid w:val="006668EA"/>
    <w:rsid w:val="006E1D1E"/>
    <w:rsid w:val="00717B50"/>
    <w:rsid w:val="00751F24"/>
    <w:rsid w:val="007609EC"/>
    <w:rsid w:val="0078590A"/>
    <w:rsid w:val="0079079D"/>
    <w:rsid w:val="007A131E"/>
    <w:rsid w:val="007A2461"/>
    <w:rsid w:val="007C0CC5"/>
    <w:rsid w:val="007D0A35"/>
    <w:rsid w:val="007D64D6"/>
    <w:rsid w:val="00807F4D"/>
    <w:rsid w:val="008371E2"/>
    <w:rsid w:val="0084086B"/>
    <w:rsid w:val="00853ABF"/>
    <w:rsid w:val="00855D7E"/>
    <w:rsid w:val="008D0959"/>
    <w:rsid w:val="008E57FC"/>
    <w:rsid w:val="008E5A1A"/>
    <w:rsid w:val="008F2080"/>
    <w:rsid w:val="00904679"/>
    <w:rsid w:val="00911687"/>
    <w:rsid w:val="00940B4A"/>
    <w:rsid w:val="00962897"/>
    <w:rsid w:val="00984747"/>
    <w:rsid w:val="009A4702"/>
    <w:rsid w:val="009B65AE"/>
    <w:rsid w:val="009D7151"/>
    <w:rsid w:val="00A1418A"/>
    <w:rsid w:val="00A33D1E"/>
    <w:rsid w:val="00A72BAA"/>
    <w:rsid w:val="00A9514E"/>
    <w:rsid w:val="00A95DFE"/>
    <w:rsid w:val="00AF06C1"/>
    <w:rsid w:val="00AF4302"/>
    <w:rsid w:val="00B012C9"/>
    <w:rsid w:val="00B04271"/>
    <w:rsid w:val="00B14D75"/>
    <w:rsid w:val="00B17F26"/>
    <w:rsid w:val="00B75346"/>
    <w:rsid w:val="00BA30EC"/>
    <w:rsid w:val="00BB4585"/>
    <w:rsid w:val="00BC039A"/>
    <w:rsid w:val="00BC18CB"/>
    <w:rsid w:val="00C05376"/>
    <w:rsid w:val="00C17FFC"/>
    <w:rsid w:val="00C326AF"/>
    <w:rsid w:val="00C375C9"/>
    <w:rsid w:val="00C600A2"/>
    <w:rsid w:val="00C75298"/>
    <w:rsid w:val="00C83343"/>
    <w:rsid w:val="00CB4A9B"/>
    <w:rsid w:val="00CC2AE1"/>
    <w:rsid w:val="00CE289A"/>
    <w:rsid w:val="00D2471F"/>
    <w:rsid w:val="00D249EE"/>
    <w:rsid w:val="00D77DB7"/>
    <w:rsid w:val="00DE425E"/>
    <w:rsid w:val="00E25E8F"/>
    <w:rsid w:val="00E97D22"/>
    <w:rsid w:val="00EA7808"/>
    <w:rsid w:val="00ED2EEA"/>
    <w:rsid w:val="00F03CA6"/>
    <w:rsid w:val="00F07D06"/>
    <w:rsid w:val="00F62F78"/>
    <w:rsid w:val="00F9172B"/>
    <w:rsid w:val="00FC6A42"/>
    <w:rsid w:val="00FC706D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6C7CD9-67E5-4E27-8F23-381EA0ED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0D3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A4702"/>
    <w:pPr>
      <w:spacing w:after="0" w:line="240" w:lineRule="auto"/>
      <w:jc w:val="both"/>
    </w:pPr>
    <w:rPr>
      <w:rFonts w:ascii="Arial" w:hAnsi="Arial" w:cs="Times New Roman"/>
      <w:szCs w:val="24"/>
      <w:lang w:eastAsia="es-ES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0A288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0A288E"/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1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18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Alfredo Benitez Lozano</dc:creator>
  <cp:keywords/>
  <dc:description/>
  <cp:lastModifiedBy>Maria Fernanda Guerra Charry</cp:lastModifiedBy>
  <cp:revision>60</cp:revision>
  <dcterms:created xsi:type="dcterms:W3CDTF">2018-12-11T18:43:00Z</dcterms:created>
  <dcterms:modified xsi:type="dcterms:W3CDTF">2018-12-11T23:10:00Z</dcterms:modified>
</cp:coreProperties>
</file>