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A351B4" w14:textId="77777777" w:rsidR="00F94A36" w:rsidRDefault="00F94A36" w:rsidP="00F94A36">
      <w:pPr>
        <w:spacing w:before="0" w:after="0"/>
        <w:jc w:val="center"/>
        <w:rPr>
          <w:rFonts w:cs="Arial"/>
          <w:b/>
          <w:bCs/>
          <w:color w:val="000000" w:themeColor="text1"/>
          <w:sz w:val="22"/>
          <w:szCs w:val="22"/>
        </w:rPr>
      </w:pPr>
      <w:r>
        <w:rPr>
          <w:rFonts w:cs="Arial"/>
          <w:b/>
          <w:bCs/>
          <w:color w:val="000000" w:themeColor="text1"/>
          <w:sz w:val="22"/>
          <w:szCs w:val="22"/>
        </w:rPr>
        <w:t>REPÚBLICA DE COLOMBIA</w:t>
      </w:r>
    </w:p>
    <w:p w14:paraId="5C82659E" w14:textId="77777777" w:rsidR="00F94A36" w:rsidRDefault="00F94A36" w:rsidP="00F94A36">
      <w:pPr>
        <w:spacing w:before="0" w:after="0"/>
        <w:jc w:val="center"/>
        <w:rPr>
          <w:rFonts w:cs="Arial"/>
          <w:b/>
          <w:bCs/>
          <w:color w:val="000000" w:themeColor="text1"/>
          <w:sz w:val="22"/>
          <w:szCs w:val="22"/>
        </w:rPr>
      </w:pPr>
    </w:p>
    <w:p w14:paraId="11814893" w14:textId="77777777" w:rsidR="00F94A36" w:rsidRDefault="00F94A36" w:rsidP="00F94A36">
      <w:pPr>
        <w:spacing w:before="0" w:after="0"/>
        <w:jc w:val="center"/>
        <w:rPr>
          <w:rFonts w:cs="Arial"/>
          <w:b/>
          <w:bCs/>
          <w:color w:val="000000" w:themeColor="text1"/>
          <w:sz w:val="22"/>
          <w:szCs w:val="22"/>
        </w:rPr>
      </w:pPr>
      <w:r>
        <w:rPr>
          <w:rFonts w:cs="Arial"/>
          <w:b/>
          <w:bCs/>
          <w:color w:val="000000" w:themeColor="text1"/>
          <w:sz w:val="22"/>
          <w:szCs w:val="22"/>
        </w:rPr>
        <w:t>COMISIÓN NACIONAL DE CRÉDITO AGROPECUARIO</w:t>
      </w:r>
    </w:p>
    <w:p w14:paraId="27C9F1A4" w14:textId="77777777" w:rsidR="00F94A36" w:rsidRDefault="00F94A36" w:rsidP="00F94A36">
      <w:pPr>
        <w:spacing w:before="0" w:after="0"/>
        <w:jc w:val="center"/>
        <w:rPr>
          <w:rFonts w:cs="Arial"/>
          <w:b/>
          <w:bCs/>
          <w:color w:val="000000" w:themeColor="text1"/>
          <w:sz w:val="22"/>
          <w:szCs w:val="22"/>
        </w:rPr>
      </w:pPr>
    </w:p>
    <w:p w14:paraId="0947E9F0" w14:textId="77777777" w:rsidR="00F94A36" w:rsidRDefault="00F94A36" w:rsidP="00F94A36">
      <w:pPr>
        <w:spacing w:before="0" w:after="0"/>
        <w:jc w:val="center"/>
        <w:rPr>
          <w:rFonts w:cs="Arial"/>
          <w:b/>
          <w:bCs/>
          <w:color w:val="000000" w:themeColor="text1"/>
          <w:sz w:val="22"/>
          <w:szCs w:val="22"/>
        </w:rPr>
      </w:pPr>
      <w:r>
        <w:rPr>
          <w:rFonts w:cs="Arial"/>
          <w:b/>
          <w:bCs/>
          <w:color w:val="000000" w:themeColor="text1"/>
          <w:sz w:val="22"/>
          <w:szCs w:val="22"/>
        </w:rPr>
        <w:t xml:space="preserve">RESOLUCIÓN N° XX </w:t>
      </w:r>
      <w:r>
        <w:rPr>
          <w:rFonts w:cs="Arial"/>
          <w:b/>
          <w:bCs/>
          <w:sz w:val="22"/>
          <w:szCs w:val="22"/>
        </w:rPr>
        <w:t xml:space="preserve">DE </w:t>
      </w:r>
      <w:r>
        <w:rPr>
          <w:rFonts w:cs="Arial"/>
          <w:b/>
          <w:bCs/>
          <w:color w:val="000000" w:themeColor="text1"/>
          <w:sz w:val="22"/>
          <w:szCs w:val="22"/>
        </w:rPr>
        <w:t>2017</w:t>
      </w:r>
    </w:p>
    <w:p w14:paraId="26E648FF" w14:textId="77777777" w:rsidR="00F94A36" w:rsidRDefault="00F94A36" w:rsidP="00F94A36">
      <w:pPr>
        <w:pStyle w:val="Ttulo1"/>
        <w:numPr>
          <w:ilvl w:val="0"/>
          <w:numId w:val="0"/>
        </w:numPr>
        <w:spacing w:before="0" w:after="0"/>
        <w:jc w:val="center"/>
        <w:rPr>
          <w:rFonts w:cs="Arial"/>
          <w:bCs w:val="0"/>
          <w:color w:val="000000" w:themeColor="text1"/>
          <w:sz w:val="22"/>
          <w:szCs w:val="22"/>
        </w:rPr>
      </w:pPr>
    </w:p>
    <w:p w14:paraId="6B8B29F0" w14:textId="77777777" w:rsidR="00F94A36" w:rsidRDefault="00F94A36" w:rsidP="00F94A36">
      <w:pPr>
        <w:pStyle w:val="Textoindependiente2"/>
        <w:spacing w:before="0" w:after="0" w:line="0" w:lineRule="atLeast"/>
        <w:rPr>
          <w:rFonts w:cs="Arial"/>
          <w:color w:val="000000" w:themeColor="text1"/>
          <w:sz w:val="22"/>
          <w:szCs w:val="22"/>
        </w:rPr>
      </w:pPr>
    </w:p>
    <w:p w14:paraId="54D4CB15" w14:textId="77777777" w:rsidR="00F94A36" w:rsidRDefault="00F94A36" w:rsidP="00F94A36">
      <w:pPr>
        <w:pStyle w:val="Textoindependiente2"/>
        <w:spacing w:before="0" w:after="0" w:line="0" w:lineRule="atLeast"/>
        <w:rPr>
          <w:rFonts w:cs="Arial"/>
          <w:color w:val="000000" w:themeColor="text1"/>
          <w:sz w:val="22"/>
          <w:szCs w:val="22"/>
        </w:rPr>
      </w:pPr>
      <w:r>
        <w:rPr>
          <w:rFonts w:cs="Arial"/>
          <w:color w:val="000000" w:themeColor="text1"/>
          <w:sz w:val="22"/>
          <w:szCs w:val="22"/>
        </w:rPr>
        <w:t>“Por la cual se modifica el artículo 1° de la Resolución N° 3 de 2017, por la cual se aprobó el Plan Anual de Gestión de Riesgos Agropecuarios para el ejercicio 2017,”</w:t>
      </w:r>
    </w:p>
    <w:p w14:paraId="027FB7E1" w14:textId="77777777" w:rsidR="00F94A36" w:rsidRDefault="00F94A36" w:rsidP="00F94A36">
      <w:pPr>
        <w:spacing w:before="0" w:after="0" w:line="0" w:lineRule="atLeast"/>
        <w:jc w:val="center"/>
        <w:rPr>
          <w:rFonts w:cs="Arial"/>
          <w:b/>
          <w:bCs/>
          <w:color w:val="000000" w:themeColor="text1"/>
          <w:sz w:val="22"/>
          <w:szCs w:val="22"/>
          <w:lang w:val="es-ES"/>
        </w:rPr>
      </w:pPr>
    </w:p>
    <w:p w14:paraId="78BDDEA5" w14:textId="77777777" w:rsidR="00F94A36" w:rsidRDefault="00F94A36" w:rsidP="00F94A36">
      <w:pPr>
        <w:spacing w:before="0" w:after="0" w:line="0" w:lineRule="atLeast"/>
        <w:jc w:val="center"/>
        <w:rPr>
          <w:rFonts w:cs="Arial"/>
          <w:b/>
          <w:bCs/>
          <w:color w:val="000000" w:themeColor="text1"/>
          <w:sz w:val="22"/>
          <w:szCs w:val="22"/>
        </w:rPr>
      </w:pPr>
      <w:r>
        <w:rPr>
          <w:rFonts w:cs="Arial"/>
          <w:b/>
          <w:bCs/>
          <w:color w:val="000000" w:themeColor="text1"/>
          <w:sz w:val="22"/>
          <w:szCs w:val="22"/>
        </w:rPr>
        <w:t>LA COMISIÓN NACIONAL DE CRÉDITO AGROPECUARIO</w:t>
      </w:r>
    </w:p>
    <w:p w14:paraId="27134AB8" w14:textId="77777777" w:rsidR="00F94A36" w:rsidRDefault="00F94A36" w:rsidP="00F94A36">
      <w:pPr>
        <w:spacing w:before="0" w:after="0" w:line="0" w:lineRule="atLeast"/>
        <w:jc w:val="center"/>
        <w:rPr>
          <w:rFonts w:cs="Arial"/>
          <w:b/>
          <w:bCs/>
          <w:color w:val="000000" w:themeColor="text1"/>
          <w:sz w:val="22"/>
          <w:szCs w:val="22"/>
        </w:rPr>
      </w:pPr>
    </w:p>
    <w:p w14:paraId="2A26391B" w14:textId="77777777" w:rsidR="00F94A36" w:rsidRDefault="00F94A36" w:rsidP="00F94A36">
      <w:pPr>
        <w:spacing w:before="0" w:after="0" w:line="0" w:lineRule="atLeast"/>
        <w:jc w:val="both"/>
        <w:rPr>
          <w:rFonts w:cs="Arial"/>
          <w:color w:val="000000" w:themeColor="text1"/>
          <w:sz w:val="22"/>
          <w:szCs w:val="22"/>
        </w:rPr>
      </w:pPr>
      <w:r>
        <w:rPr>
          <w:rFonts w:cs="Arial"/>
          <w:color w:val="000000" w:themeColor="text1"/>
          <w:sz w:val="22"/>
          <w:szCs w:val="22"/>
        </w:rPr>
        <w:t>En ejercicio de las facultades consagradas en las Leyes 16 de 1990, 69 de 1993, 101 de 1993, 812 de 2003, 1151 de 2007, 1450 de 2011, 1731 de 2014, 1753 de 2015 y los Decretos 2555 de 2010, y 2371 de 2015 y,</w:t>
      </w:r>
    </w:p>
    <w:p w14:paraId="1769867F" w14:textId="77777777" w:rsidR="00F94A36" w:rsidRDefault="00F94A36" w:rsidP="00F94A36">
      <w:pPr>
        <w:spacing w:before="0" w:after="0" w:line="0" w:lineRule="atLeast"/>
        <w:jc w:val="both"/>
        <w:rPr>
          <w:rFonts w:cs="Arial"/>
          <w:color w:val="000000" w:themeColor="text1"/>
          <w:sz w:val="22"/>
          <w:szCs w:val="22"/>
        </w:rPr>
      </w:pPr>
    </w:p>
    <w:p w14:paraId="465966C4" w14:textId="77777777" w:rsidR="00F94A36" w:rsidRDefault="00F94A36" w:rsidP="00F94A36">
      <w:pPr>
        <w:spacing w:before="0" w:after="0" w:line="0" w:lineRule="atLeast"/>
        <w:jc w:val="both"/>
        <w:rPr>
          <w:rFonts w:cs="Arial"/>
          <w:color w:val="000000" w:themeColor="text1"/>
          <w:sz w:val="22"/>
          <w:szCs w:val="22"/>
        </w:rPr>
      </w:pPr>
    </w:p>
    <w:p w14:paraId="6EC8429E" w14:textId="77777777" w:rsidR="00F94A36" w:rsidRDefault="00F94A36" w:rsidP="00F94A36">
      <w:pPr>
        <w:spacing w:before="0" w:after="0" w:line="0" w:lineRule="atLeast"/>
        <w:jc w:val="center"/>
        <w:rPr>
          <w:rFonts w:cs="Arial"/>
          <w:b/>
          <w:color w:val="000000" w:themeColor="text1"/>
          <w:sz w:val="22"/>
          <w:szCs w:val="22"/>
        </w:rPr>
      </w:pPr>
      <w:r>
        <w:rPr>
          <w:rFonts w:cs="Arial"/>
          <w:b/>
          <w:color w:val="000000" w:themeColor="text1"/>
          <w:sz w:val="22"/>
          <w:szCs w:val="22"/>
        </w:rPr>
        <w:t>CONSIDERANDO</w:t>
      </w:r>
    </w:p>
    <w:p w14:paraId="13B0AA4D" w14:textId="77777777" w:rsidR="00F94A36" w:rsidRDefault="00F94A36" w:rsidP="00F94A36">
      <w:pPr>
        <w:spacing w:before="0" w:after="0" w:line="0" w:lineRule="atLeast"/>
        <w:jc w:val="center"/>
        <w:rPr>
          <w:rFonts w:cs="Arial"/>
          <w:b/>
          <w:color w:val="000000" w:themeColor="text1"/>
          <w:sz w:val="22"/>
          <w:szCs w:val="22"/>
        </w:rPr>
      </w:pPr>
    </w:p>
    <w:p w14:paraId="7B820C08" w14:textId="77777777" w:rsidR="00F94A36" w:rsidRDefault="00F94A36" w:rsidP="00F94A36">
      <w:pPr>
        <w:spacing w:before="0" w:after="0" w:line="0" w:lineRule="atLeast"/>
        <w:jc w:val="center"/>
        <w:rPr>
          <w:rFonts w:cs="Arial"/>
          <w:color w:val="000000" w:themeColor="text1"/>
          <w:sz w:val="22"/>
          <w:szCs w:val="22"/>
        </w:rPr>
      </w:pPr>
    </w:p>
    <w:p w14:paraId="47149AB9" w14:textId="77777777" w:rsidR="00F94A36" w:rsidRDefault="00F94A36" w:rsidP="00F94A36">
      <w:pPr>
        <w:spacing w:before="0" w:after="0" w:line="0" w:lineRule="atLeast"/>
        <w:jc w:val="both"/>
        <w:rPr>
          <w:rFonts w:cs="Arial"/>
          <w:color w:val="000000" w:themeColor="text1"/>
          <w:sz w:val="22"/>
          <w:szCs w:val="22"/>
        </w:rPr>
      </w:pPr>
      <w:r>
        <w:rPr>
          <w:rFonts w:cs="Arial"/>
          <w:color w:val="000000" w:themeColor="text1"/>
          <w:sz w:val="22"/>
          <w:szCs w:val="22"/>
        </w:rPr>
        <w:t xml:space="preserve">Que la Ley 69 de 1993 establece el seguro agropecuario en Colombia como instrumento para incentivar y proteger la producción de alimentos, buscar el mejoramiento económico del sector rural, promoviendo el ordenamiento económico del sector agropecuario y la protección de las inversiones agropecuarias. </w:t>
      </w:r>
    </w:p>
    <w:p w14:paraId="7C8082F2" w14:textId="77777777" w:rsidR="00F94A36" w:rsidRDefault="00F94A36" w:rsidP="00F94A36">
      <w:pPr>
        <w:spacing w:before="0" w:after="0" w:line="0" w:lineRule="atLeast"/>
        <w:jc w:val="both"/>
        <w:rPr>
          <w:rFonts w:cs="Arial"/>
          <w:color w:val="000000" w:themeColor="text1"/>
          <w:sz w:val="22"/>
          <w:szCs w:val="22"/>
        </w:rPr>
      </w:pPr>
    </w:p>
    <w:p w14:paraId="692C72A6" w14:textId="77777777" w:rsidR="00F94A36" w:rsidRDefault="00F94A36" w:rsidP="00F94A36">
      <w:pPr>
        <w:spacing w:before="0" w:after="0" w:line="0" w:lineRule="atLeast"/>
        <w:jc w:val="both"/>
        <w:rPr>
          <w:rFonts w:cs="Arial"/>
          <w:color w:val="000000" w:themeColor="text1"/>
          <w:sz w:val="22"/>
          <w:szCs w:val="22"/>
        </w:rPr>
      </w:pPr>
      <w:r>
        <w:rPr>
          <w:rFonts w:cs="Arial"/>
          <w:color w:val="000000" w:themeColor="text1"/>
          <w:sz w:val="22"/>
          <w:szCs w:val="22"/>
        </w:rPr>
        <w:t>Que la Ley 101 de 1993 determina que el Estado concurrirá al pago de las primas que los productores agropecuarios deban sufragar para tomar el seguro agropecuario.</w:t>
      </w:r>
    </w:p>
    <w:p w14:paraId="69374A81" w14:textId="77777777" w:rsidR="00F94A36" w:rsidRDefault="00F94A36" w:rsidP="00F94A36">
      <w:pPr>
        <w:spacing w:before="0" w:after="0" w:line="0" w:lineRule="atLeast"/>
        <w:jc w:val="both"/>
        <w:rPr>
          <w:rFonts w:cs="Arial"/>
          <w:color w:val="000000" w:themeColor="text1"/>
          <w:sz w:val="22"/>
          <w:szCs w:val="22"/>
        </w:rPr>
      </w:pPr>
    </w:p>
    <w:p w14:paraId="09322EE7" w14:textId="77777777" w:rsidR="00F94A36" w:rsidRDefault="00F94A36" w:rsidP="00F94A36">
      <w:pPr>
        <w:spacing w:before="0" w:after="0" w:line="0" w:lineRule="atLeast"/>
        <w:jc w:val="both"/>
        <w:rPr>
          <w:rFonts w:cs="Arial"/>
          <w:color w:val="000000" w:themeColor="text1"/>
          <w:sz w:val="22"/>
          <w:szCs w:val="22"/>
        </w:rPr>
      </w:pPr>
      <w:r>
        <w:rPr>
          <w:rFonts w:cs="Arial"/>
          <w:color w:val="000000" w:themeColor="text1"/>
          <w:sz w:val="22"/>
          <w:szCs w:val="22"/>
        </w:rPr>
        <w:t>Que de conformidad con el artículo 75 de la Ley 1450 de 2011 corresponde al Ministerio de Agricultura y Desarrollo Rural reglamentar lo relacionado con los riesgos naturales y biológicos amparados por el seguro agropecuario.</w:t>
      </w:r>
    </w:p>
    <w:p w14:paraId="653E06F1" w14:textId="77777777" w:rsidR="00F94A36" w:rsidRDefault="00F94A36" w:rsidP="00F94A36">
      <w:pPr>
        <w:spacing w:before="0" w:after="0" w:line="0" w:lineRule="atLeast"/>
        <w:jc w:val="both"/>
        <w:rPr>
          <w:rFonts w:cs="Arial"/>
          <w:color w:val="000000" w:themeColor="text1"/>
          <w:sz w:val="22"/>
          <w:szCs w:val="22"/>
        </w:rPr>
      </w:pPr>
    </w:p>
    <w:p w14:paraId="179D4024" w14:textId="77777777" w:rsidR="00F94A36" w:rsidRDefault="00F94A36" w:rsidP="00F94A36">
      <w:pPr>
        <w:spacing w:before="0" w:after="0" w:line="0" w:lineRule="atLeast"/>
        <w:jc w:val="both"/>
        <w:rPr>
          <w:rFonts w:cs="Arial"/>
          <w:color w:val="000000" w:themeColor="text1"/>
          <w:sz w:val="22"/>
          <w:szCs w:val="22"/>
        </w:rPr>
      </w:pPr>
      <w:r>
        <w:rPr>
          <w:rFonts w:cs="Arial"/>
          <w:color w:val="000000" w:themeColor="text1"/>
          <w:sz w:val="22"/>
          <w:szCs w:val="22"/>
        </w:rPr>
        <w:t xml:space="preserve">Que en virtud del artículo 267 de la Ley 1753 de 2015 por la cual se expide el Plan Nacional de Desarrollo 2014-2018 </w:t>
      </w:r>
      <w:r>
        <w:rPr>
          <w:rFonts w:cs="Arial"/>
          <w:i/>
          <w:color w:val="000000" w:themeColor="text1"/>
          <w:sz w:val="22"/>
          <w:szCs w:val="22"/>
        </w:rPr>
        <w:t xml:space="preserve">“Todos por un nuevo país”, </w:t>
      </w:r>
      <w:r>
        <w:rPr>
          <w:rFonts w:cs="Arial"/>
          <w:color w:val="000000" w:themeColor="text1"/>
          <w:sz w:val="22"/>
          <w:szCs w:val="22"/>
          <w:lang w:eastAsia="es-CO"/>
        </w:rPr>
        <w:t xml:space="preserve">en concordancia con el artículo 20 de la Ley 812 de 2003 </w:t>
      </w:r>
      <w:r>
        <w:rPr>
          <w:rFonts w:cs="Arial"/>
          <w:color w:val="000000" w:themeColor="text1"/>
          <w:sz w:val="22"/>
          <w:szCs w:val="22"/>
        </w:rPr>
        <w:t>por la cual se expidió el Plan Nacional de Desarrollo, 2003-2006, FINAGRO continúa administrando el Fondo Nacional de Riesgos Agropecuarios.</w:t>
      </w:r>
    </w:p>
    <w:p w14:paraId="06B270D6" w14:textId="77777777" w:rsidR="00F94A36" w:rsidRDefault="00F94A36" w:rsidP="00F94A36">
      <w:pPr>
        <w:spacing w:before="0" w:after="0" w:line="0" w:lineRule="atLeast"/>
        <w:jc w:val="both"/>
        <w:rPr>
          <w:rFonts w:cs="Arial"/>
          <w:color w:val="4B4949"/>
          <w:sz w:val="22"/>
          <w:szCs w:val="22"/>
        </w:rPr>
      </w:pPr>
    </w:p>
    <w:p w14:paraId="069F675C" w14:textId="77777777" w:rsidR="00F94A36" w:rsidRDefault="00F94A36" w:rsidP="00F94A36">
      <w:pPr>
        <w:spacing w:before="0" w:after="0" w:line="0" w:lineRule="atLeast"/>
        <w:jc w:val="both"/>
        <w:rPr>
          <w:rFonts w:cs="Arial"/>
          <w:color w:val="000000" w:themeColor="text1"/>
          <w:sz w:val="22"/>
          <w:szCs w:val="22"/>
          <w:lang w:eastAsia="es-CO"/>
        </w:rPr>
      </w:pPr>
      <w:bookmarkStart w:id="0" w:name="9"/>
      <w:bookmarkEnd w:id="0"/>
      <w:r>
        <w:rPr>
          <w:rFonts w:cs="Arial"/>
          <w:color w:val="000000" w:themeColor="text1"/>
          <w:sz w:val="22"/>
          <w:szCs w:val="22"/>
          <w:lang w:eastAsia="es-CO"/>
        </w:rPr>
        <w:t>Que el artículo 5° de la Ley 1731 de 2014 dispuso:</w:t>
      </w:r>
    </w:p>
    <w:p w14:paraId="2C4CEEF1" w14:textId="77777777" w:rsidR="00F94A36" w:rsidRDefault="00F94A36" w:rsidP="00F94A36">
      <w:pPr>
        <w:spacing w:before="0" w:after="0" w:line="0" w:lineRule="atLeast"/>
        <w:jc w:val="both"/>
        <w:rPr>
          <w:rFonts w:cs="Arial"/>
          <w:color w:val="000000" w:themeColor="text1"/>
          <w:sz w:val="22"/>
          <w:szCs w:val="22"/>
          <w:lang w:eastAsia="es-CO"/>
        </w:rPr>
      </w:pPr>
    </w:p>
    <w:p w14:paraId="1E776813" w14:textId="77777777" w:rsidR="00F94A36" w:rsidRDefault="00F94A36" w:rsidP="00F94A36">
      <w:pPr>
        <w:spacing w:before="0" w:after="0" w:line="0" w:lineRule="atLeast"/>
        <w:jc w:val="both"/>
        <w:rPr>
          <w:rFonts w:cs="Arial"/>
          <w:i/>
          <w:color w:val="000000" w:themeColor="text1"/>
          <w:sz w:val="22"/>
          <w:szCs w:val="22"/>
          <w:lang w:eastAsia="es-CO"/>
        </w:rPr>
      </w:pPr>
      <w:r>
        <w:rPr>
          <w:rFonts w:cs="Arial"/>
          <w:i/>
          <w:color w:val="000000" w:themeColor="text1"/>
          <w:sz w:val="22"/>
          <w:szCs w:val="22"/>
          <w:lang w:eastAsia="es-CO"/>
        </w:rPr>
        <w:t xml:space="preserve">“Ampliación del objeto del Fondo Nacional de Riesgos Agropecuarios y medidas para facilitar la toma de seguros agropecuarios. Con el propósito de fomentar la oferta del seguro agropecuario, y con cargo a los recursos disponibles por el Fondo Nacional de Riesgos Agropecuarios de que trata la Ley 69 de 1993, que será administrado por FINAGRO, se podrán cofinanciar los costos para el fortalecimiento técnico del seguro agropecuario y la obtención de información que no sea pública. Para efectos de la información que reposa en entidades públicas, esta no tendrá costo alguno para FINAGRO y las otras entidades que defina el Gobierno Nacional, el cual además definirá las condiciones de acceso a ella. Igualmente, con el propósito de fomentar la gestión de riesgos en el sector agropecuario, se podrán otorgar subsidios, apoyos o incentivos para la implementación de instrumentos de gestión de riesgos en el sector agropecuario, forestal, pesquero y de la acuicultura, tales </w:t>
      </w:r>
      <w:r>
        <w:rPr>
          <w:rFonts w:cs="Arial"/>
          <w:i/>
          <w:color w:val="000000" w:themeColor="text1"/>
          <w:sz w:val="22"/>
          <w:szCs w:val="22"/>
          <w:lang w:eastAsia="es-CO"/>
        </w:rPr>
        <w:lastRenderedPageBreak/>
        <w:t>como derivados financieros climáticos, coberturas de precios o de riesgo cambiario. La Comisión Nacional de Crédito Agropecuario reglamentará estas cofinanciaciones, subsidios, apoyos o incentivos. En todo caso, se tendrán en cuenta los recursos aprobados en el Marco de Gasto de Mediano Plazo del sector agropecuario.</w:t>
      </w:r>
    </w:p>
    <w:p w14:paraId="65E0502E" w14:textId="77777777" w:rsidR="00F94A36" w:rsidRDefault="00F94A36" w:rsidP="00F94A36">
      <w:pPr>
        <w:spacing w:before="0" w:after="0" w:line="0" w:lineRule="atLeast"/>
        <w:jc w:val="both"/>
        <w:rPr>
          <w:rFonts w:cs="Arial"/>
          <w:i/>
          <w:color w:val="000000" w:themeColor="text1"/>
          <w:sz w:val="22"/>
          <w:szCs w:val="22"/>
          <w:lang w:eastAsia="es-CO"/>
        </w:rPr>
      </w:pPr>
    </w:p>
    <w:p w14:paraId="6970E626" w14:textId="77777777" w:rsidR="00F94A36" w:rsidRDefault="00F94A36" w:rsidP="00F94A36">
      <w:pPr>
        <w:spacing w:before="0" w:after="0" w:line="0" w:lineRule="atLeast"/>
        <w:jc w:val="both"/>
        <w:rPr>
          <w:rFonts w:cs="Arial"/>
          <w:i/>
          <w:color w:val="000000" w:themeColor="text1"/>
          <w:sz w:val="22"/>
          <w:szCs w:val="22"/>
          <w:lang w:eastAsia="es-CO"/>
        </w:rPr>
      </w:pPr>
      <w:r>
        <w:rPr>
          <w:rFonts w:cs="Arial"/>
          <w:i/>
          <w:color w:val="000000" w:themeColor="text1"/>
          <w:sz w:val="22"/>
          <w:szCs w:val="22"/>
          <w:lang w:eastAsia="es-CO"/>
        </w:rPr>
        <w:t>Las condiciones de asegurabilidad de los proyectos agropecuarios, forestales, pesqueros y de la acuicultura, objeto del seguro agropecuario serán definidas por la Comisión Nacional de Crédito Agropecuario”.</w:t>
      </w:r>
    </w:p>
    <w:p w14:paraId="2B3A4029" w14:textId="77777777" w:rsidR="00F94A36" w:rsidRDefault="00F94A36" w:rsidP="00F94A36">
      <w:pPr>
        <w:spacing w:before="0" w:after="0" w:line="0" w:lineRule="atLeast"/>
        <w:jc w:val="both"/>
        <w:rPr>
          <w:rFonts w:cs="Arial"/>
          <w:color w:val="000000" w:themeColor="text1"/>
          <w:sz w:val="22"/>
          <w:szCs w:val="22"/>
          <w:lang w:eastAsia="es-CO"/>
        </w:rPr>
      </w:pPr>
    </w:p>
    <w:p w14:paraId="74BC1E23" w14:textId="77777777" w:rsidR="00F94A36" w:rsidRDefault="00F94A36" w:rsidP="00F94A36">
      <w:pPr>
        <w:pStyle w:val="Default"/>
        <w:jc w:val="both"/>
        <w:rPr>
          <w:color w:val="000000" w:themeColor="text1"/>
          <w:sz w:val="22"/>
          <w:szCs w:val="22"/>
          <w:lang w:eastAsia="es-CO"/>
        </w:rPr>
      </w:pPr>
      <w:r>
        <w:rPr>
          <w:color w:val="000000" w:themeColor="text1"/>
          <w:sz w:val="22"/>
          <w:szCs w:val="22"/>
          <w:lang w:eastAsia="es-CO"/>
        </w:rPr>
        <w:t>Que el Decreto 2555 de 2010 establece los lineamientos generales del seguro agropecuario.</w:t>
      </w:r>
    </w:p>
    <w:p w14:paraId="6FDD1C39" w14:textId="77777777" w:rsidR="00F94A36" w:rsidRDefault="00F94A36" w:rsidP="00F94A36">
      <w:pPr>
        <w:pStyle w:val="Default"/>
        <w:jc w:val="both"/>
        <w:rPr>
          <w:color w:val="000000" w:themeColor="text1"/>
          <w:sz w:val="22"/>
          <w:szCs w:val="22"/>
          <w:lang w:eastAsia="es-CO"/>
        </w:rPr>
      </w:pPr>
    </w:p>
    <w:p w14:paraId="1090AC1F" w14:textId="77777777" w:rsidR="00F94A36" w:rsidRDefault="00F94A36" w:rsidP="00F94A36">
      <w:pPr>
        <w:pStyle w:val="Default"/>
        <w:jc w:val="both"/>
        <w:rPr>
          <w:color w:val="000000" w:themeColor="text1"/>
          <w:sz w:val="22"/>
          <w:szCs w:val="22"/>
          <w:lang w:eastAsia="es-CO"/>
        </w:rPr>
      </w:pPr>
      <w:r>
        <w:rPr>
          <w:sz w:val="22"/>
          <w:szCs w:val="22"/>
          <w:lang w:eastAsia="es-CO"/>
        </w:rPr>
        <w:t xml:space="preserve"> Que el artículo 2° del Decreto 2371 de 2015 </w:t>
      </w:r>
      <w:r>
        <w:rPr>
          <w:color w:val="000000" w:themeColor="text1"/>
          <w:sz w:val="22"/>
          <w:szCs w:val="22"/>
        </w:rPr>
        <w:t xml:space="preserve">le </w:t>
      </w:r>
      <w:r>
        <w:rPr>
          <w:color w:val="000000" w:themeColor="text1"/>
          <w:sz w:val="22"/>
          <w:szCs w:val="22"/>
          <w:lang w:eastAsia="es-CO"/>
        </w:rPr>
        <w:t>asignó a la CNCA la función específica en materia de riesgos agropecuarios así:</w:t>
      </w:r>
    </w:p>
    <w:p w14:paraId="1927ED04" w14:textId="77777777" w:rsidR="00F94A36" w:rsidRDefault="00F94A36" w:rsidP="00F94A36">
      <w:pPr>
        <w:pStyle w:val="Default"/>
        <w:jc w:val="both"/>
        <w:rPr>
          <w:color w:val="000000" w:themeColor="text1"/>
          <w:sz w:val="22"/>
          <w:szCs w:val="22"/>
          <w:lang w:eastAsia="es-CO"/>
        </w:rPr>
      </w:pPr>
    </w:p>
    <w:p w14:paraId="2BBC7E6F" w14:textId="77777777" w:rsidR="00F94A36" w:rsidRDefault="00F94A36" w:rsidP="00F94A36">
      <w:pPr>
        <w:pStyle w:val="Default"/>
        <w:jc w:val="both"/>
        <w:rPr>
          <w:i/>
          <w:color w:val="000000" w:themeColor="text1"/>
          <w:sz w:val="22"/>
          <w:szCs w:val="22"/>
          <w:lang w:eastAsia="es-CO"/>
        </w:rPr>
      </w:pPr>
      <w:r>
        <w:rPr>
          <w:color w:val="000000" w:themeColor="text1"/>
          <w:sz w:val="22"/>
          <w:szCs w:val="22"/>
          <w:lang w:eastAsia="es-CO"/>
        </w:rPr>
        <w:t>“…</w:t>
      </w:r>
      <w:r>
        <w:rPr>
          <w:i/>
          <w:color w:val="000000" w:themeColor="text1"/>
          <w:sz w:val="22"/>
          <w:szCs w:val="22"/>
          <w:lang w:eastAsia="es-CO"/>
        </w:rPr>
        <w:t>p) Establecer los lineamientos de política de manejo de riesgos agropecuarios, en los que se debe contemplar el desarrollo de instrumentos de riesgos climáticos, de mercado, cambiario, entre otros, así como determinar las condiciones generales de asegurabilidad de los proyectos agropecuarios, las condiciones en las cuales se aplican los apoyos e incentivos del Estado, y el destino de los recursos del Fondo Nacional de Riesgos Agropecuarios”.</w:t>
      </w:r>
    </w:p>
    <w:p w14:paraId="794B22D7" w14:textId="77777777" w:rsidR="00F94A36" w:rsidRDefault="00F94A36" w:rsidP="00F94A36">
      <w:pPr>
        <w:spacing w:before="0" w:after="0" w:line="0" w:lineRule="atLeast"/>
        <w:jc w:val="both"/>
        <w:rPr>
          <w:rFonts w:cs="Arial"/>
          <w:color w:val="000000" w:themeColor="text1"/>
          <w:sz w:val="22"/>
          <w:szCs w:val="22"/>
          <w:lang w:eastAsia="es-CO"/>
        </w:rPr>
      </w:pPr>
    </w:p>
    <w:p w14:paraId="52848CFD" w14:textId="77777777" w:rsidR="00F94A36" w:rsidRDefault="00F94A36" w:rsidP="00F94A36">
      <w:pPr>
        <w:spacing w:before="0" w:after="0" w:line="0" w:lineRule="atLeast"/>
        <w:jc w:val="both"/>
        <w:rPr>
          <w:rFonts w:cs="Arial"/>
          <w:color w:val="000000" w:themeColor="text1"/>
          <w:sz w:val="22"/>
          <w:szCs w:val="22"/>
        </w:rPr>
      </w:pPr>
      <w:r>
        <w:rPr>
          <w:rFonts w:cs="Arial"/>
          <w:color w:val="000000" w:themeColor="text1"/>
          <w:sz w:val="22"/>
          <w:szCs w:val="22"/>
        </w:rPr>
        <w:t xml:space="preserve">Que el Secretario Técnico de la Comisión Nacional de Crédito Agropecuario, presentó ante los miembros la Justificación Técnica y </w:t>
      </w:r>
      <w:r w:rsidRPr="0050396E">
        <w:rPr>
          <w:rFonts w:cs="Arial"/>
          <w:color w:val="000000" w:themeColor="text1"/>
          <w:sz w:val="22"/>
          <w:szCs w:val="22"/>
        </w:rPr>
        <w:t xml:space="preserve">Jurídica de la presente Resolución, la cual fue discutida y aprobada en reunión llevada a cabo el </w:t>
      </w:r>
      <w:r w:rsidRPr="0050396E">
        <w:rPr>
          <w:rFonts w:cs="Arial"/>
          <w:sz w:val="22"/>
          <w:szCs w:val="22"/>
        </w:rPr>
        <w:t xml:space="preserve">(31) del mes de julio </w:t>
      </w:r>
      <w:r w:rsidRPr="0050396E">
        <w:rPr>
          <w:rFonts w:cs="Arial"/>
          <w:color w:val="000000" w:themeColor="text1"/>
          <w:sz w:val="22"/>
          <w:szCs w:val="22"/>
        </w:rPr>
        <w:t>de 2017.</w:t>
      </w:r>
      <w:r>
        <w:rPr>
          <w:rFonts w:cs="Arial"/>
          <w:color w:val="000000" w:themeColor="text1"/>
          <w:sz w:val="22"/>
          <w:szCs w:val="22"/>
        </w:rPr>
        <w:t xml:space="preserve"> </w:t>
      </w:r>
    </w:p>
    <w:p w14:paraId="42219B8E" w14:textId="77777777" w:rsidR="00F94A36" w:rsidRDefault="00F94A36" w:rsidP="00F94A36">
      <w:pPr>
        <w:spacing w:before="0" w:after="0" w:line="0" w:lineRule="atLeast"/>
        <w:jc w:val="both"/>
        <w:rPr>
          <w:rFonts w:cs="Arial"/>
          <w:color w:val="000000" w:themeColor="text1"/>
          <w:sz w:val="22"/>
          <w:szCs w:val="22"/>
        </w:rPr>
      </w:pPr>
    </w:p>
    <w:p w14:paraId="1E5961AB" w14:textId="77777777" w:rsidR="00F94A36" w:rsidRDefault="00F94A36" w:rsidP="00F94A36">
      <w:pPr>
        <w:spacing w:before="0" w:after="0" w:line="0" w:lineRule="atLeast"/>
        <w:jc w:val="center"/>
        <w:rPr>
          <w:rFonts w:cs="Arial"/>
          <w:b/>
          <w:bCs/>
          <w:color w:val="000000" w:themeColor="text1"/>
          <w:sz w:val="22"/>
          <w:szCs w:val="22"/>
        </w:rPr>
      </w:pPr>
    </w:p>
    <w:p w14:paraId="660490BF" w14:textId="77777777" w:rsidR="00F94A36" w:rsidRDefault="00F94A36" w:rsidP="00F94A36">
      <w:pPr>
        <w:spacing w:before="0" w:after="0" w:line="0" w:lineRule="atLeast"/>
        <w:jc w:val="center"/>
        <w:rPr>
          <w:rFonts w:cs="Arial"/>
          <w:b/>
          <w:bCs/>
          <w:color w:val="000000" w:themeColor="text1"/>
          <w:sz w:val="22"/>
          <w:szCs w:val="22"/>
        </w:rPr>
      </w:pPr>
      <w:r>
        <w:rPr>
          <w:rFonts w:cs="Arial"/>
          <w:b/>
          <w:bCs/>
          <w:color w:val="000000" w:themeColor="text1"/>
          <w:sz w:val="22"/>
          <w:szCs w:val="22"/>
        </w:rPr>
        <w:t>RESUELVE:</w:t>
      </w:r>
    </w:p>
    <w:p w14:paraId="5831CEFE" w14:textId="77777777" w:rsidR="00F94A36" w:rsidRDefault="00F94A36" w:rsidP="00F94A36">
      <w:pPr>
        <w:spacing w:before="0" w:after="0" w:line="0" w:lineRule="atLeast"/>
        <w:jc w:val="center"/>
        <w:rPr>
          <w:rFonts w:cs="Arial"/>
          <w:b/>
          <w:bCs/>
          <w:color w:val="000000" w:themeColor="text1"/>
          <w:sz w:val="22"/>
          <w:szCs w:val="22"/>
        </w:rPr>
      </w:pPr>
    </w:p>
    <w:p w14:paraId="09DEDDCA" w14:textId="77777777" w:rsidR="00F94A36" w:rsidRDefault="00F94A36" w:rsidP="00F94A36">
      <w:pPr>
        <w:spacing w:before="0" w:after="0" w:line="0" w:lineRule="atLeast"/>
        <w:jc w:val="both"/>
        <w:rPr>
          <w:rFonts w:cs="Arial"/>
          <w:sz w:val="22"/>
          <w:szCs w:val="22"/>
        </w:rPr>
      </w:pPr>
      <w:r>
        <w:rPr>
          <w:rFonts w:cs="Arial"/>
          <w:b/>
          <w:sz w:val="22"/>
          <w:szCs w:val="22"/>
        </w:rPr>
        <w:t xml:space="preserve">Artículo 1°. </w:t>
      </w:r>
      <w:r>
        <w:rPr>
          <w:rFonts w:cs="Arial"/>
          <w:sz w:val="22"/>
          <w:szCs w:val="22"/>
        </w:rPr>
        <w:t>Modificar el artículo 1 de la Resolución N° 3 de 2017 de la Comisión Nacional de Crédito Agropecuario “por la cual se aprueba el Plan Anual de Gestión de Riesgos Agropecuarios para el ejercicio 2017, y se dictan otras disposiciones”, el cual será del siguiente tenor:</w:t>
      </w:r>
    </w:p>
    <w:p w14:paraId="45EF36FE" w14:textId="77777777" w:rsidR="00F94A36" w:rsidRDefault="00F94A36" w:rsidP="00F94A36">
      <w:pPr>
        <w:spacing w:before="0" w:after="0" w:line="0" w:lineRule="atLeast"/>
        <w:jc w:val="both"/>
        <w:rPr>
          <w:rFonts w:cs="Arial"/>
          <w:b/>
          <w:sz w:val="22"/>
          <w:szCs w:val="22"/>
        </w:rPr>
      </w:pPr>
    </w:p>
    <w:p w14:paraId="051D995A" w14:textId="77777777" w:rsidR="00F94A36" w:rsidRPr="00171B73" w:rsidRDefault="00F94A36" w:rsidP="00F94A36">
      <w:pPr>
        <w:spacing w:before="0" w:after="0" w:line="0" w:lineRule="atLeast"/>
        <w:jc w:val="both"/>
        <w:rPr>
          <w:rFonts w:cs="Arial"/>
          <w:sz w:val="22"/>
          <w:szCs w:val="22"/>
        </w:rPr>
      </w:pPr>
      <w:r w:rsidRPr="00B022F3">
        <w:rPr>
          <w:rFonts w:cs="Arial"/>
          <w:b/>
          <w:sz w:val="22"/>
          <w:szCs w:val="22"/>
        </w:rPr>
        <w:t>“Artículo 1°. Presupuesto</w:t>
      </w:r>
      <w:r w:rsidRPr="00B022F3">
        <w:rPr>
          <w:rFonts w:cs="Arial"/>
          <w:sz w:val="22"/>
          <w:szCs w:val="22"/>
        </w:rPr>
        <w:t xml:space="preserve">. </w:t>
      </w:r>
      <w:r w:rsidRPr="00171B73">
        <w:rPr>
          <w:rFonts w:cs="Arial"/>
          <w:sz w:val="22"/>
          <w:szCs w:val="22"/>
        </w:rPr>
        <w:t xml:space="preserve">Aprobar el Plan Anual de Gestión de Riesgos Agropecuarios para el ejercicio 2017 en la suma de </w:t>
      </w:r>
      <w:r>
        <w:rPr>
          <w:rFonts w:cs="Arial"/>
          <w:sz w:val="22"/>
          <w:szCs w:val="22"/>
        </w:rPr>
        <w:t>SESENTA Y CINCO</w:t>
      </w:r>
      <w:r w:rsidRPr="00171B73">
        <w:rPr>
          <w:rFonts w:cs="Arial"/>
          <w:sz w:val="22"/>
          <w:szCs w:val="22"/>
        </w:rPr>
        <w:t xml:space="preserve"> </w:t>
      </w:r>
      <w:r>
        <w:rPr>
          <w:rFonts w:cs="Arial"/>
          <w:sz w:val="22"/>
          <w:szCs w:val="22"/>
        </w:rPr>
        <w:t>MIL MILLONES DE PESOS ($6</w:t>
      </w:r>
      <w:r w:rsidRPr="00171B73">
        <w:rPr>
          <w:rFonts w:cs="Arial"/>
          <w:sz w:val="22"/>
          <w:szCs w:val="22"/>
        </w:rPr>
        <w:t xml:space="preserve">5.000.000.000). </w:t>
      </w:r>
      <w:r w:rsidRPr="00171B73">
        <w:rPr>
          <w:rFonts w:cs="Arial"/>
          <w:bCs/>
          <w:sz w:val="22"/>
          <w:szCs w:val="22"/>
        </w:rPr>
        <w:t xml:space="preserve">Dichos recursos </w:t>
      </w:r>
      <w:r w:rsidRPr="00171B73">
        <w:rPr>
          <w:rFonts w:cs="Arial"/>
          <w:sz w:val="22"/>
          <w:szCs w:val="22"/>
        </w:rPr>
        <w:t>se distribuirán así:</w:t>
      </w:r>
    </w:p>
    <w:p w14:paraId="5B90B476" w14:textId="77777777" w:rsidR="00F94A36" w:rsidRPr="00171B73" w:rsidRDefault="00F94A36" w:rsidP="00F94A36">
      <w:pPr>
        <w:spacing w:before="0" w:after="0" w:line="0" w:lineRule="atLeast"/>
        <w:jc w:val="both"/>
        <w:rPr>
          <w:rFonts w:cs="Arial"/>
          <w:sz w:val="22"/>
          <w:szCs w:val="22"/>
        </w:rPr>
      </w:pPr>
    </w:p>
    <w:p w14:paraId="5967F77F" w14:textId="77777777" w:rsidR="00F94A36" w:rsidRPr="00171B73" w:rsidRDefault="00F94A36" w:rsidP="00F94A36">
      <w:pPr>
        <w:pStyle w:val="Prrafodelista"/>
        <w:numPr>
          <w:ilvl w:val="0"/>
          <w:numId w:val="37"/>
        </w:numPr>
        <w:spacing w:before="0" w:after="0" w:line="0" w:lineRule="atLeast"/>
        <w:jc w:val="both"/>
        <w:rPr>
          <w:rFonts w:cs="Arial"/>
          <w:sz w:val="22"/>
          <w:szCs w:val="22"/>
        </w:rPr>
      </w:pPr>
      <w:r w:rsidRPr="00171B73">
        <w:rPr>
          <w:rFonts w:cs="Arial"/>
          <w:sz w:val="22"/>
          <w:szCs w:val="22"/>
        </w:rPr>
        <w:t xml:space="preserve">Para la aplicación del subsidio a las primas hasta </w:t>
      </w:r>
      <w:r>
        <w:rPr>
          <w:rFonts w:cs="Arial"/>
          <w:sz w:val="22"/>
          <w:szCs w:val="22"/>
        </w:rPr>
        <w:t>SESENTA</w:t>
      </w:r>
      <w:r w:rsidRPr="00171B73">
        <w:rPr>
          <w:rFonts w:cs="Arial"/>
          <w:sz w:val="22"/>
          <w:szCs w:val="22"/>
        </w:rPr>
        <w:t xml:space="preserve"> Y CUATRO MI</w:t>
      </w:r>
      <w:r>
        <w:rPr>
          <w:rFonts w:cs="Arial"/>
          <w:sz w:val="22"/>
          <w:szCs w:val="22"/>
        </w:rPr>
        <w:t>L CUARENTA MILLONES DE PESOS ($6</w:t>
      </w:r>
      <w:r w:rsidRPr="00171B73">
        <w:rPr>
          <w:rFonts w:cs="Arial"/>
          <w:sz w:val="22"/>
          <w:szCs w:val="22"/>
        </w:rPr>
        <w:t>4.040.000.000).</w:t>
      </w:r>
    </w:p>
    <w:p w14:paraId="048E9ACF" w14:textId="77777777" w:rsidR="00F94A36" w:rsidRPr="00171B73" w:rsidRDefault="00F94A36" w:rsidP="00F94A36">
      <w:pPr>
        <w:spacing w:before="0" w:after="0" w:line="0" w:lineRule="atLeast"/>
        <w:jc w:val="both"/>
        <w:rPr>
          <w:rFonts w:cs="Arial"/>
          <w:sz w:val="22"/>
          <w:szCs w:val="22"/>
        </w:rPr>
      </w:pPr>
      <w:r w:rsidRPr="00171B73">
        <w:rPr>
          <w:rFonts w:cs="Arial"/>
          <w:bCs/>
          <w:sz w:val="22"/>
          <w:szCs w:val="22"/>
        </w:rPr>
        <w:t xml:space="preserve"> </w:t>
      </w:r>
    </w:p>
    <w:p w14:paraId="6DD5983D" w14:textId="77777777" w:rsidR="00F94A36" w:rsidRPr="00B022F3" w:rsidRDefault="00F94A36" w:rsidP="00F94A36">
      <w:pPr>
        <w:pStyle w:val="Prrafodelista"/>
        <w:numPr>
          <w:ilvl w:val="0"/>
          <w:numId w:val="5"/>
        </w:numPr>
        <w:spacing w:before="0" w:after="0" w:line="0" w:lineRule="atLeast"/>
        <w:jc w:val="both"/>
        <w:rPr>
          <w:rFonts w:cs="Arial"/>
          <w:color w:val="000000" w:themeColor="text1"/>
          <w:sz w:val="22"/>
          <w:szCs w:val="22"/>
        </w:rPr>
      </w:pPr>
      <w:r w:rsidRPr="00B022F3">
        <w:rPr>
          <w:rFonts w:cs="Arial"/>
          <w:bCs/>
          <w:color w:val="000000" w:themeColor="text1"/>
          <w:sz w:val="22"/>
          <w:szCs w:val="22"/>
        </w:rPr>
        <w:t xml:space="preserve">Hasta la suma de </w:t>
      </w:r>
      <w:r w:rsidRPr="00B022F3">
        <w:rPr>
          <w:rFonts w:cs="Arial"/>
          <w:color w:val="000000" w:themeColor="text1"/>
          <w:sz w:val="22"/>
          <w:szCs w:val="22"/>
        </w:rPr>
        <w:t>NOVECIENTOS SESENTA MILLONES DE PESOS ($</w:t>
      </w:r>
      <w:r w:rsidRPr="00B022F3">
        <w:rPr>
          <w:rFonts w:cs="Arial"/>
          <w:bCs/>
          <w:color w:val="000000" w:themeColor="text1"/>
          <w:sz w:val="22"/>
          <w:szCs w:val="22"/>
        </w:rPr>
        <w:t>960.000.000</w:t>
      </w:r>
      <w:r w:rsidRPr="00B022F3">
        <w:rPr>
          <w:rFonts w:cs="Arial"/>
          <w:color w:val="000000" w:themeColor="text1"/>
          <w:sz w:val="22"/>
          <w:szCs w:val="22"/>
        </w:rPr>
        <w:t>), p</w:t>
      </w:r>
      <w:r w:rsidRPr="00B022F3">
        <w:rPr>
          <w:rFonts w:cs="Arial"/>
          <w:bCs/>
          <w:color w:val="000000" w:themeColor="text1"/>
          <w:sz w:val="22"/>
          <w:szCs w:val="22"/>
        </w:rPr>
        <w:t xml:space="preserve">ara que FINAGRO </w:t>
      </w:r>
      <w:r w:rsidRPr="00B022F3">
        <w:rPr>
          <w:rFonts w:cs="Arial"/>
          <w:color w:val="000000" w:themeColor="text1"/>
          <w:sz w:val="22"/>
          <w:szCs w:val="22"/>
        </w:rPr>
        <w:t>adelante el programa de fomento a la gestión de riesgos agropecuarios, mediante el cual podrá realizar gestiones tales como: recopilar y efectuar análisis de la información de riesgos agropecuarios, contratar estudios sobre la gestión del riesgo agropecuario, así como estudios sobre instrumentos de gestión y transferencia de riesgo; y el desarrollo de actividades de capacitación, socialización, divulgación, actualización e intercambio, entre otras, que contribuyan a la generación de capacidades dentro del sector asegurador, autoridades de regulación y supervisión y demás actores involucrados.</w:t>
      </w:r>
    </w:p>
    <w:p w14:paraId="363E6056" w14:textId="77777777" w:rsidR="00F94A36" w:rsidRPr="00B022F3" w:rsidRDefault="00F94A36" w:rsidP="00F94A36">
      <w:pPr>
        <w:spacing w:before="0" w:after="0" w:line="0" w:lineRule="atLeast"/>
        <w:jc w:val="both"/>
        <w:rPr>
          <w:rFonts w:cs="Arial"/>
          <w:color w:val="000000" w:themeColor="text1"/>
          <w:sz w:val="22"/>
          <w:szCs w:val="22"/>
        </w:rPr>
      </w:pPr>
    </w:p>
    <w:p w14:paraId="1202869B" w14:textId="77777777" w:rsidR="00F94A36" w:rsidRPr="00B022F3" w:rsidRDefault="00F94A36" w:rsidP="00F94A36">
      <w:pPr>
        <w:spacing w:before="0" w:after="0" w:line="0" w:lineRule="atLeast"/>
        <w:ind w:left="708"/>
        <w:jc w:val="both"/>
        <w:rPr>
          <w:rFonts w:cs="Arial"/>
          <w:bCs/>
          <w:color w:val="000000" w:themeColor="text1"/>
          <w:sz w:val="22"/>
          <w:szCs w:val="22"/>
        </w:rPr>
      </w:pPr>
      <w:r w:rsidRPr="00B022F3">
        <w:rPr>
          <w:rFonts w:cs="Arial"/>
          <w:bCs/>
          <w:color w:val="000000" w:themeColor="text1"/>
          <w:sz w:val="22"/>
          <w:szCs w:val="22"/>
        </w:rPr>
        <w:t xml:space="preserve">En todo caso, estos valores no podrán exceder el monto de recursos disponibles en el </w:t>
      </w:r>
      <w:r w:rsidRPr="00B022F3">
        <w:rPr>
          <w:rFonts w:cs="Arial"/>
          <w:bCs/>
          <w:sz w:val="22"/>
          <w:szCs w:val="22"/>
        </w:rPr>
        <w:t xml:space="preserve">Fondo </w:t>
      </w:r>
      <w:r w:rsidRPr="00B022F3">
        <w:rPr>
          <w:rFonts w:cs="Arial"/>
          <w:color w:val="000000" w:themeColor="text1"/>
          <w:sz w:val="22"/>
          <w:szCs w:val="22"/>
          <w:lang w:eastAsia="es-CO"/>
        </w:rPr>
        <w:t>Nacional de Riesgos Agropecuarios -</w:t>
      </w:r>
      <w:r w:rsidRPr="00B022F3">
        <w:rPr>
          <w:rFonts w:cs="Arial"/>
          <w:bCs/>
          <w:color w:val="000000" w:themeColor="text1"/>
          <w:sz w:val="22"/>
          <w:szCs w:val="22"/>
        </w:rPr>
        <w:t>FNRA.</w:t>
      </w:r>
    </w:p>
    <w:p w14:paraId="05F2A71A" w14:textId="77777777" w:rsidR="00F94A36" w:rsidRPr="00B022F3" w:rsidRDefault="00F94A36" w:rsidP="00F94A36">
      <w:pPr>
        <w:spacing w:before="0" w:after="0" w:line="0" w:lineRule="atLeast"/>
        <w:ind w:left="708"/>
        <w:jc w:val="both"/>
        <w:rPr>
          <w:rFonts w:cs="Arial"/>
          <w:bCs/>
          <w:color w:val="000000" w:themeColor="text1"/>
          <w:sz w:val="22"/>
          <w:szCs w:val="22"/>
        </w:rPr>
      </w:pPr>
    </w:p>
    <w:p w14:paraId="49014C2A" w14:textId="77777777" w:rsidR="00F94A36" w:rsidRPr="00B022F3" w:rsidRDefault="00F94A36" w:rsidP="00F94A36">
      <w:pPr>
        <w:spacing w:before="0" w:after="0" w:line="0" w:lineRule="atLeast"/>
        <w:jc w:val="both"/>
        <w:rPr>
          <w:rFonts w:cs="Arial"/>
          <w:color w:val="000000" w:themeColor="text1"/>
          <w:sz w:val="22"/>
          <w:szCs w:val="22"/>
        </w:rPr>
      </w:pPr>
      <w:r w:rsidRPr="00B022F3">
        <w:rPr>
          <w:rFonts w:cs="Arial"/>
          <w:b/>
          <w:color w:val="000000" w:themeColor="text1"/>
          <w:sz w:val="22"/>
          <w:szCs w:val="22"/>
        </w:rPr>
        <w:t>Parágrafo 1</w:t>
      </w:r>
      <w:r w:rsidRPr="00B022F3">
        <w:rPr>
          <w:rFonts w:cs="Arial"/>
          <w:color w:val="000000" w:themeColor="text1"/>
          <w:sz w:val="22"/>
          <w:szCs w:val="22"/>
        </w:rPr>
        <w:t xml:space="preserve">: </w:t>
      </w:r>
      <w:r w:rsidRPr="00B022F3">
        <w:rPr>
          <w:rFonts w:cs="Arial"/>
          <w:bCs/>
          <w:color w:val="000000" w:themeColor="text1"/>
          <w:sz w:val="22"/>
          <w:szCs w:val="22"/>
        </w:rPr>
        <w:t xml:space="preserve">El </w:t>
      </w:r>
      <w:r w:rsidRPr="00B022F3">
        <w:rPr>
          <w:rFonts w:cs="Arial"/>
          <w:bCs/>
          <w:sz w:val="22"/>
          <w:szCs w:val="22"/>
        </w:rPr>
        <w:t xml:space="preserve">Fondo </w:t>
      </w:r>
      <w:r w:rsidRPr="00B022F3">
        <w:rPr>
          <w:rFonts w:cs="Arial"/>
          <w:color w:val="000000" w:themeColor="text1"/>
          <w:sz w:val="22"/>
          <w:szCs w:val="22"/>
          <w:lang w:eastAsia="es-CO"/>
        </w:rPr>
        <w:t>Nacional de Riesgos Agropecuarios -</w:t>
      </w:r>
      <w:r w:rsidRPr="00B022F3">
        <w:rPr>
          <w:rFonts w:cs="Arial"/>
          <w:bCs/>
          <w:color w:val="000000" w:themeColor="text1"/>
          <w:sz w:val="22"/>
          <w:szCs w:val="22"/>
        </w:rPr>
        <w:t xml:space="preserve">FNRA reconocerá por concepto de administración a FINAGRO </w:t>
      </w:r>
      <w:r w:rsidRPr="00B022F3">
        <w:rPr>
          <w:rFonts w:cs="Arial"/>
          <w:color w:val="000000" w:themeColor="text1"/>
          <w:sz w:val="22"/>
          <w:szCs w:val="22"/>
        </w:rPr>
        <w:t>el 1,5% sobre los recursos ejecutados del mencionado Plan.”</w:t>
      </w:r>
    </w:p>
    <w:p w14:paraId="51D3B82E" w14:textId="77777777" w:rsidR="00F94A36" w:rsidRDefault="00F94A36" w:rsidP="00F94A36">
      <w:pPr>
        <w:spacing w:before="0" w:after="0" w:line="0" w:lineRule="atLeast"/>
        <w:jc w:val="both"/>
        <w:rPr>
          <w:rFonts w:cs="Arial"/>
          <w:color w:val="000000" w:themeColor="text1"/>
          <w:sz w:val="22"/>
          <w:szCs w:val="22"/>
        </w:rPr>
      </w:pPr>
    </w:p>
    <w:p w14:paraId="424D9D25" w14:textId="77777777" w:rsidR="00F94A36" w:rsidRDefault="00F94A36" w:rsidP="00F94A36">
      <w:pPr>
        <w:spacing w:before="0" w:after="0" w:line="0" w:lineRule="atLeast"/>
        <w:jc w:val="both"/>
        <w:rPr>
          <w:rFonts w:cs="Arial"/>
          <w:sz w:val="22"/>
          <w:szCs w:val="22"/>
        </w:rPr>
      </w:pPr>
      <w:r>
        <w:rPr>
          <w:rFonts w:cs="Arial"/>
          <w:b/>
          <w:sz w:val="22"/>
          <w:szCs w:val="22"/>
        </w:rPr>
        <w:t xml:space="preserve">Artículo 2°. </w:t>
      </w:r>
      <w:r>
        <w:rPr>
          <w:rFonts w:cs="Arial"/>
          <w:sz w:val="22"/>
          <w:szCs w:val="22"/>
        </w:rPr>
        <w:t>Los demás artículos de la Resolución N° 3 de 2017 de la Comisión Nacional de Crédito Agropecuario “por la cual se aprueba el Plan Anual de Gestión de Riesgos Agropecuarios para el ejercicio 2017, y se dictan otras disposiciones”, no se modifican.</w:t>
      </w:r>
    </w:p>
    <w:p w14:paraId="36926584" w14:textId="77777777" w:rsidR="00F94A36" w:rsidRDefault="00F94A36" w:rsidP="00F94A36">
      <w:pPr>
        <w:spacing w:before="0" w:after="0" w:line="0" w:lineRule="atLeast"/>
        <w:jc w:val="both"/>
        <w:rPr>
          <w:rFonts w:cs="Arial"/>
          <w:sz w:val="22"/>
          <w:szCs w:val="22"/>
        </w:rPr>
      </w:pPr>
    </w:p>
    <w:p w14:paraId="294D40F6" w14:textId="77777777" w:rsidR="00F94A36" w:rsidRPr="0031235E" w:rsidRDefault="00F94A36" w:rsidP="00F94A36">
      <w:pPr>
        <w:spacing w:before="0" w:after="0" w:line="0" w:lineRule="atLeast"/>
        <w:jc w:val="both"/>
        <w:rPr>
          <w:rFonts w:cs="Arial"/>
          <w:color w:val="000000" w:themeColor="text1"/>
          <w:sz w:val="22"/>
          <w:szCs w:val="22"/>
        </w:rPr>
      </w:pPr>
      <w:r>
        <w:rPr>
          <w:rFonts w:cs="Arial"/>
          <w:b/>
          <w:sz w:val="22"/>
          <w:szCs w:val="22"/>
        </w:rPr>
        <w:t xml:space="preserve">Artículo 3°. </w:t>
      </w:r>
      <w:r>
        <w:rPr>
          <w:rFonts w:cs="Arial"/>
          <w:sz w:val="22"/>
          <w:szCs w:val="22"/>
        </w:rPr>
        <w:t>La presente resolución rige a partir de su publicación en el Diario Oficial y deroga las disposiciones que le sean contrarias</w:t>
      </w:r>
    </w:p>
    <w:p w14:paraId="13C1E633" w14:textId="77777777" w:rsidR="00F94A36" w:rsidRDefault="00F94A36" w:rsidP="00F94A36">
      <w:pPr>
        <w:spacing w:before="0" w:after="0" w:line="0" w:lineRule="atLeast"/>
        <w:jc w:val="both"/>
        <w:rPr>
          <w:rFonts w:cs="Arial"/>
          <w:color w:val="000000" w:themeColor="text1"/>
          <w:sz w:val="22"/>
          <w:szCs w:val="22"/>
        </w:rPr>
      </w:pPr>
    </w:p>
    <w:p w14:paraId="10A8FB49" w14:textId="77777777" w:rsidR="00F94A36" w:rsidRDefault="00F94A36" w:rsidP="00F94A36">
      <w:pPr>
        <w:spacing w:before="0" w:after="0" w:line="0" w:lineRule="atLeast"/>
        <w:jc w:val="both"/>
        <w:rPr>
          <w:rFonts w:cs="Arial"/>
          <w:color w:val="000000" w:themeColor="text1"/>
          <w:sz w:val="22"/>
          <w:szCs w:val="22"/>
        </w:rPr>
      </w:pPr>
    </w:p>
    <w:p w14:paraId="3DBCE14F" w14:textId="77777777" w:rsidR="00F94A36" w:rsidRDefault="00F94A36" w:rsidP="00F94A36">
      <w:pPr>
        <w:autoSpaceDE w:val="0"/>
        <w:autoSpaceDN w:val="0"/>
        <w:adjustRightInd w:val="0"/>
        <w:spacing w:line="0" w:lineRule="atLeast"/>
        <w:jc w:val="both"/>
        <w:rPr>
          <w:rFonts w:cs="Arial"/>
          <w:sz w:val="22"/>
          <w:szCs w:val="22"/>
        </w:rPr>
      </w:pPr>
      <w:r>
        <w:rPr>
          <w:rFonts w:cs="Arial"/>
          <w:sz w:val="22"/>
          <w:szCs w:val="22"/>
        </w:rPr>
        <w:t xml:space="preserve">Dada en Bogotá D.C., a los </w:t>
      </w:r>
    </w:p>
    <w:p w14:paraId="121C599C" w14:textId="77777777" w:rsidR="00F94A36" w:rsidRDefault="00F94A36" w:rsidP="00F94A36">
      <w:pPr>
        <w:widowControl w:val="0"/>
        <w:autoSpaceDE w:val="0"/>
        <w:autoSpaceDN w:val="0"/>
        <w:adjustRightInd w:val="0"/>
        <w:spacing w:before="0" w:after="0" w:line="0" w:lineRule="atLeast"/>
        <w:jc w:val="both"/>
        <w:rPr>
          <w:rFonts w:cs="Arial"/>
          <w:sz w:val="22"/>
          <w:szCs w:val="22"/>
        </w:rPr>
      </w:pPr>
    </w:p>
    <w:p w14:paraId="64A67B34" w14:textId="77777777" w:rsidR="00F94A36" w:rsidRDefault="00F94A36" w:rsidP="00F94A36">
      <w:pPr>
        <w:widowControl w:val="0"/>
        <w:autoSpaceDE w:val="0"/>
        <w:autoSpaceDN w:val="0"/>
        <w:adjustRightInd w:val="0"/>
        <w:spacing w:before="0" w:after="0" w:line="0" w:lineRule="atLeast"/>
        <w:jc w:val="both"/>
        <w:rPr>
          <w:rFonts w:cs="Arial"/>
          <w:sz w:val="22"/>
          <w:szCs w:val="22"/>
        </w:rPr>
      </w:pPr>
    </w:p>
    <w:p w14:paraId="61D1694F" w14:textId="77777777" w:rsidR="00F94A36" w:rsidRDefault="00F94A36" w:rsidP="00F94A36">
      <w:pPr>
        <w:widowControl w:val="0"/>
        <w:autoSpaceDE w:val="0"/>
        <w:autoSpaceDN w:val="0"/>
        <w:adjustRightInd w:val="0"/>
        <w:spacing w:before="0" w:after="0" w:line="0" w:lineRule="atLeast"/>
        <w:jc w:val="both"/>
        <w:rPr>
          <w:rFonts w:cs="Arial"/>
          <w:sz w:val="22"/>
          <w:szCs w:val="22"/>
        </w:rPr>
      </w:pPr>
    </w:p>
    <w:p w14:paraId="39C1D95C" w14:textId="77777777" w:rsidR="00F94A36" w:rsidRDefault="00F94A36" w:rsidP="00F94A36">
      <w:pPr>
        <w:spacing w:before="0" w:after="0" w:line="0" w:lineRule="atLeast"/>
        <w:jc w:val="both"/>
        <w:rPr>
          <w:rFonts w:cs="Arial"/>
          <w:bCs/>
          <w:sz w:val="22"/>
          <w:szCs w:val="22"/>
        </w:rPr>
      </w:pPr>
    </w:p>
    <w:p w14:paraId="5CBC7A35" w14:textId="77777777" w:rsidR="00F94A36" w:rsidRDefault="00F94A36" w:rsidP="00F94A36">
      <w:pPr>
        <w:spacing w:before="0" w:after="0" w:line="0" w:lineRule="atLeast"/>
        <w:jc w:val="both"/>
        <w:rPr>
          <w:rFonts w:cs="Arial"/>
          <w:bCs/>
          <w:sz w:val="22"/>
          <w:szCs w:val="22"/>
        </w:rPr>
      </w:pPr>
      <w:r>
        <w:rPr>
          <w:rFonts w:cs="Arial"/>
          <w:b/>
          <w:bCs/>
          <w:sz w:val="22"/>
          <w:szCs w:val="22"/>
        </w:rPr>
        <w:t>AURELIO IRAGORRI VALENCIA</w:t>
      </w:r>
      <w:r>
        <w:rPr>
          <w:rFonts w:cs="Arial"/>
          <w:b/>
          <w:bCs/>
          <w:sz w:val="22"/>
          <w:szCs w:val="22"/>
        </w:rPr>
        <w:tab/>
      </w:r>
      <w:r>
        <w:rPr>
          <w:rFonts w:cs="Arial"/>
          <w:bCs/>
          <w:sz w:val="22"/>
          <w:szCs w:val="22"/>
        </w:rPr>
        <w:tab/>
      </w:r>
      <w:r>
        <w:rPr>
          <w:rFonts w:cs="Arial"/>
          <w:b/>
          <w:bCs/>
          <w:sz w:val="22"/>
          <w:szCs w:val="22"/>
        </w:rPr>
        <w:tab/>
        <w:t>JESÚS ANTONIO VARGAS OROZCO</w:t>
      </w:r>
    </w:p>
    <w:p w14:paraId="45A930A6" w14:textId="77777777" w:rsidR="00F94A36" w:rsidRDefault="00F94A36" w:rsidP="00F94A36">
      <w:pPr>
        <w:spacing w:before="0" w:after="0" w:line="0" w:lineRule="atLeast"/>
        <w:jc w:val="both"/>
        <w:rPr>
          <w:rFonts w:cs="Arial"/>
          <w:bCs/>
          <w:sz w:val="22"/>
          <w:szCs w:val="22"/>
        </w:rPr>
      </w:pPr>
      <w:r>
        <w:rPr>
          <w:rFonts w:cs="Arial"/>
          <w:bCs/>
          <w:sz w:val="22"/>
          <w:szCs w:val="22"/>
        </w:rPr>
        <w:t>Presidente</w:t>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t>Secretario</w:t>
      </w:r>
    </w:p>
    <w:p w14:paraId="6FE5A2AA" w14:textId="77777777" w:rsidR="00627A76" w:rsidRDefault="00627A76">
      <w:pPr>
        <w:spacing w:before="0" w:after="0" w:line="0" w:lineRule="atLeast"/>
        <w:jc w:val="both"/>
        <w:rPr>
          <w:rFonts w:cs="Arial"/>
          <w:bCs/>
          <w:sz w:val="22"/>
          <w:szCs w:val="22"/>
        </w:rPr>
      </w:pPr>
    </w:p>
    <w:p w14:paraId="579E4174" w14:textId="77777777" w:rsidR="00627A76" w:rsidRDefault="00627A76">
      <w:pPr>
        <w:spacing w:before="0" w:after="0" w:line="0" w:lineRule="atLeast"/>
        <w:jc w:val="both"/>
        <w:rPr>
          <w:rFonts w:cs="Arial"/>
          <w:bCs/>
          <w:sz w:val="22"/>
          <w:szCs w:val="22"/>
        </w:rPr>
      </w:pPr>
    </w:p>
    <w:p w14:paraId="6D41D5FB" w14:textId="77777777" w:rsidR="00627A76" w:rsidRDefault="00627A76" w:rsidP="009D4EC2">
      <w:pPr>
        <w:pStyle w:val="Ttulo2"/>
      </w:pPr>
    </w:p>
    <w:p w14:paraId="11BAEC08" w14:textId="77777777" w:rsidR="00627A76" w:rsidRDefault="00627A76">
      <w:pPr>
        <w:rPr>
          <w:rFonts w:cs="Arial"/>
        </w:rPr>
      </w:pPr>
    </w:p>
    <w:p w14:paraId="4AFDAD79" w14:textId="77777777" w:rsidR="00627A76" w:rsidRDefault="00627A76">
      <w:pPr>
        <w:rPr>
          <w:rFonts w:cs="Arial"/>
        </w:rPr>
      </w:pPr>
    </w:p>
    <w:p w14:paraId="00F4C823" w14:textId="77777777" w:rsidR="00627A76" w:rsidRDefault="00627A76">
      <w:pPr>
        <w:rPr>
          <w:rFonts w:cs="Arial"/>
        </w:rPr>
      </w:pPr>
    </w:p>
    <w:p w14:paraId="49AE9DA3" w14:textId="77777777" w:rsidR="00627A76" w:rsidRDefault="00627A76">
      <w:pPr>
        <w:rPr>
          <w:rFonts w:cs="Arial"/>
        </w:rPr>
      </w:pPr>
    </w:p>
    <w:p w14:paraId="4AE25586" w14:textId="77777777" w:rsidR="00627A76" w:rsidRDefault="00627A76">
      <w:pPr>
        <w:rPr>
          <w:rFonts w:cs="Arial"/>
        </w:rPr>
      </w:pPr>
    </w:p>
    <w:p w14:paraId="67F7DCC7" w14:textId="77777777" w:rsidR="00627A76" w:rsidRDefault="00627A76">
      <w:pPr>
        <w:rPr>
          <w:rFonts w:cs="Arial"/>
        </w:rPr>
      </w:pPr>
    </w:p>
    <w:p w14:paraId="2ADDBC19" w14:textId="77777777" w:rsidR="00627A76" w:rsidRDefault="00627A76">
      <w:pPr>
        <w:rPr>
          <w:rFonts w:cs="Arial"/>
        </w:rPr>
      </w:pPr>
    </w:p>
    <w:p w14:paraId="1785E3F3" w14:textId="77777777" w:rsidR="00627A76" w:rsidRDefault="00627A76">
      <w:pPr>
        <w:rPr>
          <w:rFonts w:cs="Arial"/>
        </w:rPr>
      </w:pPr>
    </w:p>
    <w:p w14:paraId="0686A517" w14:textId="77777777" w:rsidR="00627A76" w:rsidRDefault="00627A76">
      <w:pPr>
        <w:rPr>
          <w:rFonts w:cs="Arial"/>
        </w:rPr>
      </w:pPr>
    </w:p>
    <w:p w14:paraId="76782597" w14:textId="77777777" w:rsidR="00627A76" w:rsidRDefault="00627A76">
      <w:pPr>
        <w:rPr>
          <w:rFonts w:cs="Arial"/>
        </w:rPr>
      </w:pPr>
    </w:p>
    <w:p w14:paraId="7A470192" w14:textId="77777777" w:rsidR="00627A76" w:rsidRDefault="00627A76">
      <w:pPr>
        <w:rPr>
          <w:rFonts w:cs="Arial"/>
        </w:rPr>
      </w:pPr>
    </w:p>
    <w:p w14:paraId="111437A7" w14:textId="77777777" w:rsidR="00627A76" w:rsidRDefault="00627A76">
      <w:pPr>
        <w:rPr>
          <w:rFonts w:cs="Arial"/>
        </w:rPr>
      </w:pPr>
    </w:p>
    <w:p w14:paraId="4FA7ADA6" w14:textId="77777777" w:rsidR="00627A76" w:rsidRDefault="00627A76">
      <w:pPr>
        <w:rPr>
          <w:rFonts w:cs="Arial"/>
        </w:rPr>
      </w:pPr>
    </w:p>
    <w:p w14:paraId="6EBDAB0B" w14:textId="77777777" w:rsidR="00627A76" w:rsidRDefault="00627A76">
      <w:pPr>
        <w:rPr>
          <w:rFonts w:cs="Arial"/>
        </w:rPr>
      </w:pPr>
    </w:p>
    <w:p w14:paraId="7D57BADB" w14:textId="77777777" w:rsidR="00627A76" w:rsidRDefault="00627A76" w:rsidP="00040063">
      <w:pPr>
        <w:rPr>
          <w:rFonts w:cs="Arial"/>
        </w:rPr>
      </w:pPr>
    </w:p>
    <w:p w14:paraId="29A8591F" w14:textId="77777777" w:rsidR="00627A76" w:rsidRDefault="00627A76" w:rsidP="00040063">
      <w:pPr>
        <w:rPr>
          <w:rFonts w:cs="Arial"/>
        </w:rPr>
      </w:pPr>
    </w:p>
    <w:p w14:paraId="4E73B5EE" w14:textId="711BF012" w:rsidR="003F5AEA" w:rsidRDefault="003F5AEA" w:rsidP="003F5AEA">
      <w:pPr>
        <w:jc w:val="center"/>
        <w:rPr>
          <w:rFonts w:cs="Arial"/>
          <w:b/>
        </w:rPr>
      </w:pPr>
      <w:r w:rsidRPr="008E5F61">
        <w:rPr>
          <w:rFonts w:cs="Arial"/>
          <w:b/>
        </w:rPr>
        <w:t>Justificación técnica del proyecto de resolución por el cual se modifica el artículo 1° de la Resolución N° 3 de 2017</w:t>
      </w:r>
    </w:p>
    <w:p w14:paraId="57D5D434" w14:textId="77777777" w:rsidR="0050396E" w:rsidRPr="008E5F61" w:rsidRDefault="0050396E" w:rsidP="003F5AEA">
      <w:pPr>
        <w:jc w:val="center"/>
        <w:rPr>
          <w:rFonts w:cs="Arial"/>
          <w:b/>
        </w:rPr>
      </w:pPr>
    </w:p>
    <w:p w14:paraId="4817400E" w14:textId="77777777" w:rsidR="003F5AEA" w:rsidRPr="008E5F61" w:rsidRDefault="003F5AEA" w:rsidP="003F5AEA">
      <w:pPr>
        <w:pStyle w:val="Prrafodelista"/>
        <w:numPr>
          <w:ilvl w:val="0"/>
          <w:numId w:val="40"/>
        </w:numPr>
        <w:spacing w:before="0" w:after="160" w:line="259" w:lineRule="auto"/>
        <w:contextualSpacing/>
        <w:jc w:val="both"/>
        <w:rPr>
          <w:rFonts w:cs="Arial"/>
          <w:b/>
        </w:rPr>
      </w:pPr>
      <w:r w:rsidRPr="008E5F61">
        <w:rPr>
          <w:rFonts w:cs="Arial"/>
          <w:b/>
        </w:rPr>
        <w:t>Objetivo</w:t>
      </w:r>
    </w:p>
    <w:p w14:paraId="3F0135B3" w14:textId="77777777" w:rsidR="003F5AEA" w:rsidRPr="008A5E2E" w:rsidRDefault="003F5AEA" w:rsidP="003F5AEA">
      <w:pPr>
        <w:jc w:val="both"/>
        <w:rPr>
          <w:rFonts w:cs="Arial"/>
        </w:rPr>
      </w:pPr>
      <w:r>
        <w:rPr>
          <w:rFonts w:cs="Arial"/>
        </w:rPr>
        <w:t>Incrementar el presupuesto del Plan Anual de Gestión de Riesgos en el componente correspondiente a subsidios a la prima del seguro agropecuario.</w:t>
      </w:r>
    </w:p>
    <w:p w14:paraId="2C75DAFC" w14:textId="77777777" w:rsidR="003F5AEA" w:rsidRPr="008E5F61" w:rsidRDefault="003F5AEA" w:rsidP="003F5AEA">
      <w:pPr>
        <w:pStyle w:val="Prrafodelista"/>
        <w:numPr>
          <w:ilvl w:val="0"/>
          <w:numId w:val="40"/>
        </w:numPr>
        <w:spacing w:before="0" w:after="160" w:line="259" w:lineRule="auto"/>
        <w:contextualSpacing/>
        <w:jc w:val="both"/>
        <w:rPr>
          <w:rFonts w:cs="Arial"/>
          <w:b/>
        </w:rPr>
      </w:pPr>
      <w:r w:rsidRPr="008E5F61">
        <w:rPr>
          <w:rFonts w:cs="Arial"/>
          <w:b/>
        </w:rPr>
        <w:t>Antecedentes</w:t>
      </w:r>
    </w:p>
    <w:p w14:paraId="405ECFE9" w14:textId="77777777" w:rsidR="003F5AEA" w:rsidRPr="008E5F61" w:rsidRDefault="003F5AEA" w:rsidP="003F5AEA">
      <w:pPr>
        <w:jc w:val="both"/>
        <w:rPr>
          <w:rFonts w:cs="Arial"/>
        </w:rPr>
      </w:pPr>
      <w:r w:rsidRPr="008E5F61">
        <w:rPr>
          <w:rFonts w:cs="Arial"/>
        </w:rPr>
        <w:t>La Comisión Nacional de Crédito Agropecuario (CNCA) es el órgano rector de la política de gestión de riesgos del sector agropecuario. De acuerdo con el numeral segundo del Artículo 218 del Estatuto Orgánico del Sistema Financiero (EOSF), la CNCA es el organismo rector del financiamiento y del manejo de riesgos del sector agropecuario, motivo por el cual dentro de sus funciones se encuentra el establecer los lineamientos de política de manejo de riesgos agropecuarios, determinar las condiciones generales de asegurabilidad de los proyectos agropecuarios, las condiciones en las cuales se aplican los apoyos e incentivos del Estado, y el destino de los recursos del Fondo Nacional de Riesgos Agropecuarios (FNRA).</w:t>
      </w:r>
    </w:p>
    <w:p w14:paraId="105AF9BC" w14:textId="77777777" w:rsidR="003F5AEA" w:rsidRPr="008E5F61" w:rsidRDefault="003F5AEA" w:rsidP="003F5AEA">
      <w:pPr>
        <w:jc w:val="both"/>
        <w:rPr>
          <w:rFonts w:cs="Arial"/>
        </w:rPr>
      </w:pPr>
      <w:r w:rsidRPr="008E5F61">
        <w:rPr>
          <w:rFonts w:cs="Arial"/>
        </w:rPr>
        <w:t>El FNRA se crea por medio del Artículo 6 de la Ley 69 de 1993 como un Fondo-Cuenta administrado por el Fondo para el Financiamiento del Sector Agropecuario (FINAGRO), sin personería jurídica ni planta de personal. La principal fuente de recursos del Fondo son los aportes del Presupuesto Nacional, los cuales se deben realizar a título de capitalización de acuerdo con el Artículo 86 de la Ley 101 de 1993. El FNRA ha sido el mecanismo que viabiliza el cumplimiento del Artículo 84 de la Ley 101 de 1993, el cual consagra el incentivo a las primas del seguro agropecuario por parte del Gobierno Nacional y adicionalmente cofinancia los costos para el fortalecimiento técnico del seguro agropecuario y la obtención de información que no sea pública de acuerdo con el Artículo 5 de la Ley 1731 de 2014.</w:t>
      </w:r>
    </w:p>
    <w:p w14:paraId="0D2B5DD8" w14:textId="77777777" w:rsidR="003F5AEA" w:rsidRPr="008E5F61" w:rsidRDefault="003F5AEA" w:rsidP="003F5AEA">
      <w:pPr>
        <w:jc w:val="both"/>
        <w:rPr>
          <w:rFonts w:cs="Arial"/>
        </w:rPr>
      </w:pPr>
      <w:r w:rsidRPr="008E5F61">
        <w:rPr>
          <w:rFonts w:cs="Arial"/>
        </w:rPr>
        <w:t xml:space="preserve">En el marco de las facultades anteriores, la CNCA expidió la Resolución 3 de 2017 con la que aprobó el Plan Anual de Gestión de Riesgos Agropecuarios para el ejercicio 2017, en el cual se estableció su presupuesto, los porcentajes y las actividades que son sujeto al incentivo a la prima, entre otros aspectos. Sin embargo, debido a las restricciones presupuestales que afronta el Gobierno Nacional, al momento de la elaboración del Plan, los recursos disponibles para el mismo fueron cinco mil millones de pesos, siendo estos insuficientes para saciar las necesidades del mercado, con lo cual se dificultaba el lograr las 201.149 hectáreas con seguro agropecuario al 2018, meta trazada en el Plan Nacional de Desarrollo 2014-2018 </w:t>
      </w:r>
      <w:r w:rsidRPr="008E5F61">
        <w:rPr>
          <w:rFonts w:cs="Arial"/>
          <w:i/>
        </w:rPr>
        <w:t>“Todos por un nuevo país: paz, equidad, educación”.</w:t>
      </w:r>
      <w:r w:rsidRPr="008E5F61">
        <w:rPr>
          <w:rFonts w:cs="Arial"/>
        </w:rPr>
        <w:t xml:space="preserve"> Dada la relevancia del seguro agropecuario, el Gobierno Nacional ha destinado un recurso adicional para este fin, motivo por el cual se hace necesario modificar el presupuesto del Plan Anual de Gestión de Riesgos del presente año.</w:t>
      </w:r>
      <w:r w:rsidRPr="008E5F61">
        <w:rPr>
          <w:rFonts w:cs="Arial"/>
          <w:i/>
        </w:rPr>
        <w:t xml:space="preserve"> </w:t>
      </w:r>
    </w:p>
    <w:p w14:paraId="53BBD1F4" w14:textId="77777777" w:rsidR="003F5AEA" w:rsidRPr="008E5F61" w:rsidRDefault="003F5AEA" w:rsidP="003F5AEA">
      <w:pPr>
        <w:pStyle w:val="Prrafodelista"/>
        <w:numPr>
          <w:ilvl w:val="0"/>
          <w:numId w:val="40"/>
        </w:numPr>
        <w:spacing w:before="0" w:after="160" w:line="259" w:lineRule="auto"/>
        <w:contextualSpacing/>
        <w:jc w:val="both"/>
        <w:rPr>
          <w:rFonts w:cs="Arial"/>
          <w:b/>
        </w:rPr>
      </w:pPr>
      <w:r w:rsidRPr="008E5F61">
        <w:rPr>
          <w:rFonts w:cs="Arial"/>
          <w:b/>
        </w:rPr>
        <w:lastRenderedPageBreak/>
        <w:t>Justificación</w:t>
      </w:r>
    </w:p>
    <w:p w14:paraId="6772571A" w14:textId="77777777" w:rsidR="003F5AEA" w:rsidRPr="008E5F61" w:rsidRDefault="003F5AEA" w:rsidP="003F5AEA">
      <w:pPr>
        <w:jc w:val="both"/>
        <w:rPr>
          <w:rFonts w:cs="Arial"/>
        </w:rPr>
      </w:pPr>
      <w:r w:rsidRPr="008E5F61">
        <w:rPr>
          <w:rFonts w:cs="Arial"/>
        </w:rPr>
        <w:t>Las actividades agropecuarias están sujetas a choques de diversas índoles. Como destaca la Misión para la Transformación del Campo, de todos los sectores económicos del país, el sector agropecuario es uno de los más vulnerables, en gran medida por los múltiples riesgos a los cuales está expuesta la actividad productiva, dentro de los cuales se destacan los choques por cambios en las condiciones climáticas, la aparición de enfermedades y plagas que puedan afectar los cultivos, volatilidad en las divisas, en los precios de los insumos o en los precios de venta. Adicionalmente, la actividad productiva se concentra principalmente en productores de escasos recursos, por lo cual este tipo de riesgos también compromete el acceso a instrumentos que pueden favorecer su desarrollo, como son los financieros.</w:t>
      </w:r>
    </w:p>
    <w:p w14:paraId="28847C01" w14:textId="1DDFA42D" w:rsidR="003F5AEA" w:rsidRPr="008E5F61" w:rsidRDefault="003F5AEA" w:rsidP="003F5AEA">
      <w:pPr>
        <w:jc w:val="both"/>
        <w:rPr>
          <w:rFonts w:cs="Arial"/>
        </w:rPr>
      </w:pPr>
      <w:r w:rsidRPr="008E5F61">
        <w:rPr>
          <w:rFonts w:cs="Arial"/>
        </w:rPr>
        <w:t>Los choques climáticos cada vez tienen una mayor frecuencia y un nivel más fuerte. De acuerdo con el Índice Oceánico del Niño</w:t>
      </w:r>
      <w:r w:rsidRPr="008E5F61">
        <w:rPr>
          <w:rFonts w:cs="Arial"/>
          <w:i/>
        </w:rPr>
        <w:t xml:space="preserve"> </w:t>
      </w:r>
      <w:r w:rsidRPr="008E5F61">
        <w:rPr>
          <w:rFonts w:cs="Arial"/>
        </w:rPr>
        <w:t xml:space="preserve">de la Administración Nacional Oceánica y Atmosférica (NOAA por su sigla en inglés), en la presente década </w:t>
      </w:r>
      <w:r>
        <w:rPr>
          <w:rFonts w:cs="Arial"/>
        </w:rPr>
        <w:t>durante</w:t>
      </w:r>
      <w:r w:rsidRPr="008E5F61">
        <w:rPr>
          <w:rFonts w:cs="Arial"/>
        </w:rPr>
        <w:t xml:space="preserve"> el 51% de los meses se h</w:t>
      </w:r>
      <w:r w:rsidR="002813A1">
        <w:rPr>
          <w:rFonts w:cs="Arial"/>
        </w:rPr>
        <w:t>a presentado o un Fenómeno de La</w:t>
      </w:r>
      <w:r w:rsidRPr="008E5F61">
        <w:rPr>
          <w:rFonts w:cs="Arial"/>
        </w:rPr>
        <w:t xml:space="preserve"> Niña o uno de</w:t>
      </w:r>
      <w:r w:rsidR="002813A1">
        <w:rPr>
          <w:rFonts w:cs="Arial"/>
        </w:rPr>
        <w:t xml:space="preserve"> E</w:t>
      </w:r>
      <w:r w:rsidRPr="008E5F61">
        <w:rPr>
          <w:rFonts w:cs="Arial"/>
        </w:rPr>
        <w:t>l Niño (</w:t>
      </w:r>
      <w:r w:rsidRPr="008E5F61">
        <w:rPr>
          <w:rFonts w:cs="Arial"/>
        </w:rPr>
        <w:fldChar w:fldCharType="begin"/>
      </w:r>
      <w:r w:rsidRPr="008E5F61">
        <w:rPr>
          <w:rFonts w:cs="Arial"/>
        </w:rPr>
        <w:instrText xml:space="preserve"> REF _Ref486581195 \h  \* MERGEFORMAT </w:instrText>
      </w:r>
      <w:r w:rsidRPr="008E5F61">
        <w:rPr>
          <w:rFonts w:cs="Arial"/>
        </w:rPr>
      </w:r>
      <w:r w:rsidRPr="008E5F61">
        <w:rPr>
          <w:rFonts w:cs="Arial"/>
        </w:rPr>
        <w:fldChar w:fldCharType="separate"/>
      </w:r>
      <w:r w:rsidR="00D93C1E" w:rsidRPr="00D93C1E">
        <w:rPr>
          <w:rFonts w:cs="Arial"/>
        </w:rPr>
        <w:t xml:space="preserve">Ilustración </w:t>
      </w:r>
      <w:r w:rsidR="00D93C1E" w:rsidRPr="00D93C1E">
        <w:rPr>
          <w:rFonts w:cs="Arial"/>
          <w:noProof/>
        </w:rPr>
        <w:t>1</w:t>
      </w:r>
      <w:r w:rsidRPr="008E5F61">
        <w:rPr>
          <w:rFonts w:cs="Arial"/>
        </w:rPr>
        <w:fldChar w:fldCharType="end"/>
      </w:r>
      <w:r w:rsidRPr="008E5F61">
        <w:rPr>
          <w:rFonts w:cs="Arial"/>
        </w:rPr>
        <w:t>), siendo estos choques no solo cada vez más prolongados, sino que la magnitud de los mismos han sido las más elevadas que se han registrado en el milenio. Adicionalmente, al revisar cual ha sido la dinámica de las precipitaciones en el país en los primeros meses del año frente a su comportamiento histórico, se evidencia el cambio en los ciclos climatológicos, ya que estas aumentaron drásticamente tanto en enero como en marzo de 2017, pero disminuyeron considerablemente en febrero (</w:t>
      </w:r>
      <w:r w:rsidRPr="008E5F61">
        <w:rPr>
          <w:rFonts w:cs="Arial"/>
        </w:rPr>
        <w:fldChar w:fldCharType="begin"/>
      </w:r>
      <w:r w:rsidRPr="008E5F61">
        <w:rPr>
          <w:rFonts w:cs="Arial"/>
        </w:rPr>
        <w:instrText xml:space="preserve"> REF _Ref486582146 \h  \* MERGEFORMAT </w:instrText>
      </w:r>
      <w:r w:rsidRPr="008E5F61">
        <w:rPr>
          <w:rFonts w:cs="Arial"/>
        </w:rPr>
      </w:r>
      <w:r w:rsidRPr="008E5F61">
        <w:rPr>
          <w:rFonts w:cs="Arial"/>
        </w:rPr>
        <w:fldChar w:fldCharType="separate"/>
      </w:r>
      <w:r w:rsidR="00D93C1E" w:rsidRPr="00D93C1E">
        <w:rPr>
          <w:rFonts w:cs="Arial"/>
        </w:rPr>
        <w:t xml:space="preserve">Ilustración </w:t>
      </w:r>
      <w:r w:rsidR="00D93C1E" w:rsidRPr="00D93C1E">
        <w:rPr>
          <w:rFonts w:cs="Arial"/>
          <w:noProof/>
        </w:rPr>
        <w:t>2</w:t>
      </w:r>
      <w:r w:rsidRPr="008E5F61">
        <w:rPr>
          <w:rFonts w:cs="Arial"/>
        </w:rPr>
        <w:fldChar w:fldCharType="end"/>
      </w:r>
      <w:r w:rsidRPr="008E5F61">
        <w:rPr>
          <w:rFonts w:cs="Arial"/>
        </w:rPr>
        <w:t>). Con esto no solo se altera el calendario de siembras, sino que puede afectar temas de infraestructura e intercomunicación a nivel regional, afectando especialmente a la población más vulnerable.</w:t>
      </w:r>
    </w:p>
    <w:p w14:paraId="7D95F9FE" w14:textId="2E143C76" w:rsidR="003F5AEA" w:rsidRPr="008E5F61" w:rsidRDefault="003F5AEA" w:rsidP="003F5AEA">
      <w:pPr>
        <w:pStyle w:val="Descripcin"/>
        <w:keepNext/>
        <w:rPr>
          <w:rFonts w:ascii="Arial" w:hAnsi="Arial"/>
          <w:sz w:val="22"/>
          <w:szCs w:val="22"/>
        </w:rPr>
      </w:pPr>
      <w:bookmarkStart w:id="1" w:name="_Ref486581195"/>
      <w:r w:rsidRPr="008E5F61">
        <w:rPr>
          <w:rFonts w:ascii="Arial" w:hAnsi="Arial"/>
          <w:sz w:val="22"/>
          <w:szCs w:val="22"/>
        </w:rPr>
        <w:t xml:space="preserve">Ilustración </w:t>
      </w:r>
      <w:r w:rsidRPr="008E5F61">
        <w:rPr>
          <w:rFonts w:ascii="Arial" w:hAnsi="Arial"/>
          <w:sz w:val="22"/>
          <w:szCs w:val="22"/>
        </w:rPr>
        <w:fldChar w:fldCharType="begin"/>
      </w:r>
      <w:r w:rsidRPr="008E5F61">
        <w:rPr>
          <w:rFonts w:ascii="Arial" w:hAnsi="Arial"/>
          <w:sz w:val="22"/>
          <w:szCs w:val="22"/>
        </w:rPr>
        <w:instrText xml:space="preserve"> SEQ Ilustración \* ARABIC </w:instrText>
      </w:r>
      <w:r w:rsidRPr="008E5F61">
        <w:rPr>
          <w:rFonts w:ascii="Arial" w:hAnsi="Arial"/>
          <w:sz w:val="22"/>
          <w:szCs w:val="22"/>
        </w:rPr>
        <w:fldChar w:fldCharType="separate"/>
      </w:r>
      <w:r w:rsidR="00D93C1E">
        <w:rPr>
          <w:rFonts w:ascii="Arial" w:hAnsi="Arial"/>
          <w:noProof/>
          <w:sz w:val="22"/>
          <w:szCs w:val="22"/>
        </w:rPr>
        <w:t>1</w:t>
      </w:r>
      <w:r w:rsidRPr="008E5F61">
        <w:rPr>
          <w:rFonts w:ascii="Arial" w:hAnsi="Arial"/>
          <w:sz w:val="22"/>
          <w:szCs w:val="22"/>
        </w:rPr>
        <w:fldChar w:fldCharType="end"/>
      </w:r>
      <w:bookmarkEnd w:id="1"/>
      <w:r w:rsidRPr="008E5F61">
        <w:rPr>
          <w:rFonts w:ascii="Arial" w:hAnsi="Arial"/>
          <w:sz w:val="22"/>
          <w:szCs w:val="22"/>
        </w:rPr>
        <w:t>. Presencia de Fenómenos de</w:t>
      </w:r>
      <w:r w:rsidR="002813A1">
        <w:rPr>
          <w:rFonts w:ascii="Arial" w:hAnsi="Arial"/>
          <w:sz w:val="22"/>
          <w:szCs w:val="22"/>
        </w:rPr>
        <w:t xml:space="preserve"> El Niño y L</w:t>
      </w:r>
      <w:r w:rsidRPr="008E5F61">
        <w:rPr>
          <w:rFonts w:ascii="Arial" w:hAnsi="Arial"/>
          <w:sz w:val="22"/>
          <w:szCs w:val="22"/>
        </w:rPr>
        <w:t>a Niña, 2010-2017</w:t>
      </w:r>
    </w:p>
    <w:p w14:paraId="7DA477FC" w14:textId="77777777" w:rsidR="003F5AEA" w:rsidRPr="008E5F61" w:rsidRDefault="003F5AEA" w:rsidP="003F5AEA">
      <w:pPr>
        <w:jc w:val="center"/>
        <w:rPr>
          <w:rFonts w:cs="Arial"/>
        </w:rPr>
      </w:pPr>
      <w:r w:rsidRPr="008E5F61">
        <w:rPr>
          <w:rFonts w:cs="Arial"/>
          <w:noProof/>
          <w:lang w:eastAsia="es-CO"/>
        </w:rPr>
        <w:drawing>
          <wp:inline distT="0" distB="0" distL="0" distR="0" wp14:anchorId="1BE124D3" wp14:editId="274E6C0D">
            <wp:extent cx="4572000" cy="2743200"/>
            <wp:effectExtent l="0" t="0" r="0" b="0"/>
            <wp:docPr id="1" name="Gráfico 1">
              <a:extLst xmlns:a="http://schemas.openxmlformats.org/drawingml/2006/main">
                <a:ext uri="{FF2B5EF4-FFF2-40B4-BE49-F238E27FC236}">
                  <a16:creationId xmlns:a16="http://schemas.microsoft.com/office/drawing/2014/main" id="{9AC6278F-F39C-4709-B102-39B5038E93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99C0259" w14:textId="77777777" w:rsidR="003F5AEA" w:rsidRPr="008E5F61" w:rsidRDefault="003F5AEA" w:rsidP="003F5AEA">
      <w:pPr>
        <w:jc w:val="center"/>
        <w:rPr>
          <w:rFonts w:cs="Arial"/>
        </w:rPr>
      </w:pPr>
      <w:r w:rsidRPr="008E5F61">
        <w:rPr>
          <w:rFonts w:cs="Arial"/>
        </w:rPr>
        <w:t>Fuente: NOAA</w:t>
      </w:r>
    </w:p>
    <w:p w14:paraId="6112D74A" w14:textId="4A3647BA" w:rsidR="003F5AEA" w:rsidRPr="008E5F61" w:rsidRDefault="003F5AEA" w:rsidP="003F5AEA">
      <w:pPr>
        <w:pStyle w:val="Descripcin"/>
        <w:keepNext/>
        <w:rPr>
          <w:rFonts w:ascii="Arial" w:hAnsi="Arial"/>
          <w:sz w:val="22"/>
          <w:szCs w:val="22"/>
        </w:rPr>
      </w:pPr>
      <w:bookmarkStart w:id="2" w:name="_Ref486582146"/>
      <w:r w:rsidRPr="008E5F61">
        <w:rPr>
          <w:rFonts w:ascii="Arial" w:hAnsi="Arial"/>
          <w:sz w:val="22"/>
          <w:szCs w:val="22"/>
        </w:rPr>
        <w:lastRenderedPageBreak/>
        <w:t xml:space="preserve">Ilustración </w:t>
      </w:r>
      <w:r w:rsidRPr="008E5F61">
        <w:rPr>
          <w:rFonts w:ascii="Arial" w:hAnsi="Arial"/>
          <w:sz w:val="22"/>
          <w:szCs w:val="22"/>
        </w:rPr>
        <w:fldChar w:fldCharType="begin"/>
      </w:r>
      <w:r w:rsidRPr="008E5F61">
        <w:rPr>
          <w:rFonts w:ascii="Arial" w:hAnsi="Arial"/>
          <w:sz w:val="22"/>
          <w:szCs w:val="22"/>
        </w:rPr>
        <w:instrText xml:space="preserve"> SEQ Ilustración \* ARABIC </w:instrText>
      </w:r>
      <w:r w:rsidRPr="008E5F61">
        <w:rPr>
          <w:rFonts w:ascii="Arial" w:hAnsi="Arial"/>
          <w:sz w:val="22"/>
          <w:szCs w:val="22"/>
        </w:rPr>
        <w:fldChar w:fldCharType="separate"/>
      </w:r>
      <w:r w:rsidR="00D93C1E">
        <w:rPr>
          <w:rFonts w:ascii="Arial" w:hAnsi="Arial"/>
          <w:noProof/>
          <w:sz w:val="22"/>
          <w:szCs w:val="22"/>
        </w:rPr>
        <w:t>2</w:t>
      </w:r>
      <w:r w:rsidRPr="008E5F61">
        <w:rPr>
          <w:rFonts w:ascii="Arial" w:hAnsi="Arial"/>
          <w:sz w:val="22"/>
          <w:szCs w:val="22"/>
        </w:rPr>
        <w:fldChar w:fldCharType="end"/>
      </w:r>
      <w:bookmarkEnd w:id="2"/>
      <w:r w:rsidRPr="008E5F61">
        <w:rPr>
          <w:rFonts w:ascii="Arial" w:hAnsi="Arial"/>
          <w:sz w:val="22"/>
          <w:szCs w:val="22"/>
        </w:rPr>
        <w:t>. Anomalía de precipitaciones en Colombia, 2017</w:t>
      </w:r>
    </w:p>
    <w:p w14:paraId="2ADA0C3F" w14:textId="77777777" w:rsidR="003F5AEA" w:rsidRPr="008E5F61" w:rsidRDefault="003F5AEA" w:rsidP="003F5AEA">
      <w:pPr>
        <w:jc w:val="center"/>
        <w:rPr>
          <w:rFonts w:cs="Arial"/>
        </w:rPr>
      </w:pPr>
      <w:r w:rsidRPr="008E5F61">
        <w:rPr>
          <w:rFonts w:cs="Arial"/>
          <w:noProof/>
          <w:lang w:eastAsia="es-CO"/>
        </w:rPr>
        <w:drawing>
          <wp:inline distT="0" distB="0" distL="0" distR="0" wp14:anchorId="0693E772" wp14:editId="7322C725">
            <wp:extent cx="4253344" cy="38036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122" t="16342" r="55194" b="19862"/>
                    <a:stretch/>
                  </pic:blipFill>
                  <pic:spPr bwMode="auto">
                    <a:xfrm>
                      <a:off x="0" y="0"/>
                      <a:ext cx="4271535" cy="3819918"/>
                    </a:xfrm>
                    <a:prstGeom prst="rect">
                      <a:avLst/>
                    </a:prstGeom>
                    <a:ln>
                      <a:noFill/>
                    </a:ln>
                    <a:extLst>
                      <a:ext uri="{53640926-AAD7-44D8-BBD7-CCE9431645EC}">
                        <a14:shadowObscured xmlns:a14="http://schemas.microsoft.com/office/drawing/2010/main"/>
                      </a:ext>
                    </a:extLst>
                  </pic:spPr>
                </pic:pic>
              </a:graphicData>
            </a:graphic>
          </wp:inline>
        </w:drawing>
      </w:r>
    </w:p>
    <w:p w14:paraId="0A14A8FA" w14:textId="77777777" w:rsidR="003F5AEA" w:rsidRPr="008E5F61" w:rsidRDefault="003F5AEA" w:rsidP="003F5AEA">
      <w:pPr>
        <w:jc w:val="center"/>
        <w:rPr>
          <w:rFonts w:cs="Arial"/>
        </w:rPr>
      </w:pPr>
      <w:r w:rsidRPr="008E5F61">
        <w:rPr>
          <w:rFonts w:cs="Arial"/>
        </w:rPr>
        <w:t>Fuente: IDEAM</w:t>
      </w:r>
    </w:p>
    <w:p w14:paraId="55A33B5D" w14:textId="4A5F12EB" w:rsidR="003F5AEA" w:rsidRPr="008E5F61" w:rsidRDefault="003F5AEA" w:rsidP="003F5AEA">
      <w:pPr>
        <w:jc w:val="both"/>
        <w:rPr>
          <w:rFonts w:cs="Arial"/>
        </w:rPr>
      </w:pPr>
      <w:r w:rsidRPr="008E5F61">
        <w:rPr>
          <w:rFonts w:cs="Arial"/>
        </w:rPr>
        <w:t>Por lo expuesto previamente, las herramientas de gestión de riesgo han tomado una alta relevancia en los últimos años</w:t>
      </w:r>
      <w:r w:rsidRPr="008E5F61">
        <w:rPr>
          <w:rStyle w:val="Refdenotaalpie"/>
          <w:rFonts w:cs="Arial"/>
        </w:rPr>
        <w:footnoteReference w:id="1"/>
      </w:r>
      <w:r w:rsidRPr="008E5F61">
        <w:rPr>
          <w:rFonts w:cs="Arial"/>
        </w:rPr>
        <w:t>. La Misión de Transformación del Campo resaltó la relevancia de un cambio en la política de manejos de riesgos en el sector agropecuari</w:t>
      </w:r>
      <w:r w:rsidR="002813A1">
        <w:rPr>
          <w:rFonts w:cs="Arial"/>
        </w:rPr>
        <w:t>o, pasando de una política re</w:t>
      </w:r>
      <w:r w:rsidRPr="008E5F61">
        <w:rPr>
          <w:rFonts w:cs="Arial"/>
        </w:rPr>
        <w:t xml:space="preserve">activa a una proactiva. En este marco, el seguro agropecuario ha tomado una mayor relevancia, como lo demuestra un crecimiento en el área asegurada en un 335% entre 2009 y 2015 como se expone en la </w:t>
      </w:r>
      <w:r w:rsidRPr="008E5F61">
        <w:rPr>
          <w:rFonts w:cs="Arial"/>
        </w:rPr>
        <w:fldChar w:fldCharType="begin"/>
      </w:r>
      <w:r w:rsidRPr="008E5F61">
        <w:rPr>
          <w:rFonts w:cs="Arial"/>
        </w:rPr>
        <w:instrText xml:space="preserve"> REF _Ref486922551 \h  \* MERGEFORMAT </w:instrText>
      </w:r>
      <w:r w:rsidRPr="008E5F61">
        <w:rPr>
          <w:rFonts w:cs="Arial"/>
        </w:rPr>
      </w:r>
      <w:r w:rsidRPr="008E5F61">
        <w:rPr>
          <w:rFonts w:cs="Arial"/>
        </w:rPr>
        <w:fldChar w:fldCharType="separate"/>
      </w:r>
      <w:r w:rsidR="00D93C1E" w:rsidRPr="00D93C1E">
        <w:rPr>
          <w:rFonts w:cs="Arial"/>
        </w:rPr>
        <w:t xml:space="preserve">Ilustración </w:t>
      </w:r>
      <w:r w:rsidR="00D93C1E" w:rsidRPr="00D93C1E">
        <w:rPr>
          <w:rFonts w:cs="Arial"/>
          <w:noProof/>
        </w:rPr>
        <w:t>3</w:t>
      </w:r>
      <w:r w:rsidRPr="008E5F61">
        <w:rPr>
          <w:rFonts w:cs="Arial"/>
        </w:rPr>
        <w:fldChar w:fldCharType="end"/>
      </w:r>
      <w:r w:rsidRPr="008E5F61">
        <w:rPr>
          <w:rFonts w:cs="Arial"/>
        </w:rPr>
        <w:t xml:space="preserve">. De igual forma, el pago de incentivos a la prima ha tenido una dinámica creciente desde el 2012, llegando a su valor más alto en el 2015, cuando se pagó más de 45 mil millones de pesos, permitiendo un valor asegurado cercano a los 997 mil millones de pesos. </w:t>
      </w:r>
    </w:p>
    <w:p w14:paraId="72292FA1" w14:textId="77777777" w:rsidR="003F5AEA" w:rsidRPr="008E5F61" w:rsidRDefault="003F5AEA" w:rsidP="003F5AEA">
      <w:pPr>
        <w:jc w:val="both"/>
        <w:rPr>
          <w:rFonts w:cs="Arial"/>
        </w:rPr>
      </w:pPr>
    </w:p>
    <w:p w14:paraId="31153351" w14:textId="2B041662" w:rsidR="003F5AEA" w:rsidRPr="008E5F61" w:rsidRDefault="003F5AEA" w:rsidP="003F5AEA">
      <w:pPr>
        <w:pStyle w:val="Descripcin"/>
        <w:keepNext/>
        <w:jc w:val="both"/>
        <w:rPr>
          <w:rFonts w:ascii="Arial" w:hAnsi="Arial"/>
          <w:sz w:val="22"/>
          <w:szCs w:val="22"/>
        </w:rPr>
      </w:pPr>
      <w:bookmarkStart w:id="3" w:name="_Ref486922551"/>
      <w:r w:rsidRPr="008E5F61">
        <w:rPr>
          <w:rFonts w:ascii="Arial" w:hAnsi="Arial"/>
          <w:sz w:val="22"/>
          <w:szCs w:val="22"/>
        </w:rPr>
        <w:lastRenderedPageBreak/>
        <w:t xml:space="preserve">Ilustración </w:t>
      </w:r>
      <w:r w:rsidRPr="008E5F61">
        <w:rPr>
          <w:rFonts w:ascii="Arial" w:hAnsi="Arial"/>
          <w:sz w:val="22"/>
          <w:szCs w:val="22"/>
        </w:rPr>
        <w:fldChar w:fldCharType="begin"/>
      </w:r>
      <w:r w:rsidRPr="008E5F61">
        <w:rPr>
          <w:rFonts w:ascii="Arial" w:hAnsi="Arial"/>
          <w:sz w:val="22"/>
          <w:szCs w:val="22"/>
        </w:rPr>
        <w:instrText xml:space="preserve"> SEQ Ilustración \* ARABIC </w:instrText>
      </w:r>
      <w:r w:rsidRPr="008E5F61">
        <w:rPr>
          <w:rFonts w:ascii="Arial" w:hAnsi="Arial"/>
          <w:sz w:val="22"/>
          <w:szCs w:val="22"/>
        </w:rPr>
        <w:fldChar w:fldCharType="separate"/>
      </w:r>
      <w:r w:rsidR="00D93C1E">
        <w:rPr>
          <w:rFonts w:ascii="Arial" w:hAnsi="Arial"/>
          <w:noProof/>
          <w:sz w:val="22"/>
          <w:szCs w:val="22"/>
        </w:rPr>
        <w:t>3</w:t>
      </w:r>
      <w:r w:rsidRPr="008E5F61">
        <w:rPr>
          <w:rFonts w:ascii="Arial" w:hAnsi="Arial"/>
          <w:sz w:val="22"/>
          <w:szCs w:val="22"/>
        </w:rPr>
        <w:fldChar w:fldCharType="end"/>
      </w:r>
      <w:bookmarkEnd w:id="3"/>
      <w:r w:rsidRPr="008E5F61">
        <w:rPr>
          <w:rFonts w:ascii="Arial" w:hAnsi="Arial"/>
          <w:sz w:val="22"/>
          <w:szCs w:val="22"/>
        </w:rPr>
        <w:t>. Área Asegurada 2007-2016</w:t>
      </w:r>
    </w:p>
    <w:p w14:paraId="155E7F9F" w14:textId="77777777" w:rsidR="003F5AEA" w:rsidRPr="008E5F61" w:rsidRDefault="003F5AEA" w:rsidP="003F5AEA">
      <w:pPr>
        <w:jc w:val="both"/>
        <w:rPr>
          <w:rFonts w:cs="Arial"/>
        </w:rPr>
      </w:pPr>
      <w:r w:rsidRPr="008E5F61">
        <w:rPr>
          <w:rFonts w:cs="Arial"/>
          <w:noProof/>
          <w:lang w:eastAsia="es-CO"/>
        </w:rPr>
        <w:drawing>
          <wp:inline distT="0" distB="0" distL="0" distR="0" wp14:anchorId="183EC244" wp14:editId="3AAF6CDE">
            <wp:extent cx="5584371" cy="2492828"/>
            <wp:effectExtent l="0" t="0" r="0" b="317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552BE64" w14:textId="77777777" w:rsidR="003F5AEA" w:rsidRPr="008E5F61" w:rsidRDefault="003F5AEA" w:rsidP="003F5AEA">
      <w:pPr>
        <w:jc w:val="center"/>
        <w:rPr>
          <w:rFonts w:cs="Arial"/>
        </w:rPr>
      </w:pPr>
      <w:r w:rsidRPr="008E5F61">
        <w:rPr>
          <w:rFonts w:cs="Arial"/>
        </w:rPr>
        <w:t>Fuente: FINAGRO</w:t>
      </w:r>
    </w:p>
    <w:p w14:paraId="325EF50B" w14:textId="7143A269" w:rsidR="003F5AEA" w:rsidRPr="008E5F61" w:rsidRDefault="003F5AEA" w:rsidP="003F5AEA">
      <w:pPr>
        <w:pStyle w:val="Descripcin"/>
        <w:keepNext/>
        <w:rPr>
          <w:rFonts w:ascii="Arial" w:hAnsi="Arial"/>
          <w:sz w:val="22"/>
          <w:szCs w:val="22"/>
        </w:rPr>
      </w:pPr>
      <w:r w:rsidRPr="008E5F61">
        <w:rPr>
          <w:rFonts w:ascii="Arial" w:hAnsi="Arial"/>
          <w:sz w:val="22"/>
          <w:szCs w:val="22"/>
        </w:rPr>
        <w:t xml:space="preserve">Ilustración </w:t>
      </w:r>
      <w:r w:rsidRPr="008E5F61">
        <w:rPr>
          <w:rFonts w:ascii="Arial" w:hAnsi="Arial"/>
          <w:sz w:val="22"/>
          <w:szCs w:val="22"/>
        </w:rPr>
        <w:fldChar w:fldCharType="begin"/>
      </w:r>
      <w:r w:rsidRPr="008E5F61">
        <w:rPr>
          <w:rFonts w:ascii="Arial" w:hAnsi="Arial"/>
          <w:sz w:val="22"/>
          <w:szCs w:val="22"/>
        </w:rPr>
        <w:instrText xml:space="preserve"> SEQ Ilustración \* ARABIC </w:instrText>
      </w:r>
      <w:r w:rsidRPr="008E5F61">
        <w:rPr>
          <w:rFonts w:ascii="Arial" w:hAnsi="Arial"/>
          <w:sz w:val="22"/>
          <w:szCs w:val="22"/>
        </w:rPr>
        <w:fldChar w:fldCharType="separate"/>
      </w:r>
      <w:r w:rsidR="00D93C1E">
        <w:rPr>
          <w:rFonts w:ascii="Arial" w:hAnsi="Arial"/>
          <w:noProof/>
          <w:sz w:val="22"/>
          <w:szCs w:val="22"/>
        </w:rPr>
        <w:t>4</w:t>
      </w:r>
      <w:r w:rsidRPr="008E5F61">
        <w:rPr>
          <w:rFonts w:ascii="Arial" w:hAnsi="Arial"/>
          <w:sz w:val="22"/>
          <w:szCs w:val="22"/>
        </w:rPr>
        <w:fldChar w:fldCharType="end"/>
      </w:r>
      <w:r w:rsidRPr="008E5F61">
        <w:rPr>
          <w:rFonts w:ascii="Arial" w:hAnsi="Arial"/>
          <w:sz w:val="22"/>
          <w:szCs w:val="22"/>
        </w:rPr>
        <w:t>. Presupuesto y ejecución del ISA y valor asegurado</w:t>
      </w:r>
      <w:r w:rsidRPr="008E5F61">
        <w:rPr>
          <w:rStyle w:val="Refdenotaalpie"/>
          <w:sz w:val="22"/>
          <w:szCs w:val="22"/>
        </w:rPr>
        <w:footnoteReference w:id="2"/>
      </w:r>
    </w:p>
    <w:p w14:paraId="7FEB845A" w14:textId="77777777" w:rsidR="003F5AEA" w:rsidRPr="008E5F61" w:rsidRDefault="003F5AEA" w:rsidP="003F5AEA">
      <w:pPr>
        <w:jc w:val="center"/>
        <w:rPr>
          <w:rFonts w:cs="Arial"/>
        </w:rPr>
      </w:pPr>
      <w:r w:rsidRPr="008E5F61">
        <w:rPr>
          <w:rFonts w:cs="Arial"/>
          <w:noProof/>
          <w:lang w:eastAsia="es-CO"/>
        </w:rPr>
        <w:drawing>
          <wp:inline distT="0" distB="0" distL="0" distR="0" wp14:anchorId="76F04308" wp14:editId="7A48878F">
            <wp:extent cx="4572000" cy="2743200"/>
            <wp:effectExtent l="0" t="0" r="0" b="0"/>
            <wp:docPr id="3" name="Gráfico 3">
              <a:extLst xmlns:a="http://schemas.openxmlformats.org/drawingml/2006/main">
                <a:ext uri="{FF2B5EF4-FFF2-40B4-BE49-F238E27FC236}">
                  <a16:creationId xmlns:a16="http://schemas.microsoft.com/office/drawing/2014/main" id="{522AA31D-E84B-4BA3-8314-D009C72DD3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9417D57" w14:textId="77777777" w:rsidR="003F5AEA" w:rsidRPr="008E5F61" w:rsidRDefault="003F5AEA" w:rsidP="003F5AEA">
      <w:pPr>
        <w:jc w:val="center"/>
        <w:rPr>
          <w:rFonts w:cs="Arial"/>
        </w:rPr>
      </w:pPr>
      <w:r w:rsidRPr="008E5F61">
        <w:rPr>
          <w:rFonts w:cs="Arial"/>
        </w:rPr>
        <w:t>Fuente: FINAGRO</w:t>
      </w:r>
    </w:p>
    <w:p w14:paraId="307223D6" w14:textId="2DA2666E" w:rsidR="003F5AEA" w:rsidRPr="008E5F61" w:rsidRDefault="003F5AEA" w:rsidP="003F5AEA">
      <w:pPr>
        <w:jc w:val="both"/>
        <w:rPr>
          <w:rFonts w:cs="Arial"/>
        </w:rPr>
      </w:pPr>
      <w:r w:rsidRPr="008E5F61">
        <w:rPr>
          <w:rFonts w:cs="Arial"/>
        </w:rPr>
        <w:t>Si bien en el 2016 se disminuyeron las hectáreas aseguradas, el instrumento continúa siendo de alta relevancia tanto para el Gobierno Nacional</w:t>
      </w:r>
      <w:r>
        <w:rPr>
          <w:rFonts w:cs="Arial"/>
        </w:rPr>
        <w:t>,</w:t>
      </w:r>
      <w:r w:rsidRPr="008E5F61">
        <w:rPr>
          <w:rFonts w:cs="Arial"/>
        </w:rPr>
        <w:t xml:space="preserve"> para los productores agropecuarios y las compañías aseguradoras. A raíz de los choques climáticos que se presentaron a finales del 2015, que conllevaron a un incremento </w:t>
      </w:r>
      <w:r w:rsidRPr="008E5F61">
        <w:rPr>
          <w:rFonts w:cs="Arial"/>
        </w:rPr>
        <w:lastRenderedPageBreak/>
        <w:t xml:space="preserve">en la percepción de riesgo sobre el sector de las compañías aseguradoras, disminuyendo la oferta del instrumento, principalmente en el primer semestre de 2016. Pese a esto, cada vez más compañías aseguradoras han incursionado en el sector y el Gobierno Nacional se ha ahorrado recursos ya que, como lo refleja la </w:t>
      </w:r>
      <w:r w:rsidRPr="008E5F61">
        <w:rPr>
          <w:rFonts w:cs="Arial"/>
        </w:rPr>
        <w:fldChar w:fldCharType="begin"/>
      </w:r>
      <w:r w:rsidRPr="008E5F61">
        <w:rPr>
          <w:rFonts w:cs="Arial"/>
        </w:rPr>
        <w:instrText xml:space="preserve"> REF _Ref486926516 \h  \* MERGEFORMAT </w:instrText>
      </w:r>
      <w:r w:rsidRPr="008E5F61">
        <w:rPr>
          <w:rFonts w:cs="Arial"/>
        </w:rPr>
      </w:r>
      <w:r w:rsidRPr="008E5F61">
        <w:rPr>
          <w:rFonts w:cs="Arial"/>
        </w:rPr>
        <w:fldChar w:fldCharType="separate"/>
      </w:r>
      <w:r w:rsidR="00D93C1E" w:rsidRPr="00D93C1E">
        <w:rPr>
          <w:rFonts w:cs="Arial"/>
        </w:rPr>
        <w:t xml:space="preserve">Ilustración </w:t>
      </w:r>
      <w:r w:rsidR="00D93C1E" w:rsidRPr="00D93C1E">
        <w:rPr>
          <w:rFonts w:cs="Arial"/>
          <w:noProof/>
        </w:rPr>
        <w:t>5</w:t>
      </w:r>
      <w:r w:rsidRPr="008E5F61">
        <w:rPr>
          <w:rFonts w:cs="Arial"/>
        </w:rPr>
        <w:fldChar w:fldCharType="end"/>
      </w:r>
      <w:r w:rsidRPr="008E5F61">
        <w:rPr>
          <w:rFonts w:cs="Arial"/>
        </w:rPr>
        <w:t>, la siniestralidad bruta del sector ha sido superior al 100%, es decir, de no haber existido este instrumento, el Gobierno hubiera tenido que incurrir con los gastos asociados a las tragedias climáticas que afectaron el desarrollo sectorial. Es por ello que en la actualidad se adelantan estudios para profundizar el uso del instrumento mediante diversas herramientas de aseguramiento, como son los seguros de ingresos, colectivo y catastrófico.</w:t>
      </w:r>
    </w:p>
    <w:p w14:paraId="25D5892F" w14:textId="77777777" w:rsidR="003F5AEA" w:rsidRPr="008E5F61" w:rsidRDefault="003F5AEA" w:rsidP="003F5AEA">
      <w:pPr>
        <w:jc w:val="both"/>
        <w:rPr>
          <w:rFonts w:cs="Arial"/>
        </w:rPr>
      </w:pPr>
      <w:r w:rsidRPr="008E5F61">
        <w:rPr>
          <w:rFonts w:cs="Arial"/>
        </w:rPr>
        <w:t xml:space="preserve">, </w:t>
      </w:r>
    </w:p>
    <w:p w14:paraId="0BFC8BA5" w14:textId="0D923B0E" w:rsidR="003F5AEA" w:rsidRPr="008E5F61" w:rsidRDefault="003F5AEA" w:rsidP="003F5AEA">
      <w:pPr>
        <w:pStyle w:val="Descripcin"/>
        <w:keepNext/>
        <w:rPr>
          <w:rFonts w:ascii="Arial" w:hAnsi="Arial"/>
          <w:sz w:val="22"/>
          <w:szCs w:val="22"/>
        </w:rPr>
      </w:pPr>
      <w:bookmarkStart w:id="4" w:name="_Ref486926516"/>
      <w:r w:rsidRPr="008E5F61">
        <w:rPr>
          <w:rFonts w:ascii="Arial" w:hAnsi="Arial"/>
          <w:sz w:val="22"/>
          <w:szCs w:val="22"/>
        </w:rPr>
        <w:t xml:space="preserve">Ilustración </w:t>
      </w:r>
      <w:r w:rsidRPr="008E5F61">
        <w:rPr>
          <w:rFonts w:ascii="Arial" w:hAnsi="Arial"/>
          <w:sz w:val="22"/>
          <w:szCs w:val="22"/>
        </w:rPr>
        <w:fldChar w:fldCharType="begin"/>
      </w:r>
      <w:r w:rsidRPr="008E5F61">
        <w:rPr>
          <w:rFonts w:ascii="Arial" w:hAnsi="Arial"/>
          <w:sz w:val="22"/>
          <w:szCs w:val="22"/>
        </w:rPr>
        <w:instrText xml:space="preserve"> SEQ Ilustración \* ARABIC </w:instrText>
      </w:r>
      <w:r w:rsidRPr="008E5F61">
        <w:rPr>
          <w:rFonts w:ascii="Arial" w:hAnsi="Arial"/>
          <w:sz w:val="22"/>
          <w:szCs w:val="22"/>
        </w:rPr>
        <w:fldChar w:fldCharType="separate"/>
      </w:r>
      <w:r w:rsidR="00D93C1E">
        <w:rPr>
          <w:rFonts w:ascii="Arial" w:hAnsi="Arial"/>
          <w:noProof/>
          <w:sz w:val="22"/>
          <w:szCs w:val="22"/>
        </w:rPr>
        <w:t>5</w:t>
      </w:r>
      <w:r w:rsidRPr="008E5F61">
        <w:rPr>
          <w:rFonts w:ascii="Arial" w:hAnsi="Arial"/>
          <w:sz w:val="22"/>
          <w:szCs w:val="22"/>
        </w:rPr>
        <w:fldChar w:fldCharType="end"/>
      </w:r>
      <w:bookmarkEnd w:id="4"/>
      <w:r w:rsidRPr="008E5F61">
        <w:rPr>
          <w:rFonts w:ascii="Arial" w:hAnsi="Arial"/>
          <w:sz w:val="22"/>
          <w:szCs w:val="22"/>
        </w:rPr>
        <w:t>. Primas emitidas y siniestros pagados en el ramo agrícola</w:t>
      </w:r>
    </w:p>
    <w:p w14:paraId="7285FBED" w14:textId="77777777" w:rsidR="003F5AEA" w:rsidRPr="008E5F61" w:rsidRDefault="003F5AEA" w:rsidP="003F5AEA">
      <w:pPr>
        <w:jc w:val="center"/>
        <w:rPr>
          <w:rFonts w:cs="Arial"/>
        </w:rPr>
      </w:pPr>
      <w:r w:rsidRPr="008E5F61">
        <w:rPr>
          <w:rFonts w:cs="Arial"/>
          <w:noProof/>
          <w:lang w:eastAsia="es-CO"/>
        </w:rPr>
        <w:drawing>
          <wp:inline distT="0" distB="0" distL="0" distR="0" wp14:anchorId="4B856A51" wp14:editId="584C7885">
            <wp:extent cx="5167223" cy="2078966"/>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1E9BC6" w14:textId="77777777" w:rsidR="003F5AEA" w:rsidRPr="008E5F61" w:rsidRDefault="003F5AEA" w:rsidP="003F5AEA">
      <w:pPr>
        <w:jc w:val="center"/>
        <w:rPr>
          <w:rFonts w:cs="Arial"/>
        </w:rPr>
      </w:pPr>
      <w:r w:rsidRPr="008E5F61">
        <w:rPr>
          <w:rFonts w:cs="Arial"/>
        </w:rPr>
        <w:t>Fuente: Superintendencia Financiera de Colombia</w:t>
      </w:r>
    </w:p>
    <w:p w14:paraId="464ACB54" w14:textId="77777777" w:rsidR="003F5AEA" w:rsidRPr="008E5F61" w:rsidRDefault="003F5AEA" w:rsidP="003F5AEA">
      <w:pPr>
        <w:jc w:val="both"/>
        <w:rPr>
          <w:rFonts w:cs="Arial"/>
        </w:rPr>
      </w:pPr>
      <w:r w:rsidRPr="008E5F61">
        <w:rPr>
          <w:rFonts w:cs="Arial"/>
        </w:rPr>
        <w:t>En la justificación técnica del Plan Anual de Gestión de Riesgos Agropecuarios para la vigencia 2017, se presentó una necesidad de recursos de 116,535 millones de pesos para pago de incentivos a la prima del seguro. En la justificación que se presentó a los miembros de la CNCA, se expuso que para 2017 se esperaba que el crecimiento del uso del seguro se diera en el escenario de crecimiento de tendencia polinómica de segundo orden, lo cual implicaba un área cercana a 245 mil hectáreas aseguradas y una ejecución de incent</w:t>
      </w:r>
      <w:r>
        <w:rPr>
          <w:rFonts w:cs="Arial"/>
        </w:rPr>
        <w:t>ivo necesario aproximado de $65,</w:t>
      </w:r>
      <w:r w:rsidRPr="008E5F61">
        <w:rPr>
          <w:rFonts w:cs="Arial"/>
        </w:rPr>
        <w:t xml:space="preserve">197 millones, lo cual se sustentaba en: </w:t>
      </w:r>
    </w:p>
    <w:p w14:paraId="3E672B89" w14:textId="2420FF96" w:rsidR="003F5AEA" w:rsidRPr="008E5F61" w:rsidRDefault="003F5AEA" w:rsidP="003F5AEA">
      <w:pPr>
        <w:pStyle w:val="Prrafodelista"/>
        <w:numPr>
          <w:ilvl w:val="0"/>
          <w:numId w:val="41"/>
        </w:numPr>
        <w:spacing w:before="0" w:after="160" w:line="259" w:lineRule="auto"/>
        <w:contextualSpacing/>
        <w:jc w:val="both"/>
        <w:rPr>
          <w:rFonts w:cs="Arial"/>
        </w:rPr>
      </w:pPr>
      <w:r w:rsidRPr="008E5F61">
        <w:rPr>
          <w:rFonts w:cs="Arial"/>
          <w:b/>
        </w:rPr>
        <w:t>Allianz, Sura y Bolívar están incursionando de forma decidida en el mercado</w:t>
      </w:r>
      <w:r w:rsidRPr="008E5F61">
        <w:rPr>
          <w:rFonts w:cs="Arial"/>
        </w:rPr>
        <w:t xml:space="preserve">. Estas compañías, a diferencia de Mapfre y </w:t>
      </w:r>
      <w:r w:rsidR="002813A1">
        <w:rPr>
          <w:rFonts w:cs="Arial"/>
        </w:rPr>
        <w:t>Pre</w:t>
      </w:r>
      <w:r>
        <w:rPr>
          <w:rFonts w:cs="Arial"/>
        </w:rPr>
        <w:t>visora</w:t>
      </w:r>
      <w:r w:rsidR="002813A1">
        <w:rPr>
          <w:rFonts w:cs="Arial"/>
        </w:rPr>
        <w:t xml:space="preserve">, han expandido su mercado y </w:t>
      </w:r>
      <w:r w:rsidRPr="008E5F61">
        <w:rPr>
          <w:rFonts w:cs="Arial"/>
        </w:rPr>
        <w:t>han comunicado que seguirán haciéndolo durante el año 2017.</w:t>
      </w:r>
    </w:p>
    <w:p w14:paraId="16FDEE54" w14:textId="77777777" w:rsidR="003F5AEA" w:rsidRPr="008E5F61" w:rsidRDefault="003F5AEA" w:rsidP="003F5AEA">
      <w:pPr>
        <w:pStyle w:val="Prrafodelista"/>
        <w:numPr>
          <w:ilvl w:val="0"/>
          <w:numId w:val="41"/>
        </w:numPr>
        <w:spacing w:before="0" w:after="160" w:line="259" w:lineRule="auto"/>
        <w:contextualSpacing/>
        <w:jc w:val="both"/>
        <w:rPr>
          <w:rFonts w:cs="Arial"/>
        </w:rPr>
      </w:pPr>
      <w:r w:rsidRPr="008E5F61">
        <w:rPr>
          <w:rFonts w:cs="Arial"/>
          <w:b/>
        </w:rPr>
        <w:t>Mapfre ha fortalecido su equipo técnico para mejorar sus procesos de expedición y ajuste</w:t>
      </w:r>
      <w:r w:rsidRPr="008E5F61">
        <w:rPr>
          <w:rFonts w:cs="Arial"/>
        </w:rPr>
        <w:t>. Esto permitirá que en el año 2017 pueda mejorar su perfil de riesgo con las compañías reaseguradoras, quienes redujeron su capacidad de reaseguro en 2016.</w:t>
      </w:r>
    </w:p>
    <w:p w14:paraId="26ACD1E7" w14:textId="77777777" w:rsidR="003F5AEA" w:rsidRPr="008E5F61" w:rsidRDefault="003F5AEA" w:rsidP="003F5AEA">
      <w:pPr>
        <w:pStyle w:val="Prrafodelista"/>
        <w:numPr>
          <w:ilvl w:val="0"/>
          <w:numId w:val="41"/>
        </w:numPr>
        <w:spacing w:before="0" w:after="160" w:line="259" w:lineRule="auto"/>
        <w:contextualSpacing/>
        <w:jc w:val="both"/>
        <w:rPr>
          <w:rFonts w:cs="Arial"/>
        </w:rPr>
      </w:pPr>
      <w:r w:rsidRPr="008E5F61">
        <w:rPr>
          <w:rFonts w:cs="Arial"/>
          <w:b/>
        </w:rPr>
        <w:lastRenderedPageBreak/>
        <w:t>El Banco Agrario de Colombi</w:t>
      </w:r>
      <w:r w:rsidRPr="008E5F61">
        <w:rPr>
          <w:rFonts w:cs="Arial"/>
        </w:rPr>
        <w:t>a buscará una compañía aseguradora que permita masificar su portafolio de seguro agropecuario a toda la red de oficinas del país. Este proceso se llevará a cabo en 2017.</w:t>
      </w:r>
    </w:p>
    <w:p w14:paraId="4EFD4609" w14:textId="77777777" w:rsidR="003F5AEA" w:rsidRPr="008E5F61" w:rsidRDefault="003F5AEA" w:rsidP="003F5AEA">
      <w:pPr>
        <w:jc w:val="both"/>
        <w:rPr>
          <w:rFonts w:cs="Arial"/>
        </w:rPr>
      </w:pPr>
      <w:r w:rsidRPr="008E5F61">
        <w:rPr>
          <w:rFonts w:cs="Arial"/>
        </w:rPr>
        <w:t>Adicionalmente, se identificaban los siguientes factores que podían cambiar las dinámicas previstas:</w:t>
      </w:r>
    </w:p>
    <w:p w14:paraId="6574AD2C" w14:textId="77777777" w:rsidR="003F5AEA" w:rsidRPr="008E5F61" w:rsidRDefault="003F5AEA" w:rsidP="003F5AEA">
      <w:pPr>
        <w:pStyle w:val="Prrafodelista"/>
        <w:numPr>
          <w:ilvl w:val="0"/>
          <w:numId w:val="25"/>
        </w:numPr>
        <w:spacing w:before="100" w:after="240" w:line="276" w:lineRule="auto"/>
        <w:contextualSpacing/>
        <w:jc w:val="both"/>
        <w:rPr>
          <w:rFonts w:cs="Arial"/>
        </w:rPr>
      </w:pPr>
      <w:r w:rsidRPr="008E5F61">
        <w:rPr>
          <w:rFonts w:cs="Arial"/>
          <w:b/>
        </w:rPr>
        <w:t>Plan Colombia Siembra.</w:t>
      </w:r>
      <w:r w:rsidRPr="008E5F61">
        <w:rPr>
          <w:rFonts w:cs="Arial"/>
        </w:rPr>
        <w:t xml:space="preserve"> Considerando únicamente las proyecciones de crecimiento en hectárea</w:t>
      </w:r>
      <w:r>
        <w:rPr>
          <w:rFonts w:cs="Arial"/>
        </w:rPr>
        <w:t xml:space="preserve">s de dicho Plan se requerirían </w:t>
      </w:r>
      <w:r w:rsidRPr="008E5F61">
        <w:rPr>
          <w:rFonts w:cs="Arial"/>
        </w:rPr>
        <w:t>115,4 mil millones</w:t>
      </w:r>
      <w:r>
        <w:rPr>
          <w:rFonts w:cs="Arial"/>
        </w:rPr>
        <w:t xml:space="preserve"> de pesos</w:t>
      </w:r>
      <w:r w:rsidRPr="008E5F61">
        <w:rPr>
          <w:rFonts w:cs="Arial"/>
        </w:rPr>
        <w:t xml:space="preserve"> para 2017 para asegurar las 590 mil hectáreas proyectadas por el MADR (225 mil hectáreas del 2016 y 365 mil hectáreas adicionales del 2017).</w:t>
      </w:r>
    </w:p>
    <w:p w14:paraId="48244C06" w14:textId="77777777" w:rsidR="003F5AEA" w:rsidRPr="008E5F61" w:rsidRDefault="003F5AEA" w:rsidP="003F5AEA">
      <w:pPr>
        <w:pStyle w:val="Prrafodelista"/>
        <w:numPr>
          <w:ilvl w:val="0"/>
          <w:numId w:val="25"/>
        </w:numPr>
        <w:spacing w:before="100" w:after="240" w:line="276" w:lineRule="auto"/>
        <w:contextualSpacing/>
        <w:jc w:val="both"/>
        <w:rPr>
          <w:rFonts w:cs="Arial"/>
        </w:rPr>
      </w:pPr>
      <w:r w:rsidRPr="008E5F61">
        <w:rPr>
          <w:rFonts w:cs="Arial"/>
          <w:b/>
        </w:rPr>
        <w:t xml:space="preserve">Seguros de tipo catastrófico. </w:t>
      </w:r>
      <w:r w:rsidRPr="008E5F61">
        <w:rPr>
          <w:rFonts w:cs="Arial"/>
        </w:rPr>
        <w:t>Se estiman necesidades</w:t>
      </w:r>
      <w:r>
        <w:rPr>
          <w:rFonts w:cs="Arial"/>
        </w:rPr>
        <w:t xml:space="preserve"> presupuestales cercanas a los </w:t>
      </w:r>
      <w:r w:rsidRPr="008E5F61">
        <w:rPr>
          <w:rFonts w:cs="Arial"/>
        </w:rPr>
        <w:t>100 mil millones</w:t>
      </w:r>
      <w:r>
        <w:rPr>
          <w:rFonts w:cs="Arial"/>
        </w:rPr>
        <w:t xml:space="preserve"> de pesos</w:t>
      </w:r>
      <w:r w:rsidRPr="008E5F61">
        <w:rPr>
          <w:rFonts w:cs="Arial"/>
        </w:rPr>
        <w:t xml:space="preserve"> para costear el desarrollo de pilotos en departamentos de Antioquia, Boyacá, Cauca, Cundinamarca y Valle del Cauca. Este desarrollo es fundamental para los compromisos del Gobierno Nacional en materia del Acuerdo de Paz.</w:t>
      </w:r>
    </w:p>
    <w:p w14:paraId="33855042" w14:textId="77777777" w:rsidR="003F5AEA" w:rsidRPr="008E5F61" w:rsidRDefault="003F5AEA" w:rsidP="003F5AEA">
      <w:pPr>
        <w:pStyle w:val="Prrafodelista"/>
        <w:numPr>
          <w:ilvl w:val="0"/>
          <w:numId w:val="25"/>
        </w:numPr>
        <w:spacing w:before="100" w:after="240" w:line="276" w:lineRule="auto"/>
        <w:contextualSpacing/>
        <w:jc w:val="both"/>
        <w:rPr>
          <w:rFonts w:cs="Arial"/>
          <w:b/>
        </w:rPr>
      </w:pPr>
      <w:r w:rsidRPr="008E5F61">
        <w:rPr>
          <w:rFonts w:cs="Arial"/>
          <w:b/>
        </w:rPr>
        <w:t xml:space="preserve">Incentivo para el desarrollo del Seguro Pecuario. </w:t>
      </w:r>
      <w:r w:rsidRPr="008E5F61">
        <w:rPr>
          <w:rFonts w:cs="Arial"/>
        </w:rPr>
        <w:t>A la fecha existen algunas iniciativas con el fin de emitir pólizas que permitan asegurar al sector pecuario ante diversos eventos de riesgo, entre ellos los eventos de origen natural. En este escenario, debe considerarse la necesidad de recursos que acarreará incentivar el aseguramiento de esta actividad, dado que en la actualidad este tipo de pólizas ya están siendo socializadas entre las compañías aseguradoras para su expedición el próximo año. De acuerdo con estimaciones iniciales se e</w:t>
      </w:r>
      <w:r>
        <w:rPr>
          <w:rFonts w:cs="Arial"/>
        </w:rPr>
        <w:t>spera un incentivo de cerca de 25,</w:t>
      </w:r>
      <w:r w:rsidRPr="008E5F61">
        <w:rPr>
          <w:rFonts w:cs="Arial"/>
        </w:rPr>
        <w:t>000 millones</w:t>
      </w:r>
      <w:r>
        <w:rPr>
          <w:rFonts w:cs="Arial"/>
        </w:rPr>
        <w:t xml:space="preserve"> de pesos</w:t>
      </w:r>
      <w:r w:rsidRPr="008E5F61">
        <w:rPr>
          <w:rFonts w:cs="Arial"/>
        </w:rPr>
        <w:t xml:space="preserve"> para cubrir la demanda por este tipo de seguro en 2017.</w:t>
      </w:r>
    </w:p>
    <w:p w14:paraId="1C64B1CB" w14:textId="25721F4A" w:rsidR="003F5AEA" w:rsidRPr="008E5F61" w:rsidRDefault="003F5AEA" w:rsidP="003F5AEA">
      <w:pPr>
        <w:pStyle w:val="Prrafodelista"/>
        <w:numPr>
          <w:ilvl w:val="0"/>
          <w:numId w:val="25"/>
        </w:numPr>
        <w:spacing w:before="100" w:after="240" w:line="276" w:lineRule="auto"/>
        <w:contextualSpacing/>
        <w:jc w:val="both"/>
        <w:rPr>
          <w:rFonts w:cs="Arial"/>
        </w:rPr>
      </w:pPr>
      <w:r w:rsidRPr="008E5F61">
        <w:rPr>
          <w:rFonts w:cs="Arial"/>
          <w:b/>
        </w:rPr>
        <w:t>Incentivo para el Seguro Colectivo.</w:t>
      </w:r>
      <w:r w:rsidRPr="008E5F61">
        <w:rPr>
          <w:rFonts w:cs="Arial"/>
        </w:rPr>
        <w:t xml:space="preserve"> Dentro del Proyecto Apoyo al Sistema de Financiamiento del Sector Agropecuario (PASAC), en el marco de la cooperación con el gobierno canadiense, se está desarrollando y ajustando un piloto de “seguro colectivo” </w:t>
      </w:r>
      <w:r w:rsidR="002813A1">
        <w:rPr>
          <w:rFonts w:cs="Arial"/>
        </w:rPr>
        <w:t xml:space="preserve">para el arroz, </w:t>
      </w:r>
      <w:r w:rsidRPr="008E5F61">
        <w:rPr>
          <w:rFonts w:cs="Arial"/>
        </w:rPr>
        <w:t xml:space="preserve">en el departamento del Meta. Este seguro tiene como objetivo asegurar el rendimiento de una región que presente características agroecológicas similares (zonas homogéneas), asegurando la protección de la inversión de un gran número de productores. La implementación de este proyecto piloto en 2017, implicará el inicio de la fase comercial que requerirá recursos de incentivo </w:t>
      </w:r>
      <w:r>
        <w:rPr>
          <w:rFonts w:cs="Arial"/>
        </w:rPr>
        <w:t xml:space="preserve">para su desarrollo estimado en </w:t>
      </w:r>
      <w:r w:rsidRPr="008E5F61">
        <w:rPr>
          <w:rFonts w:cs="Arial"/>
        </w:rPr>
        <w:t>500 millones</w:t>
      </w:r>
      <w:r>
        <w:rPr>
          <w:rFonts w:cs="Arial"/>
        </w:rPr>
        <w:t xml:space="preserve"> de pesos</w:t>
      </w:r>
      <w:r w:rsidRPr="008E5F61">
        <w:rPr>
          <w:rFonts w:cs="Arial"/>
        </w:rPr>
        <w:t>.</w:t>
      </w:r>
    </w:p>
    <w:p w14:paraId="5E058CF7" w14:textId="77777777" w:rsidR="003F5AEA" w:rsidRPr="008E5F61" w:rsidRDefault="003F5AEA" w:rsidP="003F5AEA">
      <w:pPr>
        <w:pStyle w:val="Prrafodelista"/>
        <w:spacing w:line="276" w:lineRule="auto"/>
        <w:jc w:val="both"/>
        <w:rPr>
          <w:rFonts w:cs="Arial"/>
        </w:rPr>
      </w:pPr>
      <w:r w:rsidRPr="008E5F61">
        <w:rPr>
          <w:rFonts w:cs="Arial"/>
        </w:rPr>
        <w:t>Es importante resaltar que este ejercicio corresponde al piloto para esta zona, cuyo potencial estimado puede llegar hasta 20 mil hectáre</w:t>
      </w:r>
      <w:r>
        <w:rPr>
          <w:rFonts w:cs="Arial"/>
        </w:rPr>
        <w:t xml:space="preserve">as que representarían cerca de </w:t>
      </w:r>
      <w:r w:rsidRPr="008E5F61">
        <w:rPr>
          <w:rFonts w:cs="Arial"/>
        </w:rPr>
        <w:t>4 mil millones</w:t>
      </w:r>
      <w:r>
        <w:rPr>
          <w:rFonts w:cs="Arial"/>
        </w:rPr>
        <w:t xml:space="preserve"> de pesos</w:t>
      </w:r>
      <w:r w:rsidRPr="008E5F61">
        <w:rPr>
          <w:rFonts w:cs="Arial"/>
        </w:rPr>
        <w:t xml:space="preserve"> en incentivos.</w:t>
      </w:r>
    </w:p>
    <w:p w14:paraId="15FDBFDE" w14:textId="77777777" w:rsidR="003F5AEA" w:rsidRPr="008E5F61" w:rsidRDefault="003F5AEA" w:rsidP="003F5AEA">
      <w:pPr>
        <w:pStyle w:val="Prrafodelista"/>
        <w:numPr>
          <w:ilvl w:val="0"/>
          <w:numId w:val="25"/>
        </w:numPr>
        <w:spacing w:before="100" w:after="240" w:line="276" w:lineRule="auto"/>
        <w:contextualSpacing/>
        <w:jc w:val="both"/>
        <w:rPr>
          <w:rFonts w:cs="Arial"/>
        </w:rPr>
      </w:pPr>
      <w:r w:rsidRPr="008E5F61">
        <w:rPr>
          <w:rFonts w:cs="Arial"/>
          <w:b/>
        </w:rPr>
        <w:t>Incentivo para el Seguro de Flores</w:t>
      </w:r>
      <w:r w:rsidRPr="008E5F61">
        <w:rPr>
          <w:rFonts w:cs="Arial"/>
        </w:rPr>
        <w:t xml:space="preserve">. Junto con Asocolflores se trabaja en la actualidad en la implementación de un seguro agropecuario que permita proteger a los cultivos de flores del país, que se encuentran en ambientes </w:t>
      </w:r>
      <w:r w:rsidRPr="008E5F61">
        <w:rPr>
          <w:rFonts w:cs="Arial"/>
        </w:rPr>
        <w:lastRenderedPageBreak/>
        <w:t>controlados, de eventos extremos de origen natural. Una estimación aproximada indicaría que para incentivar este tipo de seguro son neces</w:t>
      </w:r>
      <w:r>
        <w:rPr>
          <w:rFonts w:cs="Arial"/>
        </w:rPr>
        <w:t>arios aproximadamente 26,</w:t>
      </w:r>
      <w:r w:rsidRPr="008E5F61">
        <w:rPr>
          <w:rFonts w:cs="Arial"/>
        </w:rPr>
        <w:t>000 millones</w:t>
      </w:r>
      <w:r>
        <w:rPr>
          <w:rFonts w:cs="Arial"/>
        </w:rPr>
        <w:t xml:space="preserve"> de pesos</w:t>
      </w:r>
      <w:r w:rsidRPr="008E5F61">
        <w:rPr>
          <w:rFonts w:cs="Arial"/>
        </w:rPr>
        <w:t xml:space="preserve">. </w:t>
      </w:r>
    </w:p>
    <w:p w14:paraId="42B65CD9" w14:textId="77777777" w:rsidR="003F5AEA" w:rsidRPr="008E5F61" w:rsidRDefault="003F5AEA" w:rsidP="003F5AEA">
      <w:pPr>
        <w:jc w:val="both"/>
        <w:rPr>
          <w:rFonts w:cs="Arial"/>
        </w:rPr>
      </w:pPr>
    </w:p>
    <w:p w14:paraId="6914C952" w14:textId="77777777" w:rsidR="003F5AEA" w:rsidRPr="008E5F61" w:rsidRDefault="003F5AEA" w:rsidP="003F5AEA">
      <w:pPr>
        <w:pStyle w:val="Ttulo3"/>
        <w:numPr>
          <w:ilvl w:val="0"/>
          <w:numId w:val="0"/>
        </w:numPr>
        <w:ind w:left="720"/>
        <w:rPr>
          <w:rFonts w:cs="Arial"/>
          <w:szCs w:val="22"/>
        </w:rPr>
      </w:pPr>
    </w:p>
    <w:p w14:paraId="5D7C3C7C" w14:textId="43DD195F" w:rsidR="003F5AEA" w:rsidRPr="008E5F61" w:rsidRDefault="003F5AEA" w:rsidP="003F5AEA">
      <w:pPr>
        <w:pStyle w:val="Descripcin"/>
        <w:keepNext/>
        <w:jc w:val="both"/>
        <w:rPr>
          <w:rFonts w:ascii="Arial" w:hAnsi="Arial"/>
          <w:sz w:val="22"/>
          <w:szCs w:val="22"/>
        </w:rPr>
      </w:pPr>
      <w:r w:rsidRPr="008E5F61">
        <w:rPr>
          <w:rFonts w:ascii="Arial" w:hAnsi="Arial"/>
          <w:sz w:val="22"/>
          <w:szCs w:val="22"/>
        </w:rPr>
        <w:t xml:space="preserve">Ilustración </w:t>
      </w:r>
      <w:r w:rsidRPr="008E5F61">
        <w:rPr>
          <w:rFonts w:ascii="Arial" w:hAnsi="Arial"/>
          <w:sz w:val="22"/>
          <w:szCs w:val="22"/>
        </w:rPr>
        <w:fldChar w:fldCharType="begin"/>
      </w:r>
      <w:r w:rsidRPr="008E5F61">
        <w:rPr>
          <w:rFonts w:ascii="Arial" w:hAnsi="Arial"/>
          <w:sz w:val="22"/>
          <w:szCs w:val="22"/>
        </w:rPr>
        <w:instrText xml:space="preserve"> SEQ Ilustración \* ARABIC </w:instrText>
      </w:r>
      <w:r w:rsidRPr="008E5F61">
        <w:rPr>
          <w:rFonts w:ascii="Arial" w:hAnsi="Arial"/>
          <w:sz w:val="22"/>
          <w:szCs w:val="22"/>
        </w:rPr>
        <w:fldChar w:fldCharType="separate"/>
      </w:r>
      <w:r w:rsidR="00D93C1E">
        <w:rPr>
          <w:rFonts w:ascii="Arial" w:hAnsi="Arial"/>
          <w:noProof/>
          <w:sz w:val="22"/>
          <w:szCs w:val="22"/>
        </w:rPr>
        <w:t>6</w:t>
      </w:r>
      <w:r w:rsidRPr="008E5F61">
        <w:rPr>
          <w:rFonts w:ascii="Arial" w:hAnsi="Arial"/>
          <w:sz w:val="22"/>
          <w:szCs w:val="22"/>
        </w:rPr>
        <w:fldChar w:fldCharType="end"/>
      </w:r>
      <w:r w:rsidRPr="008E5F61">
        <w:rPr>
          <w:rFonts w:ascii="Arial" w:hAnsi="Arial"/>
          <w:sz w:val="22"/>
          <w:szCs w:val="22"/>
        </w:rPr>
        <w:t>. Proyección de áreas aseguradas y presupuesto asociado de incentivos ($ Millones)</w:t>
      </w:r>
    </w:p>
    <w:p w14:paraId="022937E5" w14:textId="77777777" w:rsidR="003F5AEA" w:rsidRPr="008E5F61" w:rsidRDefault="003F5AEA" w:rsidP="003F5AEA">
      <w:pPr>
        <w:pStyle w:val="Ttulo3"/>
        <w:numPr>
          <w:ilvl w:val="0"/>
          <w:numId w:val="0"/>
        </w:numPr>
        <w:ind w:left="720"/>
        <w:rPr>
          <w:rFonts w:cs="Arial"/>
          <w:szCs w:val="22"/>
          <w:highlight w:val="green"/>
        </w:rPr>
      </w:pPr>
      <w:r w:rsidRPr="008E5F61">
        <w:rPr>
          <w:rFonts w:cs="Arial"/>
          <w:noProof/>
          <w:szCs w:val="22"/>
          <w:highlight w:val="green"/>
          <w:lang w:eastAsia="es-CO"/>
        </w:rPr>
        <mc:AlternateContent>
          <mc:Choice Requires="wps">
            <w:drawing>
              <wp:anchor distT="0" distB="0" distL="114300" distR="114300" simplePos="0" relativeHeight="251660288" behindDoc="0" locked="0" layoutInCell="1" allowOverlap="1" wp14:anchorId="08B87105" wp14:editId="26D4731B">
                <wp:simplePos x="0" y="0"/>
                <wp:positionH relativeFrom="column">
                  <wp:posOffset>4696460</wp:posOffset>
                </wp:positionH>
                <wp:positionV relativeFrom="paragraph">
                  <wp:posOffset>901700</wp:posOffset>
                </wp:positionV>
                <wp:extent cx="1495425" cy="390525"/>
                <wp:effectExtent l="19050" t="19050" r="28575" b="28575"/>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90525"/>
                        </a:xfrm>
                        <a:prstGeom prst="rect">
                          <a:avLst/>
                        </a:prstGeom>
                        <a:solidFill>
                          <a:srgbClr val="FFFFFF"/>
                        </a:solidFill>
                        <a:ln w="28575">
                          <a:solidFill>
                            <a:schemeClr val="accent6">
                              <a:lumMod val="75000"/>
                            </a:schemeClr>
                          </a:solidFill>
                          <a:miter lim="800000"/>
                          <a:headEnd/>
                          <a:tailEnd/>
                        </a:ln>
                      </wps:spPr>
                      <wps:txbx>
                        <w:txbxContent>
                          <w:p w14:paraId="5982B5A4" w14:textId="77777777" w:rsidR="003F5AEA" w:rsidRDefault="003F5AEA" w:rsidP="003F5AEA">
                            <w:pPr>
                              <w:spacing w:after="0"/>
                              <w:contextualSpacing/>
                              <w:rPr>
                                <w:rFonts w:asciiTheme="majorHAnsi" w:hAnsiTheme="majorHAnsi"/>
                                <w:color w:val="538135" w:themeColor="accent6" w:themeShade="BF"/>
                                <w:sz w:val="18"/>
                                <w:szCs w:val="18"/>
                              </w:rPr>
                            </w:pPr>
                            <w:r>
                              <w:rPr>
                                <w:rFonts w:asciiTheme="majorHAnsi" w:hAnsiTheme="majorHAnsi"/>
                                <w:color w:val="538135" w:themeColor="accent6" w:themeShade="BF"/>
                                <w:sz w:val="18"/>
                                <w:szCs w:val="18"/>
                              </w:rPr>
                              <w:t xml:space="preserve">549.587 hectáreas </w:t>
                            </w:r>
                          </w:p>
                          <w:p w14:paraId="067F38D6" w14:textId="77777777" w:rsidR="003F5AEA" w:rsidRDefault="003F5AEA" w:rsidP="003F5AEA">
                            <w:pPr>
                              <w:spacing w:after="0"/>
                              <w:contextualSpacing/>
                              <w:rPr>
                                <w:rFonts w:asciiTheme="majorHAnsi" w:hAnsiTheme="majorHAnsi"/>
                                <w:color w:val="538135" w:themeColor="accent6" w:themeShade="BF"/>
                                <w:sz w:val="18"/>
                                <w:szCs w:val="18"/>
                              </w:rPr>
                            </w:pPr>
                            <w:r>
                              <w:rPr>
                                <w:rFonts w:asciiTheme="majorHAnsi" w:hAnsiTheme="majorHAnsi"/>
                                <w:color w:val="538135" w:themeColor="accent6" w:themeShade="BF"/>
                                <w:sz w:val="18"/>
                                <w:szCs w:val="18"/>
                              </w:rPr>
                              <w:t>513.825 cabezas de ganado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B87105" id="_x0000_t202" coordsize="21600,21600" o:spt="202" path="m,l,21600r21600,l21600,xe">
                <v:stroke joinstyle="miter"/>
                <v:path gradientshapeok="t" o:connecttype="rect"/>
              </v:shapetype>
              <v:shape id="Cuadro de texto 2" o:spid="_x0000_s1026" type="#_x0000_t202" style="position:absolute;left:0;text-align:left;margin-left:369.8pt;margin-top:71pt;width:117.7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" strokecolor="#538135 [2409]" strokeweight="2.25pt">
                <v:textbox>
                  <w:txbxContent>
                    <w:p w14:paraId="5982B5A4" w14:textId="77777777" w:rsidR="003F5AEA" w:rsidRDefault="003F5AEA" w:rsidP="003F5AEA">
                      <w:pPr>
                        <w:spacing w:after="0"/>
                        <w:contextualSpacing/>
                        <w:rPr>
                          <w:rFonts w:asciiTheme="majorHAnsi" w:hAnsiTheme="majorHAnsi"/>
                          <w:color w:val="538135" w:themeColor="accent6" w:themeShade="BF"/>
                          <w:sz w:val="18"/>
                          <w:szCs w:val="18"/>
                        </w:rPr>
                      </w:pPr>
                      <w:r>
                        <w:rPr>
                          <w:rFonts w:asciiTheme="majorHAnsi" w:hAnsiTheme="majorHAnsi"/>
                          <w:color w:val="538135" w:themeColor="accent6" w:themeShade="BF"/>
                          <w:sz w:val="18"/>
                          <w:szCs w:val="18"/>
                        </w:rPr>
                        <w:t xml:space="preserve">549.587 hectáreas </w:t>
                      </w:r>
                    </w:p>
                    <w:p w14:paraId="067F38D6" w14:textId="77777777" w:rsidR="003F5AEA" w:rsidRDefault="003F5AEA" w:rsidP="003F5AEA">
                      <w:pPr>
                        <w:spacing w:after="0"/>
                        <w:contextualSpacing/>
                        <w:rPr>
                          <w:rFonts w:asciiTheme="majorHAnsi" w:hAnsiTheme="majorHAnsi"/>
                          <w:color w:val="538135" w:themeColor="accent6" w:themeShade="BF"/>
                          <w:sz w:val="18"/>
                          <w:szCs w:val="18"/>
                        </w:rPr>
                      </w:pPr>
                      <w:r>
                        <w:rPr>
                          <w:rFonts w:asciiTheme="majorHAnsi" w:hAnsiTheme="majorHAnsi"/>
                          <w:color w:val="538135" w:themeColor="accent6" w:themeShade="BF"/>
                          <w:sz w:val="18"/>
                          <w:szCs w:val="18"/>
                        </w:rPr>
                        <w:t>513.825 cabezas de ganado</w:t>
                      </w:r>
                    </w:p>
                  </w:txbxContent>
                </v:textbox>
              </v:shape>
            </w:pict>
          </mc:Fallback>
        </mc:AlternateContent>
      </w:r>
      <w:r w:rsidRPr="008E5F61">
        <w:rPr>
          <w:rFonts w:cs="Arial"/>
          <w:noProof/>
          <w:szCs w:val="22"/>
          <w:highlight w:val="green"/>
          <w:lang w:eastAsia="es-CO"/>
        </w:rPr>
        <mc:AlternateContent>
          <mc:Choice Requires="wps">
            <w:drawing>
              <wp:anchor distT="0" distB="0" distL="114300" distR="114300" simplePos="0" relativeHeight="251659264" behindDoc="0" locked="0" layoutInCell="1" allowOverlap="1" wp14:anchorId="3F50A5AE" wp14:editId="13F0DA02">
                <wp:simplePos x="0" y="0"/>
                <wp:positionH relativeFrom="column">
                  <wp:posOffset>4696460</wp:posOffset>
                </wp:positionH>
                <wp:positionV relativeFrom="paragraph">
                  <wp:posOffset>370205</wp:posOffset>
                </wp:positionV>
                <wp:extent cx="1495425" cy="390525"/>
                <wp:effectExtent l="19050" t="19050" r="28575" b="2857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90525"/>
                        </a:xfrm>
                        <a:prstGeom prst="rect">
                          <a:avLst/>
                        </a:prstGeom>
                        <a:solidFill>
                          <a:srgbClr val="FFFFFF"/>
                        </a:solidFill>
                        <a:ln w="28575">
                          <a:solidFill>
                            <a:srgbClr val="C00000"/>
                          </a:solidFill>
                          <a:miter lim="800000"/>
                          <a:headEnd/>
                          <a:tailEnd/>
                        </a:ln>
                      </wps:spPr>
                      <wps:txbx>
                        <w:txbxContent>
                          <w:p w14:paraId="59B41E91" w14:textId="77777777" w:rsidR="003F5AEA" w:rsidRDefault="003F5AEA" w:rsidP="003F5AEA">
                            <w:pPr>
                              <w:spacing w:after="0"/>
                              <w:contextualSpacing/>
                              <w:rPr>
                                <w:rFonts w:asciiTheme="majorHAnsi" w:hAnsiTheme="majorHAnsi"/>
                                <w:color w:val="C00000"/>
                                <w:sz w:val="18"/>
                                <w:szCs w:val="18"/>
                              </w:rPr>
                            </w:pPr>
                            <w:r>
                              <w:rPr>
                                <w:rFonts w:asciiTheme="majorHAnsi" w:hAnsiTheme="majorHAnsi"/>
                                <w:color w:val="C00000"/>
                                <w:sz w:val="18"/>
                                <w:szCs w:val="18"/>
                              </w:rPr>
                              <w:t xml:space="preserve">884.587 hectáreas </w:t>
                            </w:r>
                          </w:p>
                          <w:p w14:paraId="6E057CAF" w14:textId="77777777" w:rsidR="003F5AEA" w:rsidRDefault="003F5AEA" w:rsidP="003F5AEA">
                            <w:pPr>
                              <w:spacing w:after="0"/>
                              <w:contextualSpacing/>
                              <w:rPr>
                                <w:rFonts w:asciiTheme="majorHAnsi" w:hAnsiTheme="majorHAnsi"/>
                                <w:color w:val="C00000"/>
                                <w:sz w:val="18"/>
                                <w:szCs w:val="18"/>
                              </w:rPr>
                            </w:pPr>
                            <w:r>
                              <w:rPr>
                                <w:rFonts w:asciiTheme="majorHAnsi" w:hAnsiTheme="majorHAnsi"/>
                                <w:color w:val="C00000"/>
                                <w:sz w:val="18"/>
                                <w:szCs w:val="18"/>
                              </w:rPr>
                              <w:t>513.825 cabezas de ganado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0A5AE" id="_x0000_s1027" type="#_x0000_t202" style="position:absolute;left:0;text-align:left;margin-left:369.8pt;margin-top:29.15pt;width:117.7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" strokecolor="#c00000" strokeweight="2.25pt">
                <v:textbox>
                  <w:txbxContent>
                    <w:p w14:paraId="59B41E91" w14:textId="77777777" w:rsidR="003F5AEA" w:rsidRDefault="003F5AEA" w:rsidP="003F5AEA">
                      <w:pPr>
                        <w:spacing w:after="0"/>
                        <w:contextualSpacing/>
                        <w:rPr>
                          <w:rFonts w:asciiTheme="majorHAnsi" w:hAnsiTheme="majorHAnsi"/>
                          <w:color w:val="C00000"/>
                          <w:sz w:val="18"/>
                          <w:szCs w:val="18"/>
                        </w:rPr>
                      </w:pPr>
                      <w:r>
                        <w:rPr>
                          <w:rFonts w:asciiTheme="majorHAnsi" w:hAnsiTheme="majorHAnsi"/>
                          <w:color w:val="C00000"/>
                          <w:sz w:val="18"/>
                          <w:szCs w:val="18"/>
                        </w:rPr>
                        <w:t xml:space="preserve">884.587 hectáreas </w:t>
                      </w:r>
                    </w:p>
                    <w:p w14:paraId="6E057CAF" w14:textId="77777777" w:rsidR="003F5AEA" w:rsidRDefault="003F5AEA" w:rsidP="003F5AEA">
                      <w:pPr>
                        <w:spacing w:after="0"/>
                        <w:contextualSpacing/>
                        <w:rPr>
                          <w:rFonts w:asciiTheme="majorHAnsi" w:hAnsiTheme="majorHAnsi"/>
                          <w:color w:val="C00000"/>
                          <w:sz w:val="18"/>
                          <w:szCs w:val="18"/>
                        </w:rPr>
                      </w:pPr>
                      <w:r>
                        <w:rPr>
                          <w:rFonts w:asciiTheme="majorHAnsi" w:hAnsiTheme="majorHAnsi"/>
                          <w:color w:val="C00000"/>
                          <w:sz w:val="18"/>
                          <w:szCs w:val="18"/>
                        </w:rPr>
                        <w:t>513.825 cabezas de ganado</w:t>
                      </w:r>
                    </w:p>
                  </w:txbxContent>
                </v:textbox>
              </v:shape>
            </w:pict>
          </mc:Fallback>
        </mc:AlternateContent>
      </w:r>
      <w:r w:rsidRPr="008E5F61">
        <w:rPr>
          <w:rFonts w:cs="Arial"/>
          <w:noProof/>
          <w:szCs w:val="22"/>
          <w:highlight w:val="green"/>
          <w:lang w:eastAsia="es-CO"/>
        </w:rPr>
        <mc:AlternateContent>
          <mc:Choice Requires="wps">
            <w:drawing>
              <wp:anchor distT="0" distB="0" distL="114300" distR="114300" simplePos="0" relativeHeight="251661312" behindDoc="0" locked="0" layoutInCell="1" allowOverlap="1" wp14:anchorId="19E83161" wp14:editId="7BBB27FB">
                <wp:simplePos x="0" y="0"/>
                <wp:positionH relativeFrom="column">
                  <wp:posOffset>4704080</wp:posOffset>
                </wp:positionH>
                <wp:positionV relativeFrom="paragraph">
                  <wp:posOffset>1499870</wp:posOffset>
                </wp:positionV>
                <wp:extent cx="1495425" cy="390525"/>
                <wp:effectExtent l="19050" t="19050" r="28575" b="28575"/>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90525"/>
                        </a:xfrm>
                        <a:prstGeom prst="rect">
                          <a:avLst/>
                        </a:prstGeom>
                        <a:solidFill>
                          <a:srgbClr val="FFFFFF"/>
                        </a:solidFill>
                        <a:ln w="28575">
                          <a:solidFill>
                            <a:srgbClr val="7030A0"/>
                          </a:solidFill>
                          <a:miter lim="800000"/>
                          <a:headEnd/>
                          <a:tailEnd/>
                        </a:ln>
                      </wps:spPr>
                      <wps:txbx>
                        <w:txbxContent>
                          <w:p w14:paraId="638D47DF" w14:textId="77777777" w:rsidR="003F5AEA" w:rsidRPr="007855F0" w:rsidRDefault="003F5AEA" w:rsidP="003F5AEA">
                            <w:pPr>
                              <w:spacing w:after="0"/>
                              <w:contextualSpacing/>
                              <w:rPr>
                                <w:rFonts w:asciiTheme="majorHAnsi" w:hAnsiTheme="majorHAnsi"/>
                                <w:color w:val="7030A0"/>
                                <w:sz w:val="18"/>
                                <w:szCs w:val="18"/>
                              </w:rPr>
                            </w:pPr>
                            <w:r w:rsidRPr="007855F0">
                              <w:rPr>
                                <w:rFonts w:asciiTheme="majorHAnsi" w:hAnsiTheme="majorHAnsi"/>
                                <w:color w:val="7030A0"/>
                                <w:sz w:val="18"/>
                                <w:szCs w:val="18"/>
                              </w:rPr>
                              <w:t xml:space="preserve">254.587 hectáreas </w:t>
                            </w:r>
                          </w:p>
                          <w:p w14:paraId="3E0B316B" w14:textId="77777777" w:rsidR="003F5AEA" w:rsidRPr="007855F0" w:rsidRDefault="003F5AEA" w:rsidP="003F5AEA">
                            <w:pPr>
                              <w:spacing w:after="0"/>
                              <w:contextualSpacing/>
                              <w:rPr>
                                <w:rFonts w:asciiTheme="majorHAnsi" w:hAnsiTheme="majorHAnsi"/>
                                <w:color w:val="7030A0"/>
                                <w:sz w:val="18"/>
                                <w:szCs w:val="18"/>
                              </w:rPr>
                            </w:pPr>
                            <w:r w:rsidRPr="007855F0">
                              <w:rPr>
                                <w:rFonts w:asciiTheme="majorHAnsi" w:hAnsiTheme="majorHAnsi"/>
                                <w:color w:val="7030A0"/>
                                <w:sz w:val="18"/>
                                <w:szCs w:val="18"/>
                              </w:rPr>
                              <w:t>513.825 cabezas de ganado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83161" id="_x0000_s1028" type="#_x0000_t202" style="position:absolute;left:0;text-align:left;margin-left:370.4pt;margin-top:118.1pt;width:117.75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" strokecolor="#7030a0" strokeweight="2.25pt">
                <v:textbox>
                  <w:txbxContent>
                    <w:p w14:paraId="638D47DF" w14:textId="77777777" w:rsidR="003F5AEA" w:rsidRPr="007855F0" w:rsidRDefault="003F5AEA" w:rsidP="003F5AEA">
                      <w:pPr>
                        <w:spacing w:after="0"/>
                        <w:contextualSpacing/>
                        <w:rPr>
                          <w:rFonts w:asciiTheme="majorHAnsi" w:hAnsiTheme="majorHAnsi"/>
                          <w:color w:val="7030A0"/>
                          <w:sz w:val="18"/>
                          <w:szCs w:val="18"/>
                        </w:rPr>
                      </w:pPr>
                      <w:r w:rsidRPr="007855F0">
                        <w:rPr>
                          <w:rFonts w:asciiTheme="majorHAnsi" w:hAnsiTheme="majorHAnsi"/>
                          <w:color w:val="7030A0"/>
                          <w:sz w:val="18"/>
                          <w:szCs w:val="18"/>
                        </w:rPr>
                        <w:t xml:space="preserve">254.587 hectáreas </w:t>
                      </w:r>
                    </w:p>
                    <w:p w14:paraId="3E0B316B" w14:textId="77777777" w:rsidR="003F5AEA" w:rsidRPr="007855F0" w:rsidRDefault="003F5AEA" w:rsidP="003F5AEA">
                      <w:pPr>
                        <w:spacing w:after="0"/>
                        <w:contextualSpacing/>
                        <w:rPr>
                          <w:rFonts w:asciiTheme="majorHAnsi" w:hAnsiTheme="majorHAnsi"/>
                          <w:color w:val="7030A0"/>
                          <w:sz w:val="18"/>
                          <w:szCs w:val="18"/>
                        </w:rPr>
                      </w:pPr>
                      <w:r w:rsidRPr="007855F0">
                        <w:rPr>
                          <w:rFonts w:asciiTheme="majorHAnsi" w:hAnsiTheme="majorHAnsi"/>
                          <w:color w:val="7030A0"/>
                          <w:sz w:val="18"/>
                          <w:szCs w:val="18"/>
                        </w:rPr>
                        <w:t>513.825 cabezas de ganado</w:t>
                      </w:r>
                    </w:p>
                  </w:txbxContent>
                </v:textbox>
              </v:shape>
            </w:pict>
          </mc:Fallback>
        </mc:AlternateContent>
      </w:r>
      <w:r w:rsidRPr="008E5F61">
        <w:rPr>
          <w:rFonts w:cs="Arial"/>
          <w:noProof/>
          <w:szCs w:val="22"/>
          <w:lang w:eastAsia="es-CO"/>
        </w:rPr>
        <w:drawing>
          <wp:inline distT="0" distB="0" distL="0" distR="0" wp14:anchorId="55F9CEE7" wp14:editId="6B836462">
            <wp:extent cx="4762500" cy="2468880"/>
            <wp:effectExtent l="0" t="0" r="0" b="762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251ED50" w14:textId="6188B067" w:rsidR="003F5AEA" w:rsidRDefault="003F5AEA" w:rsidP="003F5AEA">
      <w:pPr>
        <w:jc w:val="both"/>
        <w:rPr>
          <w:rFonts w:cs="Arial"/>
        </w:rPr>
      </w:pPr>
      <w:r>
        <w:rPr>
          <w:rFonts w:cs="Arial"/>
        </w:rPr>
        <w:t>Pese a lo anterior, dad</w:t>
      </w:r>
      <w:r w:rsidR="002813A1">
        <w:rPr>
          <w:rFonts w:cs="Arial"/>
        </w:rPr>
        <w:t>a</w:t>
      </w:r>
      <w:r>
        <w:rPr>
          <w:rFonts w:cs="Arial"/>
        </w:rPr>
        <w:t xml:space="preserve"> la restricción presupuestal del Gobierno Nacional, el presupuesto que se estableció para la vigencia 2017 fue de 4,040 millones de pesos para la aplicación de subsidio a la prima. Este presupuesto se basó en el presupuesto asignado por parte del Ministerio de Agricultura y Desarrollo Rural, el cual era de cinco mil millones de pesos</w:t>
      </w:r>
      <w:r>
        <w:rPr>
          <w:rStyle w:val="Refdenotaalpie"/>
          <w:rFonts w:cs="Arial"/>
        </w:rPr>
        <w:footnoteReference w:id="3"/>
      </w:r>
      <w:r>
        <w:rPr>
          <w:rFonts w:cs="Arial"/>
        </w:rPr>
        <w:t>, sin embargo, el anterior generó una señal de alta incertidumbre al mercado. Al igual que en el resto de la región, el seguro agropecuario es altamente subsidiado</w:t>
      </w:r>
      <w:r>
        <w:rPr>
          <w:rStyle w:val="Refdenotaalpie"/>
          <w:rFonts w:cs="Arial"/>
        </w:rPr>
        <w:footnoteReference w:id="4"/>
      </w:r>
      <w:r>
        <w:rPr>
          <w:rFonts w:cs="Arial"/>
        </w:rPr>
        <w:t>, siendo esto fundamental en un mercado que es naciente en el país, debido a los altos costos asociados tanto por los riesgos como por el personal especializado que es necesario por parte de las aseguradoras, lo cual sumado a las asimetrías de información, genera que el costo del instrumento sea muy elevado para el productor, lo cual también dificulta la posibilidad de tener una masa crítica que permita evitar los riesgos de selección.</w:t>
      </w:r>
    </w:p>
    <w:p w14:paraId="1C09D47C" w14:textId="77777777" w:rsidR="003F5AEA" w:rsidRPr="008E5F61" w:rsidRDefault="003F5AEA" w:rsidP="003F5AEA">
      <w:pPr>
        <w:jc w:val="both"/>
        <w:rPr>
          <w:rFonts w:cs="Arial"/>
        </w:rPr>
      </w:pPr>
      <w:r>
        <w:rPr>
          <w:rFonts w:cs="Arial"/>
        </w:rPr>
        <w:t xml:space="preserve">Para evitar que se pierdan los avances logrados en los últimos años en materia de aseguramiento y para lograr que los instrumentos que se están diseñando puedan </w:t>
      </w:r>
      <w:r>
        <w:rPr>
          <w:rFonts w:cs="Arial"/>
        </w:rPr>
        <w:lastRenderedPageBreak/>
        <w:t>entrar en funcionamiento, es necesario contar con recursos suficientes que permitan estabilizar la oferta del instrumento. En este punto es necesario recalcar que el aseguramiento al sector agropecuario es naciente desde el lado de la oferta, motivo por el cual, en caso de no contarse con recursos suficientes para mantener la demanda creciente, es un ramo de la actividad que puede desaparecer, con lo cual se perderían los avances alcanzados a la fecha.</w:t>
      </w:r>
    </w:p>
    <w:p w14:paraId="402948EC" w14:textId="77777777" w:rsidR="003F5AEA" w:rsidRDefault="003F5AEA" w:rsidP="003F5AEA">
      <w:pPr>
        <w:pStyle w:val="Prrafodelista"/>
        <w:numPr>
          <w:ilvl w:val="0"/>
          <w:numId w:val="40"/>
        </w:numPr>
        <w:spacing w:before="0" w:after="160" w:line="259" w:lineRule="auto"/>
        <w:contextualSpacing/>
        <w:jc w:val="both"/>
        <w:rPr>
          <w:rFonts w:cs="Arial"/>
          <w:b/>
        </w:rPr>
      </w:pPr>
      <w:r w:rsidRPr="008E5F61">
        <w:rPr>
          <w:rFonts w:cs="Arial"/>
          <w:b/>
        </w:rPr>
        <w:t>Propuesta</w:t>
      </w:r>
    </w:p>
    <w:p w14:paraId="0ADF5A8F" w14:textId="77777777" w:rsidR="003F5AEA" w:rsidRDefault="003F5AEA" w:rsidP="003F5AEA">
      <w:pPr>
        <w:jc w:val="both"/>
        <w:rPr>
          <w:rFonts w:cs="Arial"/>
          <w:b/>
        </w:rPr>
      </w:pPr>
    </w:p>
    <w:p w14:paraId="35A1C4BD" w14:textId="1FE74856" w:rsidR="003F5AEA" w:rsidRPr="00437E1E" w:rsidRDefault="003F5AEA" w:rsidP="003F5AEA">
      <w:pPr>
        <w:jc w:val="both"/>
        <w:rPr>
          <w:rFonts w:cs="Arial"/>
        </w:rPr>
      </w:pPr>
      <w:r>
        <w:rPr>
          <w:rFonts w:cs="Arial"/>
        </w:rPr>
        <w:t>C</w:t>
      </w:r>
      <w:r w:rsidRPr="00437E1E">
        <w:rPr>
          <w:rFonts w:cs="Arial"/>
        </w:rPr>
        <w:t>omo se observó en la justificación técnica de la Resolución 3 de 2017, existe una demanda estimada de recursos para la vi</w:t>
      </w:r>
      <w:r>
        <w:rPr>
          <w:rFonts w:cs="Arial"/>
        </w:rPr>
        <w:t xml:space="preserve">gencia de 2017 que excedía los </w:t>
      </w:r>
      <w:r w:rsidRPr="00437E1E">
        <w:rPr>
          <w:rFonts w:cs="Arial"/>
        </w:rPr>
        <w:t>116 mil millones</w:t>
      </w:r>
      <w:r>
        <w:rPr>
          <w:rFonts w:cs="Arial"/>
        </w:rPr>
        <w:t xml:space="preserve"> de pesos</w:t>
      </w:r>
      <w:r w:rsidRPr="00437E1E">
        <w:rPr>
          <w:rFonts w:cs="Arial"/>
        </w:rPr>
        <w:t>, pero dadas las restricciones fiscales</w:t>
      </w:r>
      <w:r>
        <w:rPr>
          <w:rFonts w:cs="Arial"/>
        </w:rPr>
        <w:t xml:space="preserve"> del Gobierno Nacional,</w:t>
      </w:r>
      <w:r w:rsidRPr="00437E1E">
        <w:rPr>
          <w:rFonts w:cs="Arial"/>
        </w:rPr>
        <w:t xml:space="preserve"> la CNCA aprobó el Plan Anual de Gestión de Riesgos Agropecuarios para esta vigencia </w:t>
      </w:r>
      <w:r>
        <w:rPr>
          <w:rFonts w:cs="Arial"/>
        </w:rPr>
        <w:t>por solo 5,</w:t>
      </w:r>
      <w:r w:rsidRPr="00437E1E">
        <w:rPr>
          <w:rFonts w:cs="Arial"/>
        </w:rPr>
        <w:t>000 millones</w:t>
      </w:r>
      <w:r>
        <w:rPr>
          <w:rFonts w:cs="Arial"/>
        </w:rPr>
        <w:t xml:space="preserve"> de pesos</w:t>
      </w:r>
      <w:r w:rsidRPr="00437E1E">
        <w:rPr>
          <w:rFonts w:cs="Arial"/>
        </w:rPr>
        <w:t>,</w:t>
      </w:r>
      <w:r>
        <w:rPr>
          <w:rFonts w:cs="Arial"/>
        </w:rPr>
        <w:t xml:space="preserve"> de los cuales 4,040 </w:t>
      </w:r>
      <w:r w:rsidR="002813A1">
        <w:rPr>
          <w:rFonts w:cs="Arial"/>
        </w:rPr>
        <w:t xml:space="preserve">millones </w:t>
      </w:r>
      <w:r>
        <w:rPr>
          <w:rFonts w:cs="Arial"/>
        </w:rPr>
        <w:t>de pesos se destinaron a</w:t>
      </w:r>
      <w:r w:rsidR="002813A1">
        <w:rPr>
          <w:rFonts w:cs="Arial"/>
        </w:rPr>
        <w:t>l</w:t>
      </w:r>
      <w:r>
        <w:rPr>
          <w:rFonts w:cs="Arial"/>
        </w:rPr>
        <w:t xml:space="preserve"> pago de incentivo al seguro agropecuario, motivo por el cual se propone que se adicionen lo</w:t>
      </w:r>
      <w:r w:rsidRPr="00437E1E">
        <w:rPr>
          <w:rFonts w:cs="Arial"/>
        </w:rPr>
        <w:t>s siguientes recursos:</w:t>
      </w:r>
    </w:p>
    <w:p w14:paraId="1A05679F" w14:textId="77777777" w:rsidR="003F5AEA" w:rsidRPr="00DE0732" w:rsidRDefault="003F5AEA" w:rsidP="003F5AEA">
      <w:pPr>
        <w:pStyle w:val="Prrafodelista"/>
        <w:numPr>
          <w:ilvl w:val="0"/>
          <w:numId w:val="42"/>
        </w:numPr>
        <w:spacing w:before="0" w:after="160" w:line="259" w:lineRule="auto"/>
        <w:contextualSpacing/>
        <w:jc w:val="both"/>
        <w:rPr>
          <w:rFonts w:cs="Arial"/>
        </w:rPr>
      </w:pPr>
      <w:r w:rsidRPr="00DE0732">
        <w:rPr>
          <w:rFonts w:cs="Arial"/>
        </w:rPr>
        <w:t>Debido a su naturaleza de Fondo-</w:t>
      </w:r>
      <w:bookmarkStart w:id="5" w:name="_GoBack"/>
      <w:bookmarkEnd w:id="5"/>
      <w:r w:rsidRPr="00DE0732">
        <w:rPr>
          <w:rFonts w:cs="Arial"/>
        </w:rPr>
        <w:t>Cuenta, el Fondo Nacional de Riesgos agropecuarios cuenta con 10 mil millones de pesos disponibles, los cuales se pueden adicionar al presupuesto actual. Cabe destacar que estos recursos no se tomaron en cuenta en el Plan Anual de Gestión de Riesgos del 2017 porque se desconocía si este presupuesto sería requerido para cubrir los incentivos a prima de los seguros que se emitieron en el último trimestre del año 2016.</w:t>
      </w:r>
    </w:p>
    <w:p w14:paraId="5C64F3E2" w14:textId="77777777" w:rsidR="003F5AEA" w:rsidRPr="00DE0732" w:rsidRDefault="003F5AEA" w:rsidP="003F5AEA">
      <w:pPr>
        <w:pStyle w:val="Prrafodelista"/>
        <w:numPr>
          <w:ilvl w:val="0"/>
          <w:numId w:val="42"/>
        </w:numPr>
        <w:spacing w:before="0" w:after="160" w:line="259" w:lineRule="auto"/>
        <w:contextualSpacing/>
        <w:jc w:val="both"/>
        <w:rPr>
          <w:rFonts w:cs="Arial"/>
        </w:rPr>
      </w:pPr>
      <w:r w:rsidRPr="00DE0732">
        <w:rPr>
          <w:rFonts w:cs="Arial"/>
        </w:rPr>
        <w:t>El MADR manifestó que existen ya $20.000.000.000 adicionales para el Programa de Gestión de Riesgos, producto de un traslado presupuestal realizado ante el Departamento Nacional de Planeación – DNP y ante el Ministerio de Hacienda y Crédito Público – MHCP.</w:t>
      </w:r>
    </w:p>
    <w:p w14:paraId="27ED1CFD" w14:textId="6D0E4ED3" w:rsidR="003F5AEA" w:rsidRPr="00DE0732" w:rsidRDefault="003F5AEA" w:rsidP="003F5AEA">
      <w:pPr>
        <w:pStyle w:val="Prrafodelista"/>
        <w:numPr>
          <w:ilvl w:val="0"/>
          <w:numId w:val="42"/>
        </w:numPr>
        <w:spacing w:before="0" w:after="160" w:line="259" w:lineRule="auto"/>
        <w:contextualSpacing/>
        <w:jc w:val="both"/>
        <w:rPr>
          <w:rFonts w:cs="Arial"/>
        </w:rPr>
      </w:pPr>
      <w:r w:rsidRPr="00DE0732">
        <w:rPr>
          <w:rFonts w:cs="Arial"/>
        </w:rPr>
        <w:t>Se espera una adición al Presupuesto General de la Nación de recursos provenientes de la reforma tributaria aprobada en diciembre de 2016, que implica recursos adicionales para el Programa del Seguro Agropecuario para la vi</w:t>
      </w:r>
      <w:r w:rsidR="00247161">
        <w:rPr>
          <w:rFonts w:cs="Arial"/>
        </w:rPr>
        <w:t>gencia 2017 por $30.000.000.000</w:t>
      </w:r>
      <w:r w:rsidRPr="00247161">
        <w:rPr>
          <w:rFonts w:cs="Arial"/>
        </w:rPr>
        <w:t>.</w:t>
      </w:r>
    </w:p>
    <w:p w14:paraId="4E7DE15D" w14:textId="77777777" w:rsidR="003F5AEA" w:rsidRPr="00437E1E" w:rsidRDefault="003F5AEA" w:rsidP="003F5AEA">
      <w:pPr>
        <w:jc w:val="both"/>
        <w:rPr>
          <w:rFonts w:cs="Arial"/>
        </w:rPr>
      </w:pPr>
    </w:p>
    <w:p w14:paraId="4E3B8340" w14:textId="7454916A" w:rsidR="003F5AEA" w:rsidRPr="00437E1E" w:rsidRDefault="003F5AEA" w:rsidP="003F5AEA">
      <w:pPr>
        <w:jc w:val="both"/>
        <w:rPr>
          <w:rFonts w:cs="Arial"/>
        </w:rPr>
      </w:pPr>
      <w:r w:rsidRPr="00437E1E">
        <w:rPr>
          <w:rFonts w:cs="Arial"/>
        </w:rPr>
        <w:t>El valor efectivo de los recursos adicionales de los numerales b y c, deberá ser informado y respaldado por el Ministerio de Agricultura y Desarrollo Rural para que la CNCA pueda tomar la decisión fin</w:t>
      </w:r>
      <w:r>
        <w:rPr>
          <w:rFonts w:cs="Arial"/>
        </w:rPr>
        <w:t>al de los recursos totales del P</w:t>
      </w:r>
      <w:r w:rsidRPr="00437E1E">
        <w:rPr>
          <w:rFonts w:cs="Arial"/>
        </w:rPr>
        <w:t>lan Anual de Gestión de Riesgos Agropecuarios. Por otra parte, es importante anotar que a la fecha, el MADR no ha transferido los $5 mil millones de pesos ya definidos en la CNCA del pasado 6 de diciembre para el Plan Anual de Gestión de Riesgos Agropecuarios 2017. Esto significa que el valor del presupuesto total sería:</w:t>
      </w:r>
    </w:p>
    <w:p w14:paraId="5C271F9D" w14:textId="0FCD0FA0" w:rsidR="003F5AEA" w:rsidRDefault="003F5AEA" w:rsidP="003F5AEA">
      <w:pPr>
        <w:jc w:val="both"/>
        <w:rPr>
          <w:rFonts w:cs="Arial"/>
        </w:rPr>
      </w:pPr>
    </w:p>
    <w:p w14:paraId="48DD3608" w14:textId="77777777" w:rsidR="00247161" w:rsidRDefault="00247161" w:rsidP="003F5AEA">
      <w:pPr>
        <w:jc w:val="both"/>
        <w:rPr>
          <w:rFonts w:cs="Arial"/>
        </w:rPr>
      </w:pPr>
    </w:p>
    <w:tbl>
      <w:tblPr>
        <w:tblStyle w:val="Tablaconcuadrcula"/>
        <w:tblW w:w="0" w:type="auto"/>
        <w:jc w:val="center"/>
        <w:tblLook w:val="04A0" w:firstRow="1" w:lastRow="0" w:firstColumn="1" w:lastColumn="0" w:noHBand="0" w:noVBand="1"/>
      </w:tblPr>
      <w:tblGrid>
        <w:gridCol w:w="4415"/>
        <w:gridCol w:w="1570"/>
      </w:tblGrid>
      <w:tr w:rsidR="003F5AEA" w14:paraId="681B5456" w14:textId="77777777" w:rsidTr="00EC75D2">
        <w:trPr>
          <w:jc w:val="center"/>
        </w:trPr>
        <w:tc>
          <w:tcPr>
            <w:tcW w:w="4415" w:type="dxa"/>
            <w:vAlign w:val="center"/>
          </w:tcPr>
          <w:p w14:paraId="63F4C36B" w14:textId="77777777" w:rsidR="003F5AEA" w:rsidRPr="00837094" w:rsidRDefault="003F5AEA" w:rsidP="00EC75D2">
            <w:pPr>
              <w:jc w:val="center"/>
              <w:rPr>
                <w:rFonts w:eastAsiaTheme="minorHAnsi" w:cs="Arial"/>
                <w:b/>
                <w:sz w:val="22"/>
                <w:szCs w:val="22"/>
                <w:lang w:eastAsia="en-US"/>
              </w:rPr>
            </w:pPr>
            <w:r w:rsidRPr="00837094">
              <w:rPr>
                <w:rFonts w:eastAsiaTheme="minorHAnsi" w:cs="Arial"/>
                <w:b/>
                <w:sz w:val="22"/>
                <w:szCs w:val="22"/>
                <w:lang w:eastAsia="en-US"/>
              </w:rPr>
              <w:lastRenderedPageBreak/>
              <w:t>Fuente</w:t>
            </w:r>
          </w:p>
        </w:tc>
        <w:tc>
          <w:tcPr>
            <w:tcW w:w="1570" w:type="dxa"/>
            <w:vAlign w:val="center"/>
          </w:tcPr>
          <w:p w14:paraId="3FF9C39A" w14:textId="77777777" w:rsidR="003F5AEA" w:rsidRPr="00837094" w:rsidRDefault="003F5AEA" w:rsidP="00EC75D2">
            <w:pPr>
              <w:jc w:val="center"/>
              <w:rPr>
                <w:rFonts w:eastAsiaTheme="minorHAnsi" w:cs="Arial"/>
                <w:b/>
                <w:sz w:val="22"/>
                <w:szCs w:val="22"/>
                <w:lang w:eastAsia="en-US"/>
              </w:rPr>
            </w:pPr>
            <w:r w:rsidRPr="00837094">
              <w:rPr>
                <w:rFonts w:eastAsiaTheme="minorHAnsi" w:cs="Arial"/>
                <w:b/>
                <w:sz w:val="22"/>
                <w:szCs w:val="22"/>
                <w:lang w:eastAsia="en-US"/>
              </w:rPr>
              <w:t>Presupuesto</w:t>
            </w:r>
          </w:p>
          <w:p w14:paraId="6BD1BBB7" w14:textId="77777777" w:rsidR="003F5AEA" w:rsidRPr="00837094" w:rsidRDefault="003F5AEA" w:rsidP="00EC75D2">
            <w:pPr>
              <w:jc w:val="center"/>
              <w:rPr>
                <w:rFonts w:eastAsiaTheme="minorHAnsi" w:cs="Arial"/>
                <w:b/>
                <w:sz w:val="22"/>
                <w:szCs w:val="22"/>
                <w:lang w:eastAsia="en-US"/>
              </w:rPr>
            </w:pPr>
            <w:r w:rsidRPr="00837094">
              <w:rPr>
                <w:rFonts w:eastAsiaTheme="minorHAnsi" w:cs="Arial"/>
                <w:b/>
                <w:sz w:val="22"/>
                <w:szCs w:val="22"/>
                <w:lang w:eastAsia="en-US"/>
              </w:rPr>
              <w:t>($ Millones)</w:t>
            </w:r>
          </w:p>
        </w:tc>
      </w:tr>
      <w:tr w:rsidR="003F5AEA" w14:paraId="2EA3740A" w14:textId="77777777" w:rsidTr="00EC75D2">
        <w:trPr>
          <w:jc w:val="center"/>
        </w:trPr>
        <w:tc>
          <w:tcPr>
            <w:tcW w:w="4415" w:type="dxa"/>
            <w:vAlign w:val="center"/>
          </w:tcPr>
          <w:p w14:paraId="7B7F66FE" w14:textId="77777777" w:rsidR="003F5AEA" w:rsidRPr="00837094" w:rsidRDefault="003F5AEA" w:rsidP="003F5AEA">
            <w:pPr>
              <w:pStyle w:val="Prrafodelista"/>
              <w:numPr>
                <w:ilvl w:val="0"/>
                <w:numId w:val="38"/>
              </w:numPr>
              <w:spacing w:before="0" w:after="0"/>
              <w:jc w:val="both"/>
              <w:rPr>
                <w:rFonts w:eastAsiaTheme="minorHAnsi" w:cs="Arial"/>
                <w:sz w:val="22"/>
                <w:szCs w:val="22"/>
                <w:lang w:eastAsia="en-US"/>
              </w:rPr>
            </w:pPr>
            <w:r w:rsidRPr="00837094">
              <w:rPr>
                <w:rFonts w:eastAsiaTheme="minorHAnsi" w:cs="Arial"/>
                <w:sz w:val="22"/>
                <w:szCs w:val="22"/>
                <w:lang w:eastAsia="en-US"/>
              </w:rPr>
              <w:t>CNCA del 6 de diciembre de 2016</w:t>
            </w:r>
          </w:p>
        </w:tc>
        <w:tc>
          <w:tcPr>
            <w:tcW w:w="1570" w:type="dxa"/>
            <w:vAlign w:val="center"/>
          </w:tcPr>
          <w:p w14:paraId="619F12DC" w14:textId="77777777" w:rsidR="003F5AEA" w:rsidRPr="00837094" w:rsidRDefault="003F5AEA" w:rsidP="00EC75D2">
            <w:pPr>
              <w:jc w:val="center"/>
              <w:rPr>
                <w:rFonts w:eastAsiaTheme="minorHAnsi" w:cs="Arial"/>
                <w:sz w:val="22"/>
                <w:szCs w:val="22"/>
                <w:lang w:eastAsia="en-US"/>
              </w:rPr>
            </w:pPr>
            <w:r w:rsidRPr="00837094">
              <w:rPr>
                <w:rFonts w:eastAsiaTheme="minorHAnsi" w:cs="Arial"/>
                <w:sz w:val="22"/>
                <w:szCs w:val="22"/>
                <w:lang w:eastAsia="en-US"/>
              </w:rPr>
              <w:t>$5.000</w:t>
            </w:r>
          </w:p>
        </w:tc>
      </w:tr>
      <w:tr w:rsidR="003F5AEA" w14:paraId="515CE01B" w14:textId="77777777" w:rsidTr="00EC75D2">
        <w:trPr>
          <w:jc w:val="center"/>
        </w:trPr>
        <w:tc>
          <w:tcPr>
            <w:tcW w:w="4415" w:type="dxa"/>
            <w:vAlign w:val="center"/>
          </w:tcPr>
          <w:p w14:paraId="4FA76F9C" w14:textId="77777777" w:rsidR="003F5AEA" w:rsidRPr="00837094" w:rsidRDefault="003F5AEA" w:rsidP="003F5AEA">
            <w:pPr>
              <w:pStyle w:val="Prrafodelista"/>
              <w:numPr>
                <w:ilvl w:val="0"/>
                <w:numId w:val="38"/>
              </w:numPr>
              <w:spacing w:before="0" w:after="0"/>
              <w:jc w:val="both"/>
              <w:rPr>
                <w:rFonts w:eastAsiaTheme="minorHAnsi" w:cs="Arial"/>
                <w:sz w:val="22"/>
                <w:szCs w:val="22"/>
                <w:lang w:eastAsia="en-US"/>
              </w:rPr>
            </w:pPr>
            <w:r w:rsidRPr="00837094">
              <w:rPr>
                <w:rFonts w:eastAsiaTheme="minorHAnsi" w:cs="Arial"/>
                <w:sz w:val="22"/>
                <w:szCs w:val="22"/>
                <w:lang w:eastAsia="en-US"/>
              </w:rPr>
              <w:t>Adición vía Traslado Presupuestal</w:t>
            </w:r>
          </w:p>
        </w:tc>
        <w:tc>
          <w:tcPr>
            <w:tcW w:w="1570" w:type="dxa"/>
            <w:vAlign w:val="center"/>
          </w:tcPr>
          <w:p w14:paraId="6571948D" w14:textId="77777777" w:rsidR="003F5AEA" w:rsidRPr="00837094" w:rsidRDefault="003F5AEA" w:rsidP="00EC75D2">
            <w:pPr>
              <w:jc w:val="center"/>
              <w:rPr>
                <w:rFonts w:eastAsiaTheme="minorHAnsi" w:cs="Arial"/>
                <w:sz w:val="22"/>
                <w:szCs w:val="22"/>
                <w:lang w:eastAsia="en-US"/>
              </w:rPr>
            </w:pPr>
            <w:r w:rsidRPr="00837094">
              <w:rPr>
                <w:rFonts w:eastAsiaTheme="minorHAnsi" w:cs="Arial"/>
                <w:sz w:val="22"/>
                <w:szCs w:val="22"/>
                <w:lang w:eastAsia="en-US"/>
              </w:rPr>
              <w:t>$20.000</w:t>
            </w:r>
          </w:p>
        </w:tc>
      </w:tr>
      <w:tr w:rsidR="003F5AEA" w14:paraId="4AE7A055" w14:textId="77777777" w:rsidTr="00EC75D2">
        <w:trPr>
          <w:jc w:val="center"/>
        </w:trPr>
        <w:tc>
          <w:tcPr>
            <w:tcW w:w="4415" w:type="dxa"/>
            <w:vAlign w:val="center"/>
          </w:tcPr>
          <w:p w14:paraId="730E4173" w14:textId="77777777" w:rsidR="003F5AEA" w:rsidRPr="00837094" w:rsidRDefault="003F5AEA" w:rsidP="003F5AEA">
            <w:pPr>
              <w:pStyle w:val="Prrafodelista"/>
              <w:numPr>
                <w:ilvl w:val="0"/>
                <w:numId w:val="38"/>
              </w:numPr>
              <w:spacing w:before="0" w:after="0"/>
              <w:jc w:val="both"/>
              <w:rPr>
                <w:rFonts w:eastAsiaTheme="minorHAnsi" w:cs="Arial"/>
                <w:sz w:val="22"/>
                <w:szCs w:val="22"/>
                <w:lang w:eastAsia="en-US"/>
              </w:rPr>
            </w:pPr>
            <w:r w:rsidRPr="00837094">
              <w:rPr>
                <w:rFonts w:eastAsiaTheme="minorHAnsi" w:cs="Arial"/>
                <w:sz w:val="22"/>
                <w:szCs w:val="22"/>
                <w:lang w:eastAsia="en-US"/>
              </w:rPr>
              <w:t>Adición vía Presupuesto General de la Nación</w:t>
            </w:r>
          </w:p>
        </w:tc>
        <w:tc>
          <w:tcPr>
            <w:tcW w:w="1570" w:type="dxa"/>
            <w:vAlign w:val="center"/>
          </w:tcPr>
          <w:p w14:paraId="04F1CA39" w14:textId="77777777" w:rsidR="003F5AEA" w:rsidRPr="00837094" w:rsidRDefault="003F5AEA" w:rsidP="00EC75D2">
            <w:pPr>
              <w:jc w:val="center"/>
              <w:rPr>
                <w:rFonts w:eastAsiaTheme="minorHAnsi" w:cs="Arial"/>
                <w:sz w:val="22"/>
                <w:szCs w:val="22"/>
                <w:lang w:eastAsia="en-US"/>
              </w:rPr>
            </w:pPr>
            <w:r w:rsidRPr="00837094">
              <w:rPr>
                <w:rFonts w:eastAsiaTheme="minorHAnsi" w:cs="Arial"/>
                <w:sz w:val="22"/>
                <w:szCs w:val="22"/>
                <w:lang w:eastAsia="en-US"/>
              </w:rPr>
              <w:t>$30.000</w:t>
            </w:r>
          </w:p>
        </w:tc>
      </w:tr>
      <w:tr w:rsidR="003F5AEA" w14:paraId="032DB4ED" w14:textId="77777777" w:rsidTr="00EC75D2">
        <w:trPr>
          <w:jc w:val="center"/>
        </w:trPr>
        <w:tc>
          <w:tcPr>
            <w:tcW w:w="4415" w:type="dxa"/>
            <w:vAlign w:val="center"/>
          </w:tcPr>
          <w:p w14:paraId="32FEBC7D" w14:textId="77777777" w:rsidR="003F5AEA" w:rsidRPr="00837094" w:rsidRDefault="003F5AEA" w:rsidP="003F5AEA">
            <w:pPr>
              <w:pStyle w:val="Prrafodelista"/>
              <w:numPr>
                <w:ilvl w:val="0"/>
                <w:numId w:val="38"/>
              </w:numPr>
              <w:spacing w:before="0" w:after="0"/>
              <w:jc w:val="both"/>
              <w:rPr>
                <w:rFonts w:eastAsiaTheme="minorHAnsi" w:cs="Arial"/>
                <w:sz w:val="22"/>
                <w:szCs w:val="22"/>
                <w:lang w:eastAsia="en-US"/>
              </w:rPr>
            </w:pPr>
            <w:r w:rsidRPr="00837094">
              <w:rPr>
                <w:rFonts w:eastAsiaTheme="minorHAnsi" w:cs="Arial"/>
                <w:sz w:val="22"/>
                <w:szCs w:val="22"/>
                <w:lang w:eastAsia="en-US"/>
              </w:rPr>
              <w:t>Disponible en el FNRA</w:t>
            </w:r>
          </w:p>
        </w:tc>
        <w:tc>
          <w:tcPr>
            <w:tcW w:w="1570" w:type="dxa"/>
            <w:vAlign w:val="center"/>
          </w:tcPr>
          <w:p w14:paraId="7191D88E" w14:textId="77777777" w:rsidR="003F5AEA" w:rsidRPr="00837094" w:rsidRDefault="003F5AEA" w:rsidP="00EC75D2">
            <w:pPr>
              <w:jc w:val="center"/>
              <w:rPr>
                <w:rFonts w:eastAsiaTheme="minorHAnsi" w:cs="Arial"/>
                <w:sz w:val="22"/>
                <w:szCs w:val="22"/>
                <w:lang w:eastAsia="en-US"/>
              </w:rPr>
            </w:pPr>
            <w:r w:rsidRPr="00837094">
              <w:rPr>
                <w:rFonts w:eastAsiaTheme="minorHAnsi" w:cs="Arial"/>
                <w:sz w:val="22"/>
                <w:szCs w:val="22"/>
                <w:lang w:eastAsia="en-US"/>
              </w:rPr>
              <w:t>$10.000</w:t>
            </w:r>
          </w:p>
        </w:tc>
      </w:tr>
      <w:tr w:rsidR="003F5AEA" w14:paraId="512C7423" w14:textId="77777777" w:rsidTr="00EC75D2">
        <w:trPr>
          <w:jc w:val="center"/>
        </w:trPr>
        <w:tc>
          <w:tcPr>
            <w:tcW w:w="4415" w:type="dxa"/>
            <w:vAlign w:val="center"/>
          </w:tcPr>
          <w:p w14:paraId="0B82ACCF" w14:textId="77777777" w:rsidR="003F5AEA" w:rsidRPr="00837094" w:rsidRDefault="003F5AEA" w:rsidP="00EC75D2">
            <w:pPr>
              <w:jc w:val="center"/>
              <w:rPr>
                <w:rFonts w:eastAsiaTheme="minorHAnsi" w:cs="Arial"/>
                <w:sz w:val="22"/>
                <w:szCs w:val="22"/>
                <w:lang w:eastAsia="en-US"/>
              </w:rPr>
            </w:pPr>
            <w:r w:rsidRPr="00837094">
              <w:rPr>
                <w:rFonts w:eastAsiaTheme="minorHAnsi" w:cs="Arial"/>
                <w:sz w:val="22"/>
                <w:szCs w:val="22"/>
                <w:lang w:eastAsia="en-US"/>
              </w:rPr>
              <w:t>Total</w:t>
            </w:r>
          </w:p>
        </w:tc>
        <w:tc>
          <w:tcPr>
            <w:tcW w:w="1570" w:type="dxa"/>
            <w:vAlign w:val="center"/>
          </w:tcPr>
          <w:p w14:paraId="2F2C4A55" w14:textId="77777777" w:rsidR="003F5AEA" w:rsidRPr="00837094" w:rsidRDefault="003F5AEA" w:rsidP="00EC75D2">
            <w:pPr>
              <w:jc w:val="center"/>
              <w:rPr>
                <w:rFonts w:eastAsiaTheme="minorHAnsi" w:cs="Arial"/>
                <w:sz w:val="22"/>
                <w:szCs w:val="22"/>
                <w:lang w:eastAsia="en-US"/>
              </w:rPr>
            </w:pPr>
            <w:r w:rsidRPr="00837094">
              <w:rPr>
                <w:rFonts w:eastAsiaTheme="minorHAnsi" w:cs="Arial"/>
                <w:sz w:val="22"/>
                <w:szCs w:val="22"/>
                <w:lang w:eastAsia="en-US"/>
              </w:rPr>
              <w:t>$65.000</w:t>
            </w:r>
          </w:p>
        </w:tc>
      </w:tr>
    </w:tbl>
    <w:p w14:paraId="3170486E" w14:textId="77777777" w:rsidR="003F5AEA" w:rsidRPr="00437E1E" w:rsidRDefault="003F5AEA" w:rsidP="003F5AEA">
      <w:pPr>
        <w:jc w:val="both"/>
        <w:rPr>
          <w:rFonts w:cs="Arial"/>
        </w:rPr>
      </w:pPr>
    </w:p>
    <w:p w14:paraId="3B9780CC" w14:textId="3F98D546" w:rsidR="003F5AEA" w:rsidRDefault="003F5AEA" w:rsidP="003F5AEA">
      <w:pPr>
        <w:jc w:val="both"/>
        <w:rPr>
          <w:rFonts w:cs="Arial"/>
        </w:rPr>
      </w:pPr>
      <w:r w:rsidRPr="00247161">
        <w:rPr>
          <w:rFonts w:cs="Arial"/>
        </w:rPr>
        <w:t xml:space="preserve">Cabe aclarar que esta adición presupuestal se destinaría en su totalidad al pago de incentivos al seguro agropecuario, quedando dicho monto en 64,040 millones de pesos. </w:t>
      </w:r>
    </w:p>
    <w:p w14:paraId="3E34EDF9" w14:textId="77777777" w:rsidR="003F5AEA" w:rsidRDefault="003F5AEA" w:rsidP="003F5AEA">
      <w:pPr>
        <w:jc w:val="both"/>
        <w:rPr>
          <w:rFonts w:cs="Arial"/>
        </w:rPr>
      </w:pPr>
    </w:p>
    <w:p w14:paraId="0F9A3776" w14:textId="77777777" w:rsidR="003F5AEA" w:rsidRPr="00437E1E" w:rsidRDefault="003F5AEA" w:rsidP="003F5AEA">
      <w:pPr>
        <w:jc w:val="both"/>
        <w:rPr>
          <w:rFonts w:cs="Arial"/>
        </w:rPr>
      </w:pPr>
    </w:p>
    <w:p w14:paraId="2A4E60B7" w14:textId="77777777" w:rsidR="003F5AEA" w:rsidRPr="008E5F61" w:rsidRDefault="003F5AEA" w:rsidP="003F5AEA">
      <w:pPr>
        <w:jc w:val="both"/>
        <w:rPr>
          <w:rFonts w:cs="Arial"/>
        </w:rPr>
      </w:pPr>
    </w:p>
    <w:p w14:paraId="3C063E45" w14:textId="3C59BBB4" w:rsidR="00176098" w:rsidRPr="00176098" w:rsidRDefault="00176098" w:rsidP="003F5AEA">
      <w:pPr>
        <w:pStyle w:val="Ttulo2"/>
        <w:rPr>
          <w:i/>
          <w:color w:val="000000" w:themeColor="text1"/>
        </w:rPr>
      </w:pPr>
    </w:p>
    <w:sectPr w:rsidR="00176098" w:rsidRPr="00176098">
      <w:footerReference w:type="even" r:id="rId14"/>
      <w:footerReference w:type="default" r:id="rId15"/>
      <w:pgSz w:w="12242" w:h="15842" w:code="1"/>
      <w:pgMar w:top="1418" w:right="1701" w:bottom="1418" w:left="1701" w:header="851" w:footer="709" w:gutter="0"/>
      <w:paperSrc w:first="11" w:other="1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28F73B" w14:textId="77777777" w:rsidR="00493392" w:rsidRDefault="00493392">
      <w:r>
        <w:separator/>
      </w:r>
    </w:p>
  </w:endnote>
  <w:endnote w:type="continuationSeparator" w:id="0">
    <w:p w14:paraId="12557678" w14:textId="77777777" w:rsidR="00493392" w:rsidRDefault="00493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F2070" w14:textId="77777777" w:rsidR="00C12699" w:rsidRDefault="00C1269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7BC1B91" w14:textId="77777777" w:rsidR="00C12699" w:rsidRDefault="00C1269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45CBA" w14:textId="55F38BDE" w:rsidR="00C12699" w:rsidRDefault="00C12699">
    <w:pPr>
      <w:pStyle w:val="Piedepgina"/>
      <w:jc w:val="right"/>
      <w:rPr>
        <w:sz w:val="20"/>
        <w:szCs w:val="20"/>
      </w:rPr>
    </w:pPr>
    <w:r>
      <w:rPr>
        <w:sz w:val="20"/>
        <w:szCs w:val="20"/>
      </w:rPr>
      <w:fldChar w:fldCharType="begin"/>
    </w:r>
    <w:r>
      <w:rPr>
        <w:sz w:val="20"/>
        <w:szCs w:val="20"/>
      </w:rPr>
      <w:instrText>PAGE   \* MERGEFORMAT</w:instrText>
    </w:r>
    <w:r>
      <w:rPr>
        <w:sz w:val="20"/>
        <w:szCs w:val="20"/>
      </w:rPr>
      <w:fldChar w:fldCharType="separate"/>
    </w:r>
    <w:r w:rsidR="00DB7874" w:rsidRPr="00DB7874">
      <w:rPr>
        <w:noProof/>
        <w:sz w:val="20"/>
        <w:szCs w:val="20"/>
        <w:lang w:val="es-ES"/>
      </w:rPr>
      <w:t>11</w:t>
    </w:r>
    <w:r>
      <w:rPr>
        <w:sz w:val="20"/>
        <w:szCs w:val="20"/>
      </w:rPr>
      <w:fldChar w:fldCharType="end"/>
    </w:r>
  </w:p>
  <w:p w14:paraId="271616E0" w14:textId="77777777" w:rsidR="00C12699" w:rsidRDefault="00C12699">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CB1FE9" w14:textId="77777777" w:rsidR="00493392" w:rsidRDefault="00493392">
      <w:r>
        <w:separator/>
      </w:r>
    </w:p>
  </w:footnote>
  <w:footnote w:type="continuationSeparator" w:id="0">
    <w:p w14:paraId="64BCB693" w14:textId="77777777" w:rsidR="00493392" w:rsidRDefault="00493392">
      <w:r>
        <w:continuationSeparator/>
      </w:r>
    </w:p>
  </w:footnote>
  <w:footnote w:id="1">
    <w:p w14:paraId="2AAEF618" w14:textId="77777777" w:rsidR="003F5AEA" w:rsidRDefault="003F5AEA" w:rsidP="003F5AEA">
      <w:pPr>
        <w:pStyle w:val="Textonotapie"/>
      </w:pPr>
      <w:r>
        <w:rPr>
          <w:rStyle w:val="Refdenotaalpie"/>
        </w:rPr>
        <w:footnoteRef/>
      </w:r>
      <w:r>
        <w:t xml:space="preserve"> En materia de riesgos cambiarios, a raíz de la depreciación del peso colombiano frente al dólar americano, el programa de coberturas cambiarias dejó de recibir presupuesto desde la vigencia 2015.</w:t>
      </w:r>
    </w:p>
  </w:footnote>
  <w:footnote w:id="2">
    <w:p w14:paraId="1523BF2D" w14:textId="77777777" w:rsidR="003F5AEA" w:rsidRDefault="003F5AEA" w:rsidP="003F5AEA">
      <w:pPr>
        <w:pStyle w:val="Textonotapie"/>
      </w:pPr>
      <w:r>
        <w:rPr>
          <w:rStyle w:val="Refdenotaalpie"/>
        </w:rPr>
        <w:footnoteRef/>
      </w:r>
      <w:r>
        <w:t xml:space="preserve"> El pago del Incentivo al Seguro Agropecuario no se puede comparar anualmente dado que unas pólizas se pagan al siguiente año en caso de ser emitidas en los últimos meses del año.</w:t>
      </w:r>
    </w:p>
  </w:footnote>
  <w:footnote w:id="3">
    <w:p w14:paraId="1769EDA1" w14:textId="77777777" w:rsidR="003F5AEA" w:rsidRDefault="003F5AEA" w:rsidP="003F5AEA">
      <w:pPr>
        <w:pStyle w:val="Textonotapie"/>
      </w:pPr>
      <w:r>
        <w:rPr>
          <w:rStyle w:val="Refdenotaalpie"/>
        </w:rPr>
        <w:footnoteRef/>
      </w:r>
      <w:r>
        <w:t xml:space="preserve"> Los 960 millones restantes se asignaron al programa de gestión de riesgos agropecuarios.</w:t>
      </w:r>
    </w:p>
  </w:footnote>
  <w:footnote w:id="4">
    <w:p w14:paraId="55CDE984" w14:textId="77777777" w:rsidR="003F5AEA" w:rsidRDefault="003F5AEA" w:rsidP="003F5AEA">
      <w:pPr>
        <w:pStyle w:val="Textonotapie"/>
      </w:pPr>
      <w:r>
        <w:rPr>
          <w:rStyle w:val="Refdenotaalpie"/>
        </w:rPr>
        <w:footnoteRef/>
      </w:r>
      <w:r>
        <w:t xml:space="preserve"> A manera de ejemplo, México, el país con la mayor área asegurada de la región subsidia entre el 35% y 60% del costo de la prima.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62463"/>
    <w:multiLevelType w:val="hybridMultilevel"/>
    <w:tmpl w:val="8C90E9A8"/>
    <w:lvl w:ilvl="0" w:tplc="99A26DDC">
      <w:start w:val="1"/>
      <w:numFmt w:val="decimal"/>
      <w:lvlText w:val="%1)"/>
      <w:lvlJc w:val="left"/>
      <w:pPr>
        <w:ind w:left="705" w:hanging="705"/>
      </w:pPr>
      <w:rPr>
        <w:rFonts w:hint="default"/>
        <w:sz w:val="22"/>
        <w:szCs w:val="22"/>
      </w:rPr>
    </w:lvl>
    <w:lvl w:ilvl="1" w:tplc="6FD0E3E6">
      <w:start w:val="3"/>
      <w:numFmt w:val="bullet"/>
      <w:lvlText w:val="•"/>
      <w:lvlJc w:val="left"/>
      <w:pPr>
        <w:ind w:left="1080" w:hanging="360"/>
      </w:pPr>
      <w:rPr>
        <w:rFonts w:ascii="Calibri" w:eastAsia="Times New Roman" w:hAnsi="Calibri" w:cs="Times New Roman"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73F24F6"/>
    <w:multiLevelType w:val="hybridMultilevel"/>
    <w:tmpl w:val="74FA2E46"/>
    <w:lvl w:ilvl="0" w:tplc="240A0001">
      <w:start w:val="1"/>
      <w:numFmt w:val="bullet"/>
      <w:lvlText w:val=""/>
      <w:lvlJc w:val="left"/>
      <w:pPr>
        <w:tabs>
          <w:tab w:val="num" w:pos="1068"/>
        </w:tabs>
        <w:ind w:left="1068" w:hanging="360"/>
      </w:pPr>
      <w:rPr>
        <w:rFonts w:ascii="Symbol" w:hAnsi="Symbol" w:hint="default"/>
      </w:rPr>
    </w:lvl>
    <w:lvl w:ilvl="1" w:tplc="240A0003" w:tentative="1">
      <w:start w:val="1"/>
      <w:numFmt w:val="bullet"/>
      <w:lvlText w:val="o"/>
      <w:lvlJc w:val="left"/>
      <w:pPr>
        <w:ind w:left="348" w:hanging="360"/>
      </w:pPr>
      <w:rPr>
        <w:rFonts w:ascii="Courier New" w:hAnsi="Courier New" w:cs="Courier New" w:hint="default"/>
      </w:rPr>
    </w:lvl>
    <w:lvl w:ilvl="2" w:tplc="240A0005" w:tentative="1">
      <w:start w:val="1"/>
      <w:numFmt w:val="bullet"/>
      <w:lvlText w:val=""/>
      <w:lvlJc w:val="left"/>
      <w:pPr>
        <w:ind w:left="1068" w:hanging="360"/>
      </w:pPr>
      <w:rPr>
        <w:rFonts w:ascii="Wingdings" w:hAnsi="Wingdings" w:hint="default"/>
      </w:rPr>
    </w:lvl>
    <w:lvl w:ilvl="3" w:tplc="240A0001" w:tentative="1">
      <w:start w:val="1"/>
      <w:numFmt w:val="bullet"/>
      <w:lvlText w:val=""/>
      <w:lvlJc w:val="left"/>
      <w:pPr>
        <w:ind w:left="1788" w:hanging="360"/>
      </w:pPr>
      <w:rPr>
        <w:rFonts w:ascii="Symbol" w:hAnsi="Symbol" w:hint="default"/>
      </w:rPr>
    </w:lvl>
    <w:lvl w:ilvl="4" w:tplc="240A0003" w:tentative="1">
      <w:start w:val="1"/>
      <w:numFmt w:val="bullet"/>
      <w:lvlText w:val="o"/>
      <w:lvlJc w:val="left"/>
      <w:pPr>
        <w:ind w:left="2508" w:hanging="360"/>
      </w:pPr>
      <w:rPr>
        <w:rFonts w:ascii="Courier New" w:hAnsi="Courier New" w:cs="Courier New" w:hint="default"/>
      </w:rPr>
    </w:lvl>
    <w:lvl w:ilvl="5" w:tplc="240A0005" w:tentative="1">
      <w:start w:val="1"/>
      <w:numFmt w:val="bullet"/>
      <w:lvlText w:val=""/>
      <w:lvlJc w:val="left"/>
      <w:pPr>
        <w:ind w:left="3228" w:hanging="360"/>
      </w:pPr>
      <w:rPr>
        <w:rFonts w:ascii="Wingdings" w:hAnsi="Wingdings" w:hint="default"/>
      </w:rPr>
    </w:lvl>
    <w:lvl w:ilvl="6" w:tplc="240A0001" w:tentative="1">
      <w:start w:val="1"/>
      <w:numFmt w:val="bullet"/>
      <w:lvlText w:val=""/>
      <w:lvlJc w:val="left"/>
      <w:pPr>
        <w:ind w:left="3948" w:hanging="360"/>
      </w:pPr>
      <w:rPr>
        <w:rFonts w:ascii="Symbol" w:hAnsi="Symbol" w:hint="default"/>
      </w:rPr>
    </w:lvl>
    <w:lvl w:ilvl="7" w:tplc="240A0003" w:tentative="1">
      <w:start w:val="1"/>
      <w:numFmt w:val="bullet"/>
      <w:lvlText w:val="o"/>
      <w:lvlJc w:val="left"/>
      <w:pPr>
        <w:ind w:left="4668" w:hanging="360"/>
      </w:pPr>
      <w:rPr>
        <w:rFonts w:ascii="Courier New" w:hAnsi="Courier New" w:cs="Courier New" w:hint="default"/>
      </w:rPr>
    </w:lvl>
    <w:lvl w:ilvl="8" w:tplc="240A0005" w:tentative="1">
      <w:start w:val="1"/>
      <w:numFmt w:val="bullet"/>
      <w:lvlText w:val=""/>
      <w:lvlJc w:val="left"/>
      <w:pPr>
        <w:ind w:left="5388" w:hanging="360"/>
      </w:pPr>
      <w:rPr>
        <w:rFonts w:ascii="Wingdings" w:hAnsi="Wingdings" w:hint="default"/>
      </w:rPr>
    </w:lvl>
  </w:abstractNum>
  <w:abstractNum w:abstractNumId="2" w15:restartNumberingAfterBreak="0">
    <w:nsid w:val="0E202306"/>
    <w:multiLevelType w:val="hybridMultilevel"/>
    <w:tmpl w:val="D098CED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E806722"/>
    <w:multiLevelType w:val="hybridMultilevel"/>
    <w:tmpl w:val="B0A4F1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3C8166D"/>
    <w:multiLevelType w:val="hybridMultilevel"/>
    <w:tmpl w:val="4D24E3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40B1D84"/>
    <w:multiLevelType w:val="hybridMultilevel"/>
    <w:tmpl w:val="7DD845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48A219A"/>
    <w:multiLevelType w:val="hybridMultilevel"/>
    <w:tmpl w:val="7B2A93A2"/>
    <w:lvl w:ilvl="0" w:tplc="24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9F3A15"/>
    <w:multiLevelType w:val="hybridMultilevel"/>
    <w:tmpl w:val="CBFAE1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B8C0D5B"/>
    <w:multiLevelType w:val="hybridMultilevel"/>
    <w:tmpl w:val="12744616"/>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9" w15:restartNumberingAfterBreak="0">
    <w:nsid w:val="1F524D66"/>
    <w:multiLevelType w:val="hybridMultilevel"/>
    <w:tmpl w:val="968853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1C528D5"/>
    <w:multiLevelType w:val="hybridMultilevel"/>
    <w:tmpl w:val="ED58F1CC"/>
    <w:lvl w:ilvl="0" w:tplc="B9E881CE">
      <w:start w:val="20"/>
      <w:numFmt w:val="bullet"/>
      <w:lvlText w:val="-"/>
      <w:lvlJc w:val="left"/>
      <w:pPr>
        <w:ind w:left="720" w:hanging="360"/>
      </w:pPr>
      <w:rPr>
        <w:rFonts w:ascii="Arial" w:eastAsia="Times New Roman"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4B57E82"/>
    <w:multiLevelType w:val="hybridMultilevel"/>
    <w:tmpl w:val="35580332"/>
    <w:lvl w:ilvl="0" w:tplc="240A0001">
      <w:start w:val="1"/>
      <w:numFmt w:val="bullet"/>
      <w:lvlText w:val=""/>
      <w:lvlJc w:val="left"/>
      <w:pPr>
        <w:tabs>
          <w:tab w:val="num" w:pos="720"/>
        </w:tabs>
        <w:ind w:left="720" w:hanging="360"/>
      </w:pPr>
      <w:rPr>
        <w:rFonts w:ascii="Symbol" w:hAnsi="Symbol" w:hint="default"/>
      </w:rPr>
    </w:lvl>
    <w:lvl w:ilvl="1" w:tplc="C19861BC">
      <w:start w:val="1"/>
      <w:numFmt w:val="bullet"/>
      <w:lvlText w:val=""/>
      <w:lvlJc w:val="left"/>
      <w:pPr>
        <w:tabs>
          <w:tab w:val="num" w:pos="1440"/>
        </w:tabs>
        <w:ind w:left="1440" w:hanging="360"/>
      </w:pPr>
      <w:rPr>
        <w:rFonts w:ascii="Wingdings" w:hAnsi="Wingdings" w:hint="default"/>
      </w:rPr>
    </w:lvl>
    <w:lvl w:ilvl="2" w:tplc="240A0001">
      <w:start w:val="1"/>
      <w:numFmt w:val="bullet"/>
      <w:lvlText w:val=""/>
      <w:lvlJc w:val="left"/>
      <w:pPr>
        <w:tabs>
          <w:tab w:val="num" w:pos="2160"/>
        </w:tabs>
        <w:ind w:left="2160" w:hanging="360"/>
      </w:pPr>
      <w:rPr>
        <w:rFonts w:ascii="Symbol" w:hAnsi="Symbol" w:hint="default"/>
      </w:rPr>
    </w:lvl>
    <w:lvl w:ilvl="3" w:tplc="9AF65AC0" w:tentative="1">
      <w:start w:val="1"/>
      <w:numFmt w:val="bullet"/>
      <w:lvlText w:val=""/>
      <w:lvlJc w:val="left"/>
      <w:pPr>
        <w:tabs>
          <w:tab w:val="num" w:pos="2880"/>
        </w:tabs>
        <w:ind w:left="2880" w:hanging="360"/>
      </w:pPr>
      <w:rPr>
        <w:rFonts w:ascii="Wingdings" w:hAnsi="Wingdings" w:hint="default"/>
      </w:rPr>
    </w:lvl>
    <w:lvl w:ilvl="4" w:tplc="FD86A55E" w:tentative="1">
      <w:start w:val="1"/>
      <w:numFmt w:val="bullet"/>
      <w:lvlText w:val=""/>
      <w:lvlJc w:val="left"/>
      <w:pPr>
        <w:tabs>
          <w:tab w:val="num" w:pos="3600"/>
        </w:tabs>
        <w:ind w:left="3600" w:hanging="360"/>
      </w:pPr>
      <w:rPr>
        <w:rFonts w:ascii="Wingdings" w:hAnsi="Wingdings" w:hint="default"/>
      </w:rPr>
    </w:lvl>
    <w:lvl w:ilvl="5" w:tplc="92344ABA" w:tentative="1">
      <w:start w:val="1"/>
      <w:numFmt w:val="bullet"/>
      <w:lvlText w:val=""/>
      <w:lvlJc w:val="left"/>
      <w:pPr>
        <w:tabs>
          <w:tab w:val="num" w:pos="4320"/>
        </w:tabs>
        <w:ind w:left="4320" w:hanging="360"/>
      </w:pPr>
      <w:rPr>
        <w:rFonts w:ascii="Wingdings" w:hAnsi="Wingdings" w:hint="default"/>
      </w:rPr>
    </w:lvl>
    <w:lvl w:ilvl="6" w:tplc="5430373E" w:tentative="1">
      <w:start w:val="1"/>
      <w:numFmt w:val="bullet"/>
      <w:lvlText w:val=""/>
      <w:lvlJc w:val="left"/>
      <w:pPr>
        <w:tabs>
          <w:tab w:val="num" w:pos="5040"/>
        </w:tabs>
        <w:ind w:left="5040" w:hanging="360"/>
      </w:pPr>
      <w:rPr>
        <w:rFonts w:ascii="Wingdings" w:hAnsi="Wingdings" w:hint="default"/>
      </w:rPr>
    </w:lvl>
    <w:lvl w:ilvl="7" w:tplc="C2745EF2" w:tentative="1">
      <w:start w:val="1"/>
      <w:numFmt w:val="bullet"/>
      <w:lvlText w:val=""/>
      <w:lvlJc w:val="left"/>
      <w:pPr>
        <w:tabs>
          <w:tab w:val="num" w:pos="5760"/>
        </w:tabs>
        <w:ind w:left="5760" w:hanging="360"/>
      </w:pPr>
      <w:rPr>
        <w:rFonts w:ascii="Wingdings" w:hAnsi="Wingdings" w:hint="default"/>
      </w:rPr>
    </w:lvl>
    <w:lvl w:ilvl="8" w:tplc="EDC8C79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7A3524"/>
    <w:multiLevelType w:val="hybridMultilevel"/>
    <w:tmpl w:val="C49C2C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B4F20B5"/>
    <w:multiLevelType w:val="hybridMultilevel"/>
    <w:tmpl w:val="E6F4BE9E"/>
    <w:lvl w:ilvl="0" w:tplc="4A308CA6">
      <w:start w:val="1"/>
      <w:numFmt w:val="decimal"/>
      <w:lvlText w:val="%1."/>
      <w:lvlJc w:val="left"/>
      <w:pPr>
        <w:ind w:left="720" w:hanging="360"/>
      </w:pPr>
      <w:rPr>
        <w:b/>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DC653B0"/>
    <w:multiLevelType w:val="hybridMultilevel"/>
    <w:tmpl w:val="932C7E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F3C5C70"/>
    <w:multiLevelType w:val="hybridMultilevel"/>
    <w:tmpl w:val="FD6CD2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FBD1202"/>
    <w:multiLevelType w:val="hybridMultilevel"/>
    <w:tmpl w:val="02E20D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294155C"/>
    <w:multiLevelType w:val="hybridMultilevel"/>
    <w:tmpl w:val="D90890B6"/>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8" w15:restartNumberingAfterBreak="0">
    <w:nsid w:val="32A22AF7"/>
    <w:multiLevelType w:val="hybridMultilevel"/>
    <w:tmpl w:val="E97CC6DA"/>
    <w:lvl w:ilvl="0" w:tplc="2E723D6C">
      <w:numFmt w:val="bullet"/>
      <w:lvlText w:val="•"/>
      <w:lvlJc w:val="left"/>
      <w:pPr>
        <w:ind w:left="1068" w:hanging="708"/>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437675D"/>
    <w:multiLevelType w:val="hybridMultilevel"/>
    <w:tmpl w:val="736EDE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75A37B1"/>
    <w:multiLevelType w:val="hybridMultilevel"/>
    <w:tmpl w:val="8544F5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B0560AE"/>
    <w:multiLevelType w:val="hybridMultilevel"/>
    <w:tmpl w:val="782228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D4303D5"/>
    <w:multiLevelType w:val="hybridMultilevel"/>
    <w:tmpl w:val="65828D6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3" w15:restartNumberingAfterBreak="0">
    <w:nsid w:val="445956E0"/>
    <w:multiLevelType w:val="multilevel"/>
    <w:tmpl w:val="223841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66E2CFA"/>
    <w:multiLevelType w:val="hybridMultilevel"/>
    <w:tmpl w:val="35BE071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5" w15:restartNumberingAfterBreak="0">
    <w:nsid w:val="4C830557"/>
    <w:multiLevelType w:val="hybridMultilevel"/>
    <w:tmpl w:val="3858DAF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6" w15:restartNumberingAfterBreak="0">
    <w:nsid w:val="4CD423DE"/>
    <w:multiLevelType w:val="multilevel"/>
    <w:tmpl w:val="28885D64"/>
    <w:lvl w:ilvl="0">
      <w:start w:val="1"/>
      <w:numFmt w:val="decimal"/>
      <w:pStyle w:val="Ttulo1"/>
      <w:lvlText w:val="%1."/>
      <w:lvlJc w:val="left"/>
      <w:pPr>
        <w:ind w:left="720" w:hanging="360"/>
      </w:pPr>
    </w:lvl>
    <w:lvl w:ilvl="1">
      <w:start w:val="2"/>
      <w:numFmt w:val="decimal"/>
      <w:isLgl/>
      <w:lvlText w:val="%1.%2"/>
      <w:lvlJc w:val="left"/>
      <w:pPr>
        <w:ind w:left="1056" w:hanging="48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27" w15:restartNumberingAfterBreak="0">
    <w:nsid w:val="4E2655CF"/>
    <w:multiLevelType w:val="hybridMultilevel"/>
    <w:tmpl w:val="49F241F6"/>
    <w:lvl w:ilvl="0" w:tplc="0C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F500374"/>
    <w:multiLevelType w:val="hybridMultilevel"/>
    <w:tmpl w:val="076273BC"/>
    <w:lvl w:ilvl="0" w:tplc="B9E881CE">
      <w:start w:val="20"/>
      <w:numFmt w:val="bullet"/>
      <w:lvlText w:val="-"/>
      <w:lvlJc w:val="left"/>
      <w:pPr>
        <w:ind w:left="720" w:hanging="360"/>
      </w:pPr>
      <w:rPr>
        <w:rFonts w:ascii="Arial" w:eastAsia="Times New Roman"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0A80710"/>
    <w:multiLevelType w:val="hybridMultilevel"/>
    <w:tmpl w:val="5BBA611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0" w15:restartNumberingAfterBreak="0">
    <w:nsid w:val="58690AEB"/>
    <w:multiLevelType w:val="hybridMultilevel"/>
    <w:tmpl w:val="43AC8194"/>
    <w:lvl w:ilvl="0" w:tplc="80F0029A">
      <w:start w:val="1"/>
      <w:numFmt w:val="decimal"/>
      <w:pStyle w:val="Ttulo3"/>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8C67CF5"/>
    <w:multiLevelType w:val="hybridMultilevel"/>
    <w:tmpl w:val="3DC89F0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EEA11BB"/>
    <w:multiLevelType w:val="hybridMultilevel"/>
    <w:tmpl w:val="82CEA3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0DE73FC"/>
    <w:multiLevelType w:val="hybridMultilevel"/>
    <w:tmpl w:val="C10A3D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3784941"/>
    <w:multiLevelType w:val="hybridMultilevel"/>
    <w:tmpl w:val="A7AAA59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3BB5255"/>
    <w:multiLevelType w:val="hybridMultilevel"/>
    <w:tmpl w:val="9CD62C9C"/>
    <w:lvl w:ilvl="0" w:tplc="5F6AD248">
      <w:start w:val="1"/>
      <w:numFmt w:val="lowerLetter"/>
      <w:lvlText w:val="%1)"/>
      <w:lvlJc w:val="left"/>
      <w:pPr>
        <w:ind w:left="1083" w:hanging="375"/>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6" w15:restartNumberingAfterBreak="0">
    <w:nsid w:val="676436E4"/>
    <w:multiLevelType w:val="hybridMultilevel"/>
    <w:tmpl w:val="EC2269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82A626F"/>
    <w:multiLevelType w:val="hybridMultilevel"/>
    <w:tmpl w:val="62B06B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BDE7915"/>
    <w:multiLevelType w:val="hybridMultilevel"/>
    <w:tmpl w:val="B9A208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1203004"/>
    <w:multiLevelType w:val="multilevel"/>
    <w:tmpl w:val="A0682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4519E0"/>
    <w:multiLevelType w:val="hybridMultilevel"/>
    <w:tmpl w:val="3158873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6"/>
  </w:num>
  <w:num w:numId="2">
    <w:abstractNumId w:val="30"/>
  </w:num>
  <w:num w:numId="3">
    <w:abstractNumId w:val="29"/>
  </w:num>
  <w:num w:numId="4">
    <w:abstractNumId w:val="35"/>
  </w:num>
  <w:num w:numId="5">
    <w:abstractNumId w:val="28"/>
  </w:num>
  <w:num w:numId="6">
    <w:abstractNumId w:val="37"/>
  </w:num>
  <w:num w:numId="7">
    <w:abstractNumId w:val="20"/>
  </w:num>
  <w:num w:numId="8">
    <w:abstractNumId w:val="33"/>
  </w:num>
  <w:num w:numId="9">
    <w:abstractNumId w:val="38"/>
  </w:num>
  <w:num w:numId="10">
    <w:abstractNumId w:val="23"/>
  </w:num>
  <w:num w:numId="11">
    <w:abstractNumId w:val="2"/>
  </w:num>
  <w:num w:numId="12">
    <w:abstractNumId w:val="40"/>
  </w:num>
  <w:num w:numId="13">
    <w:abstractNumId w:val="5"/>
  </w:num>
  <w:num w:numId="14">
    <w:abstractNumId w:val="34"/>
  </w:num>
  <w:num w:numId="15">
    <w:abstractNumId w:val="0"/>
  </w:num>
  <w:num w:numId="16">
    <w:abstractNumId w:val="7"/>
  </w:num>
  <w:num w:numId="17">
    <w:abstractNumId w:val="1"/>
  </w:num>
  <w:num w:numId="18">
    <w:abstractNumId w:val="11"/>
  </w:num>
  <w:num w:numId="19">
    <w:abstractNumId w:val="25"/>
  </w:num>
  <w:num w:numId="20">
    <w:abstractNumId w:val="13"/>
  </w:num>
  <w:num w:numId="21">
    <w:abstractNumId w:val="12"/>
  </w:num>
  <w:num w:numId="22">
    <w:abstractNumId w:val="15"/>
  </w:num>
  <w:num w:numId="23">
    <w:abstractNumId w:val="3"/>
  </w:num>
  <w:num w:numId="24">
    <w:abstractNumId w:val="21"/>
  </w:num>
  <w:num w:numId="25">
    <w:abstractNumId w:val="36"/>
  </w:num>
  <w:num w:numId="26">
    <w:abstractNumId w:val="16"/>
  </w:num>
  <w:num w:numId="27">
    <w:abstractNumId w:val="9"/>
  </w:num>
  <w:num w:numId="28">
    <w:abstractNumId w:val="39"/>
  </w:num>
  <w:num w:numId="29">
    <w:abstractNumId w:val="8"/>
  </w:num>
  <w:num w:numId="30">
    <w:abstractNumId w:val="17"/>
  </w:num>
  <w:num w:numId="31">
    <w:abstractNumId w:val="22"/>
  </w:num>
  <w:num w:numId="32">
    <w:abstractNumId w:val="24"/>
  </w:num>
  <w:num w:numId="33">
    <w:abstractNumId w:val="30"/>
  </w:num>
  <w:num w:numId="34">
    <w:abstractNumId w:val="14"/>
  </w:num>
  <w:num w:numId="35">
    <w:abstractNumId w:val="19"/>
  </w:num>
  <w:num w:numId="36">
    <w:abstractNumId w:val="31"/>
  </w:num>
  <w:num w:numId="37">
    <w:abstractNumId w:val="10"/>
  </w:num>
  <w:num w:numId="38">
    <w:abstractNumId w:val="32"/>
  </w:num>
  <w:num w:numId="39">
    <w:abstractNumId w:val="6"/>
  </w:num>
  <w:num w:numId="40">
    <w:abstractNumId w:val="4"/>
  </w:num>
  <w:num w:numId="41">
    <w:abstractNumId w:val="18"/>
  </w:num>
  <w:num w:numId="42">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A76"/>
    <w:rsid w:val="00032891"/>
    <w:rsid w:val="00036584"/>
    <w:rsid w:val="00040063"/>
    <w:rsid w:val="00052E18"/>
    <w:rsid w:val="00052E82"/>
    <w:rsid w:val="00054133"/>
    <w:rsid w:val="00055C4B"/>
    <w:rsid w:val="000664EB"/>
    <w:rsid w:val="00067504"/>
    <w:rsid w:val="00094D12"/>
    <w:rsid w:val="000950F1"/>
    <w:rsid w:val="000A1768"/>
    <w:rsid w:val="000B3AB4"/>
    <w:rsid w:val="0013144E"/>
    <w:rsid w:val="00132924"/>
    <w:rsid w:val="001364BA"/>
    <w:rsid w:val="001472F1"/>
    <w:rsid w:val="001521B7"/>
    <w:rsid w:val="00157B10"/>
    <w:rsid w:val="00170B65"/>
    <w:rsid w:val="00170C69"/>
    <w:rsid w:val="00171B73"/>
    <w:rsid w:val="00176098"/>
    <w:rsid w:val="00180726"/>
    <w:rsid w:val="00195D3E"/>
    <w:rsid w:val="001B2191"/>
    <w:rsid w:val="001C59FE"/>
    <w:rsid w:val="001D242A"/>
    <w:rsid w:val="001E048E"/>
    <w:rsid w:val="001E3847"/>
    <w:rsid w:val="001F34B5"/>
    <w:rsid w:val="002227E4"/>
    <w:rsid w:val="0022711B"/>
    <w:rsid w:val="00233116"/>
    <w:rsid w:val="00247161"/>
    <w:rsid w:val="00270807"/>
    <w:rsid w:val="00273853"/>
    <w:rsid w:val="00273E9C"/>
    <w:rsid w:val="00275DE8"/>
    <w:rsid w:val="002813A1"/>
    <w:rsid w:val="00292F3D"/>
    <w:rsid w:val="00295894"/>
    <w:rsid w:val="002B44C4"/>
    <w:rsid w:val="002B770C"/>
    <w:rsid w:val="002D7E9A"/>
    <w:rsid w:val="002F2938"/>
    <w:rsid w:val="0031235E"/>
    <w:rsid w:val="00321BA6"/>
    <w:rsid w:val="003304D3"/>
    <w:rsid w:val="003325B6"/>
    <w:rsid w:val="003354EF"/>
    <w:rsid w:val="00367192"/>
    <w:rsid w:val="00367F52"/>
    <w:rsid w:val="003D25CB"/>
    <w:rsid w:val="003D5B0E"/>
    <w:rsid w:val="003F4D7A"/>
    <w:rsid w:val="003F5AEA"/>
    <w:rsid w:val="003F70BB"/>
    <w:rsid w:val="00427B23"/>
    <w:rsid w:val="004325A1"/>
    <w:rsid w:val="0043271F"/>
    <w:rsid w:val="004414FF"/>
    <w:rsid w:val="00446810"/>
    <w:rsid w:val="00457598"/>
    <w:rsid w:val="00474F33"/>
    <w:rsid w:val="00491989"/>
    <w:rsid w:val="00493392"/>
    <w:rsid w:val="0049452F"/>
    <w:rsid w:val="004C6AD3"/>
    <w:rsid w:val="004C78CB"/>
    <w:rsid w:val="004D77B6"/>
    <w:rsid w:val="004E21FB"/>
    <w:rsid w:val="004E3959"/>
    <w:rsid w:val="004F001D"/>
    <w:rsid w:val="0050396E"/>
    <w:rsid w:val="005941DB"/>
    <w:rsid w:val="0059796D"/>
    <w:rsid w:val="005B1698"/>
    <w:rsid w:val="005C4EEE"/>
    <w:rsid w:val="005D79E7"/>
    <w:rsid w:val="00611C3F"/>
    <w:rsid w:val="00627A76"/>
    <w:rsid w:val="0063587B"/>
    <w:rsid w:val="006367B3"/>
    <w:rsid w:val="00637BBE"/>
    <w:rsid w:val="00640ECD"/>
    <w:rsid w:val="00643746"/>
    <w:rsid w:val="006457B2"/>
    <w:rsid w:val="00655C0C"/>
    <w:rsid w:val="00657717"/>
    <w:rsid w:val="0068716C"/>
    <w:rsid w:val="00697462"/>
    <w:rsid w:val="006B09B4"/>
    <w:rsid w:val="006B7E0D"/>
    <w:rsid w:val="006C038D"/>
    <w:rsid w:val="006C5C0F"/>
    <w:rsid w:val="006C7B15"/>
    <w:rsid w:val="00726ED9"/>
    <w:rsid w:val="00731BB8"/>
    <w:rsid w:val="007343C7"/>
    <w:rsid w:val="00754909"/>
    <w:rsid w:val="00761B88"/>
    <w:rsid w:val="0076278F"/>
    <w:rsid w:val="00766216"/>
    <w:rsid w:val="007679DB"/>
    <w:rsid w:val="00770349"/>
    <w:rsid w:val="007855F0"/>
    <w:rsid w:val="007A0B89"/>
    <w:rsid w:val="007B2E51"/>
    <w:rsid w:val="007B63C5"/>
    <w:rsid w:val="007B6507"/>
    <w:rsid w:val="007C5BB3"/>
    <w:rsid w:val="007D2999"/>
    <w:rsid w:val="007F56AB"/>
    <w:rsid w:val="0080093F"/>
    <w:rsid w:val="0081063A"/>
    <w:rsid w:val="008252A5"/>
    <w:rsid w:val="008458CB"/>
    <w:rsid w:val="00866914"/>
    <w:rsid w:val="00871D74"/>
    <w:rsid w:val="00880BC5"/>
    <w:rsid w:val="008B785E"/>
    <w:rsid w:val="008D7B55"/>
    <w:rsid w:val="009555CB"/>
    <w:rsid w:val="0096390B"/>
    <w:rsid w:val="00964AA9"/>
    <w:rsid w:val="009C1261"/>
    <w:rsid w:val="009C2BC8"/>
    <w:rsid w:val="009C70A9"/>
    <w:rsid w:val="009D4EC2"/>
    <w:rsid w:val="009D6D6A"/>
    <w:rsid w:val="009E6702"/>
    <w:rsid w:val="009F66CF"/>
    <w:rsid w:val="00A34323"/>
    <w:rsid w:val="00A84F18"/>
    <w:rsid w:val="00A950AA"/>
    <w:rsid w:val="00AA2734"/>
    <w:rsid w:val="00AC1F38"/>
    <w:rsid w:val="00AF085C"/>
    <w:rsid w:val="00AF4C42"/>
    <w:rsid w:val="00B022F3"/>
    <w:rsid w:val="00B26446"/>
    <w:rsid w:val="00B27106"/>
    <w:rsid w:val="00B35673"/>
    <w:rsid w:val="00B3711A"/>
    <w:rsid w:val="00B636A6"/>
    <w:rsid w:val="00B76D7A"/>
    <w:rsid w:val="00BA3C3E"/>
    <w:rsid w:val="00BA3F13"/>
    <w:rsid w:val="00BA50D0"/>
    <w:rsid w:val="00BB20A4"/>
    <w:rsid w:val="00BC72CB"/>
    <w:rsid w:val="00BE2E94"/>
    <w:rsid w:val="00BE4717"/>
    <w:rsid w:val="00BF14E2"/>
    <w:rsid w:val="00C10ED2"/>
    <w:rsid w:val="00C12699"/>
    <w:rsid w:val="00C43EF0"/>
    <w:rsid w:val="00C554F5"/>
    <w:rsid w:val="00C62642"/>
    <w:rsid w:val="00C76CF0"/>
    <w:rsid w:val="00C87960"/>
    <w:rsid w:val="00C9663C"/>
    <w:rsid w:val="00CA207C"/>
    <w:rsid w:val="00CA5839"/>
    <w:rsid w:val="00CB4ED0"/>
    <w:rsid w:val="00CC3E04"/>
    <w:rsid w:val="00CD56D4"/>
    <w:rsid w:val="00CF3402"/>
    <w:rsid w:val="00D01E09"/>
    <w:rsid w:val="00D044AC"/>
    <w:rsid w:val="00D161CC"/>
    <w:rsid w:val="00D16A4F"/>
    <w:rsid w:val="00D25CFE"/>
    <w:rsid w:val="00D93C1E"/>
    <w:rsid w:val="00D94126"/>
    <w:rsid w:val="00D94D38"/>
    <w:rsid w:val="00D97DE0"/>
    <w:rsid w:val="00DA626B"/>
    <w:rsid w:val="00DB7874"/>
    <w:rsid w:val="00DC2CF0"/>
    <w:rsid w:val="00DE50C1"/>
    <w:rsid w:val="00E33114"/>
    <w:rsid w:val="00E3577C"/>
    <w:rsid w:val="00E849A2"/>
    <w:rsid w:val="00E96BA9"/>
    <w:rsid w:val="00EB3E70"/>
    <w:rsid w:val="00EC0B81"/>
    <w:rsid w:val="00EC4303"/>
    <w:rsid w:val="00EE23AB"/>
    <w:rsid w:val="00F01C53"/>
    <w:rsid w:val="00F1092B"/>
    <w:rsid w:val="00F34FE5"/>
    <w:rsid w:val="00F407A4"/>
    <w:rsid w:val="00F43FC8"/>
    <w:rsid w:val="00F47035"/>
    <w:rsid w:val="00F75DA1"/>
    <w:rsid w:val="00F77047"/>
    <w:rsid w:val="00F87AD9"/>
    <w:rsid w:val="00F94A36"/>
    <w:rsid w:val="00FA5AE9"/>
    <w:rsid w:val="00FC20FF"/>
    <w:rsid w:val="00FF3266"/>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E4CA2"/>
  <w15:docId w15:val="{1BA103C4-E4FC-4244-B44E-776FB15E1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before="120" w:after="120"/>
    </w:pPr>
    <w:rPr>
      <w:rFonts w:ascii="Arial" w:eastAsia="Times New Roman" w:hAnsi="Arial"/>
      <w:sz w:val="24"/>
      <w:szCs w:val="24"/>
      <w:lang w:eastAsia="es-ES"/>
    </w:rPr>
  </w:style>
  <w:style w:type="paragraph" w:styleId="Ttulo1">
    <w:name w:val="heading 1"/>
    <w:basedOn w:val="Normal"/>
    <w:next w:val="Normal"/>
    <w:link w:val="Ttulo1Car"/>
    <w:qFormat/>
    <w:pPr>
      <w:keepNext/>
      <w:numPr>
        <w:numId w:val="1"/>
      </w:numPr>
      <w:spacing w:before="240" w:after="240"/>
      <w:jc w:val="both"/>
      <w:outlineLvl w:val="0"/>
    </w:pPr>
    <w:rPr>
      <w:b/>
      <w:bCs/>
      <w:lang w:val="es-ES"/>
    </w:rPr>
  </w:style>
  <w:style w:type="paragraph" w:styleId="Ttulo2">
    <w:name w:val="heading 2"/>
    <w:basedOn w:val="Normal"/>
    <w:next w:val="Normal"/>
    <w:link w:val="Ttulo2Car"/>
    <w:autoRedefine/>
    <w:unhideWhenUsed/>
    <w:qFormat/>
    <w:rsid w:val="009D4EC2"/>
    <w:pPr>
      <w:keepNext/>
      <w:keepLines/>
      <w:spacing w:before="280" w:after="260" w:line="276" w:lineRule="auto"/>
      <w:jc w:val="both"/>
      <w:outlineLvl w:val="1"/>
    </w:pPr>
    <w:rPr>
      <w:rFonts w:cs="Arial"/>
      <w:b/>
      <w:bCs/>
      <w:sz w:val="22"/>
      <w:szCs w:val="22"/>
    </w:rPr>
  </w:style>
  <w:style w:type="paragraph" w:styleId="Ttulo3">
    <w:name w:val="heading 3"/>
    <w:basedOn w:val="Normal"/>
    <w:next w:val="Normal"/>
    <w:link w:val="Ttulo3Car"/>
    <w:autoRedefine/>
    <w:uiPriority w:val="9"/>
    <w:unhideWhenUsed/>
    <w:qFormat/>
    <w:rsid w:val="009D4EC2"/>
    <w:pPr>
      <w:keepNext/>
      <w:keepLines/>
      <w:numPr>
        <w:numId w:val="2"/>
      </w:numPr>
      <w:spacing w:before="320" w:after="240"/>
      <w:jc w:val="both"/>
      <w:outlineLvl w:val="2"/>
    </w:pPr>
    <w:rPr>
      <w:b/>
      <w:bCs/>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Times New Roman" w:hAnsi="Arial"/>
      <w:b/>
      <w:bCs/>
      <w:sz w:val="24"/>
      <w:szCs w:val="24"/>
      <w:lang w:val="es-ES" w:eastAsia="es-ES"/>
    </w:rPr>
  </w:style>
  <w:style w:type="paragraph" w:styleId="Textoindependiente2">
    <w:name w:val="Body Text 2"/>
    <w:basedOn w:val="Normal"/>
    <w:link w:val="Textoindependiente2Car"/>
    <w:pPr>
      <w:jc w:val="center"/>
    </w:pPr>
    <w:rPr>
      <w:lang w:val="es-ES"/>
    </w:rPr>
  </w:style>
  <w:style w:type="character" w:customStyle="1" w:styleId="Textoindependiente2Car">
    <w:name w:val="Texto independiente 2 Car"/>
    <w:link w:val="Textoindependiente2"/>
    <w:rPr>
      <w:rFonts w:ascii="Arial" w:eastAsia="Times New Roman" w:hAnsi="Arial" w:cs="Times New Roman"/>
      <w:sz w:val="24"/>
      <w:szCs w:val="24"/>
      <w:lang w:val="es-ES" w:eastAsia="es-ES"/>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Pr>
      <w:rFonts w:ascii="Arial" w:eastAsia="Times New Roman" w:hAnsi="Arial" w:cs="Times New Roman"/>
      <w:sz w:val="24"/>
      <w:szCs w:val="24"/>
      <w:lang w:eastAsia="es-ES"/>
    </w:rPr>
  </w:style>
  <w:style w:type="character" w:styleId="Nmerodepgina">
    <w:name w:val="page number"/>
    <w:basedOn w:val="Fuentedeprrafopredeter"/>
  </w:style>
  <w:style w:type="paragraph" w:styleId="Encabezado">
    <w:name w:val="header"/>
    <w:basedOn w:val="Normal"/>
    <w:link w:val="EncabezadoCar"/>
    <w:pPr>
      <w:tabs>
        <w:tab w:val="center" w:pos="4252"/>
        <w:tab w:val="right" w:pos="8504"/>
      </w:tabs>
    </w:pPr>
  </w:style>
  <w:style w:type="character" w:customStyle="1" w:styleId="EncabezadoCar">
    <w:name w:val="Encabezado Car"/>
    <w:link w:val="Encabezado"/>
    <w:rPr>
      <w:rFonts w:ascii="Arial" w:eastAsia="Times New Roman" w:hAnsi="Arial" w:cs="Times New Roman"/>
      <w:sz w:val="24"/>
      <w:szCs w:val="24"/>
      <w:lang w:eastAsia="es-ES"/>
    </w:rPr>
  </w:style>
  <w:style w:type="paragraph" w:customStyle="1" w:styleId="cuerpotexto">
    <w:name w:val="cuerpotexto"/>
    <w:basedOn w:val="Normal"/>
    <w:pPr>
      <w:autoSpaceDE w:val="0"/>
      <w:autoSpaceDN w:val="0"/>
      <w:spacing w:before="45" w:after="45" w:line="240" w:lineRule="atLeast"/>
      <w:ind w:firstLine="283"/>
      <w:jc w:val="both"/>
    </w:pPr>
    <w:rPr>
      <w:rFonts w:ascii="Times" w:hAnsi="Times" w:cs="Times"/>
      <w:color w:val="000000"/>
      <w:sz w:val="22"/>
      <w:szCs w:val="22"/>
      <w:lang w:val="es-ES"/>
    </w:rPr>
  </w:style>
  <w:style w:type="paragraph" w:styleId="Textoindependiente">
    <w:name w:val="Body Text"/>
    <w:basedOn w:val="Normal"/>
    <w:link w:val="TextoindependienteCar"/>
    <w:uiPriority w:val="99"/>
    <w:unhideWhenUsed/>
  </w:style>
  <w:style w:type="character" w:customStyle="1" w:styleId="TextoindependienteCar">
    <w:name w:val="Texto independiente Car"/>
    <w:link w:val="Textoindependiente"/>
    <w:uiPriority w:val="99"/>
    <w:rPr>
      <w:rFonts w:ascii="Arial" w:eastAsia="Times New Roman" w:hAnsi="Arial" w:cs="Times New Roman"/>
      <w:sz w:val="24"/>
      <w:szCs w:val="24"/>
      <w:lang w:eastAsia="es-ES"/>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pPr>
      <w:ind w:left="708"/>
    </w:p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link w:val="Textodeglobo"/>
    <w:uiPriority w:val="99"/>
    <w:semiHidden/>
    <w:rPr>
      <w:rFonts w:ascii="Tahoma" w:eastAsia="Times New Roman" w:hAnsi="Tahoma" w:cs="Tahoma"/>
      <w:sz w:val="16"/>
      <w:szCs w:val="16"/>
      <w:lang w:eastAsia="es-ES"/>
    </w:rPr>
  </w:style>
  <w:style w:type="paragraph" w:styleId="NormalWeb">
    <w:name w:val="Normal (Web)"/>
    <w:basedOn w:val="Normal"/>
    <w:uiPriority w:val="99"/>
    <w:unhideWhenUsed/>
    <w:pPr>
      <w:spacing w:before="100" w:beforeAutospacing="1" w:after="100" w:afterAutospacing="1"/>
    </w:pPr>
    <w:rPr>
      <w:rFonts w:ascii="Times New Roman" w:hAnsi="Times New Roman"/>
      <w:lang w:eastAsia="es-CO"/>
    </w:rPr>
  </w:style>
  <w:style w:type="character" w:customStyle="1" w:styleId="apple-converted-space">
    <w:name w:val="apple-converted-space"/>
    <w:basedOn w:val="Fuentedeprrafopredeter"/>
  </w:style>
  <w:style w:type="character" w:styleId="Refdecomentario">
    <w:name w:val="annotation reference"/>
    <w:uiPriority w:val="99"/>
    <w:semiHidden/>
    <w:unhideWhenUsed/>
    <w:rPr>
      <w:sz w:val="16"/>
      <w:szCs w:val="16"/>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link w:val="Textocomentario"/>
    <w:uiPriority w:val="99"/>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link w:val="Asuntodelcomentario"/>
    <w:uiPriority w:val="99"/>
    <w:semiHidden/>
    <w:rPr>
      <w:rFonts w:ascii="Arial" w:eastAsia="Times New Roman" w:hAnsi="Arial" w:cs="Times New Roman"/>
      <w:b/>
      <w:bCs/>
      <w:sz w:val="20"/>
      <w:szCs w:val="20"/>
      <w:lang w:eastAsia="es-ES"/>
    </w:rPr>
  </w:style>
  <w:style w:type="paragraph" w:customStyle="1" w:styleId="p2">
    <w:name w:val="p2"/>
    <w:basedOn w:val="Normal"/>
    <w:pPr>
      <w:widowControl w:val="0"/>
      <w:tabs>
        <w:tab w:val="left" w:pos="170"/>
      </w:tabs>
      <w:autoSpaceDE w:val="0"/>
      <w:autoSpaceDN w:val="0"/>
      <w:adjustRightInd w:val="0"/>
      <w:spacing w:line="240" w:lineRule="atLeast"/>
      <w:ind w:left="754"/>
      <w:jc w:val="both"/>
    </w:pPr>
    <w:rPr>
      <w:rFonts w:ascii="Times New Roman" w:hAnsi="Times New Roman"/>
      <w:lang w:val="en-US"/>
    </w:rPr>
  </w:style>
  <w:style w:type="character" w:customStyle="1" w:styleId="Ttulo2Car">
    <w:name w:val="Título 2 Car"/>
    <w:link w:val="Ttulo2"/>
    <w:rsid w:val="009D4EC2"/>
    <w:rPr>
      <w:rFonts w:ascii="Arial" w:eastAsia="Times New Roman" w:hAnsi="Arial" w:cs="Arial"/>
      <w:b/>
      <w:bCs/>
      <w:sz w:val="22"/>
      <w:szCs w:val="22"/>
      <w:lang w:eastAsia="es-ES"/>
    </w:rPr>
  </w:style>
  <w:style w:type="character" w:customStyle="1" w:styleId="Ttulo3Car">
    <w:name w:val="Título 3 Car"/>
    <w:link w:val="Ttulo3"/>
    <w:uiPriority w:val="9"/>
    <w:rsid w:val="009D4EC2"/>
    <w:rPr>
      <w:rFonts w:ascii="Arial" w:eastAsia="Times New Roman" w:hAnsi="Arial"/>
      <w:b/>
      <w:bCs/>
      <w:sz w:val="22"/>
      <w:szCs w:val="24"/>
      <w:lang w:eastAsia="es-ES"/>
    </w:rPr>
  </w:style>
  <w:style w:type="paragraph" w:customStyle="1" w:styleId="Epgrafe1">
    <w:name w:val="Epígrafe1"/>
    <w:basedOn w:val="Normal"/>
    <w:next w:val="Normal"/>
    <w:autoRedefine/>
    <w:uiPriority w:val="35"/>
    <w:qFormat/>
    <w:pPr>
      <w:shd w:val="clear" w:color="auto" w:fill="FFFFFF"/>
      <w:spacing w:before="0" w:after="0" w:line="0" w:lineRule="atLeast"/>
      <w:ind w:left="18"/>
      <w:jc w:val="center"/>
    </w:pPr>
    <w:rPr>
      <w:rFonts w:ascii="Calibri" w:hAnsi="Calibri" w:cs="Arial"/>
      <w:b/>
      <w:bCs/>
      <w:color w:val="000000"/>
      <w:spacing w:val="-8"/>
      <w:sz w:val="20"/>
      <w:szCs w:val="20"/>
      <w:lang w:val="es-ES_tradnl"/>
    </w:rPr>
  </w:style>
  <w:style w:type="paragraph" w:styleId="Textonotapie">
    <w:name w:val="footnote text"/>
    <w:basedOn w:val="Normal"/>
    <w:link w:val="TextonotapieCar"/>
    <w:autoRedefine/>
    <w:uiPriority w:val="99"/>
    <w:pPr>
      <w:spacing w:before="100"/>
      <w:jc w:val="both"/>
    </w:pPr>
    <w:rPr>
      <w:rFonts w:eastAsia="Calibri" w:cs="Arial"/>
      <w:sz w:val="20"/>
      <w:szCs w:val="22"/>
      <w:lang w:val="es-ES_tradnl"/>
    </w:rPr>
  </w:style>
  <w:style w:type="character" w:customStyle="1" w:styleId="TextonotapieCar">
    <w:name w:val="Texto nota pie Car"/>
    <w:link w:val="Textonotapie"/>
    <w:uiPriority w:val="99"/>
    <w:rPr>
      <w:rFonts w:ascii="Arial" w:hAnsi="Arial" w:cs="Arial"/>
      <w:szCs w:val="22"/>
      <w:lang w:val="es-ES_tradnl" w:eastAsia="es-ES"/>
    </w:rPr>
  </w:style>
  <w:style w:type="paragraph" w:styleId="TtuloTDC">
    <w:name w:val="TOC Heading"/>
    <w:basedOn w:val="Ttulo1"/>
    <w:next w:val="Normal"/>
    <w:uiPriority w:val="39"/>
    <w:unhideWhenUsed/>
    <w:qFormat/>
    <w:pPr>
      <w:keepLines/>
      <w:spacing w:before="480" w:line="276" w:lineRule="auto"/>
      <w:jc w:val="left"/>
      <w:outlineLvl w:val="9"/>
    </w:pPr>
    <w:rPr>
      <w:rFonts w:ascii="Cambria" w:hAnsi="Cambria"/>
      <w:color w:val="365F91"/>
      <w:sz w:val="28"/>
      <w:szCs w:val="28"/>
      <w:lang w:val="es-CO" w:eastAsia="es-CO"/>
    </w:rPr>
  </w:style>
  <w:style w:type="paragraph" w:styleId="TDC1">
    <w:name w:val="toc 1"/>
    <w:basedOn w:val="Normal"/>
    <w:next w:val="Normal"/>
    <w:autoRedefine/>
    <w:uiPriority w:val="39"/>
    <w:unhideWhenUsed/>
    <w:pPr>
      <w:spacing w:before="100" w:after="100"/>
      <w:jc w:val="both"/>
    </w:pPr>
    <w:rPr>
      <w:rFonts w:ascii="Calibri" w:hAnsi="Calibri"/>
      <w:szCs w:val="20"/>
      <w:lang w:val="es-ES_tradnl"/>
    </w:rPr>
  </w:style>
  <w:style w:type="paragraph" w:styleId="TDC2">
    <w:name w:val="toc 2"/>
    <w:basedOn w:val="Normal"/>
    <w:next w:val="Normal"/>
    <w:autoRedefine/>
    <w:uiPriority w:val="39"/>
    <w:unhideWhenUsed/>
    <w:pPr>
      <w:spacing w:before="100" w:after="100"/>
      <w:ind w:left="240"/>
      <w:jc w:val="both"/>
    </w:pPr>
    <w:rPr>
      <w:rFonts w:ascii="Calibri" w:hAnsi="Calibri"/>
      <w:szCs w:val="20"/>
      <w:lang w:val="es-ES_tradnl"/>
    </w:rPr>
  </w:style>
  <w:style w:type="character" w:styleId="Hipervnculo">
    <w:name w:val="Hyperlink"/>
    <w:uiPriority w:val="99"/>
    <w:unhideWhenUsed/>
    <w:rPr>
      <w:color w:val="0000FF"/>
      <w:u w:val="single"/>
    </w:rPr>
  </w:style>
  <w:style w:type="character" w:styleId="Refdenotaalpie">
    <w:name w:val="footnote reference"/>
    <w:uiPriority w:val="99"/>
    <w:unhideWhenUsed/>
    <w:rPr>
      <w:vertAlign w:val="superscript"/>
    </w:rPr>
  </w:style>
  <w:style w:type="paragraph" w:customStyle="1" w:styleId="c5">
    <w:name w:val="c5"/>
    <w:basedOn w:val="Normal"/>
    <w:pPr>
      <w:autoSpaceDE w:val="0"/>
      <w:autoSpaceDN w:val="0"/>
      <w:spacing w:line="240" w:lineRule="atLeast"/>
      <w:jc w:val="center"/>
    </w:pPr>
    <w:rPr>
      <w:rFonts w:ascii="Times New Roman" w:hAnsi="Times New Roman"/>
      <w:sz w:val="22"/>
      <w:lang w:val="es-ES"/>
    </w:rPr>
  </w:style>
  <w:style w:type="paragraph" w:styleId="TDC3">
    <w:name w:val="toc 3"/>
    <w:basedOn w:val="Normal"/>
    <w:next w:val="Normal"/>
    <w:autoRedefine/>
    <w:uiPriority w:val="39"/>
    <w:unhideWhenUsed/>
    <w:pPr>
      <w:spacing w:after="100"/>
      <w:ind w:left="440"/>
      <w:jc w:val="both"/>
    </w:pPr>
    <w:rPr>
      <w:sz w:val="22"/>
      <w:lang w:val="es-ES"/>
    </w:rPr>
  </w:style>
  <w:style w:type="table" w:customStyle="1" w:styleId="Tabladelista7concolores-nfasis61">
    <w:name w:val="Tabla de lista 7 con colores - Énfasis 61"/>
    <w:basedOn w:val="Tablanormal"/>
    <w:uiPriority w:val="52"/>
    <w:rPr>
      <w:color w:val="538135"/>
      <w:sz w:val="22"/>
      <w:szCs w:val="22"/>
      <w:lang w:eastAsia="en-US"/>
    </w:rPr>
    <w:tblPr>
      <w:tblStyleRowBandSize w:val="1"/>
      <w:tblStyleColBandSize w:val="1"/>
    </w:tblPr>
    <w:tblStylePr w:type="firstRow">
      <w:rPr>
        <w:rFonts w:ascii="+mn-ea" w:eastAsia="Times New Roman" w:hAnsi="+mn-ea" w:cs="Times New Roman"/>
        <w:i/>
        <w:iCs/>
        <w:sz w:val="26"/>
      </w:rPr>
      <w:tblPr/>
      <w:tcPr>
        <w:tcBorders>
          <w:bottom w:val="single" w:sz="4" w:space="0" w:color="70AD47"/>
        </w:tcBorders>
        <w:shd w:val="clear" w:color="auto" w:fill="FFFFFF"/>
      </w:tcPr>
    </w:tblStylePr>
    <w:tblStylePr w:type="lastRow">
      <w:rPr>
        <w:rFonts w:ascii="+mn-ea" w:eastAsia="Times New Roman" w:hAnsi="+mn-ea" w:cs="Times New Roman"/>
        <w:i/>
        <w:iCs/>
        <w:sz w:val="26"/>
      </w:rPr>
      <w:tblPr/>
      <w:tcPr>
        <w:tcBorders>
          <w:top w:val="single" w:sz="4" w:space="0" w:color="70AD47"/>
        </w:tcBorders>
        <w:shd w:val="clear" w:color="auto" w:fill="FFFFFF"/>
      </w:tcPr>
    </w:tblStylePr>
    <w:tblStylePr w:type="firstCol">
      <w:pPr>
        <w:jc w:val="right"/>
      </w:pPr>
      <w:rPr>
        <w:rFonts w:ascii="+mn-ea" w:eastAsia="Times New Roman" w:hAnsi="+mn-ea" w:cs="Times New Roman"/>
        <w:i/>
        <w:iCs/>
        <w:sz w:val="26"/>
      </w:rPr>
      <w:tblPr/>
      <w:tcPr>
        <w:tcBorders>
          <w:right w:val="single" w:sz="4" w:space="0" w:color="70AD47"/>
        </w:tcBorders>
        <w:shd w:val="clear" w:color="auto" w:fill="FFFFFF"/>
      </w:tcPr>
    </w:tblStylePr>
    <w:tblStylePr w:type="lastCol">
      <w:rPr>
        <w:rFonts w:ascii="+mn-ea" w:eastAsia="Times New Roman" w:hAnsi="+mn-ea"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n">
    <w:name w:val="Revision"/>
    <w:hidden/>
    <w:uiPriority w:val="99"/>
    <w:semiHidden/>
    <w:rPr>
      <w:rFonts w:ascii="Arial" w:eastAsia="Times New Roman" w:hAnsi="Arial"/>
      <w:sz w:val="24"/>
      <w:szCs w:val="24"/>
      <w:lang w:eastAsia="es-ES"/>
    </w:rPr>
  </w:style>
  <w:style w:type="paragraph" w:customStyle="1" w:styleId="CM18">
    <w:name w:val="CM18"/>
    <w:basedOn w:val="Default"/>
    <w:next w:val="Default"/>
    <w:uiPriority w:val="99"/>
    <w:rPr>
      <w:color w:val="auto"/>
      <w:lang w:eastAsia="es-CO"/>
    </w:rPr>
  </w:style>
  <w:style w:type="paragraph" w:styleId="Descripcin">
    <w:name w:val="caption"/>
    <w:basedOn w:val="Normal"/>
    <w:next w:val="Normal"/>
    <w:autoRedefine/>
    <w:uiPriority w:val="35"/>
    <w:qFormat/>
    <w:pPr>
      <w:shd w:val="clear" w:color="auto" w:fill="FFFFFF"/>
      <w:spacing w:after="360"/>
      <w:ind w:left="17"/>
      <w:jc w:val="center"/>
    </w:pPr>
    <w:rPr>
      <w:rFonts w:ascii="Calibri" w:hAnsi="Calibri" w:cs="Arial"/>
      <w:b/>
      <w:bCs/>
      <w:color w:val="000000"/>
      <w:spacing w:val="-8"/>
      <w:sz w:val="20"/>
      <w:szCs w:val="20"/>
      <w:lang w:val="es-ES_tradnl"/>
    </w:rPr>
  </w:style>
  <w:style w:type="table" w:styleId="Tablaconcuadrcula">
    <w:name w:val="Table Grid"/>
    <w:basedOn w:val="Tablanormal"/>
    <w:uiPriority w:val="59"/>
    <w:rsid w:val="00CC3E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6742">
      <w:bodyDiv w:val="1"/>
      <w:marLeft w:val="0"/>
      <w:marRight w:val="0"/>
      <w:marTop w:val="0"/>
      <w:marBottom w:val="0"/>
      <w:divBdr>
        <w:top w:val="none" w:sz="0" w:space="0" w:color="auto"/>
        <w:left w:val="none" w:sz="0" w:space="0" w:color="auto"/>
        <w:bottom w:val="none" w:sz="0" w:space="0" w:color="auto"/>
        <w:right w:val="none" w:sz="0" w:space="0" w:color="auto"/>
      </w:divBdr>
    </w:div>
    <w:div w:id="159783464">
      <w:bodyDiv w:val="1"/>
      <w:marLeft w:val="0"/>
      <w:marRight w:val="0"/>
      <w:marTop w:val="0"/>
      <w:marBottom w:val="0"/>
      <w:divBdr>
        <w:top w:val="none" w:sz="0" w:space="0" w:color="auto"/>
        <w:left w:val="none" w:sz="0" w:space="0" w:color="auto"/>
        <w:bottom w:val="none" w:sz="0" w:space="0" w:color="auto"/>
        <w:right w:val="none" w:sz="0" w:space="0" w:color="auto"/>
      </w:divBdr>
    </w:div>
    <w:div w:id="174534561">
      <w:bodyDiv w:val="1"/>
      <w:marLeft w:val="0"/>
      <w:marRight w:val="0"/>
      <w:marTop w:val="0"/>
      <w:marBottom w:val="0"/>
      <w:divBdr>
        <w:top w:val="none" w:sz="0" w:space="0" w:color="auto"/>
        <w:left w:val="none" w:sz="0" w:space="0" w:color="auto"/>
        <w:bottom w:val="none" w:sz="0" w:space="0" w:color="auto"/>
        <w:right w:val="none" w:sz="0" w:space="0" w:color="auto"/>
      </w:divBdr>
    </w:div>
    <w:div w:id="209155239">
      <w:bodyDiv w:val="1"/>
      <w:marLeft w:val="0"/>
      <w:marRight w:val="0"/>
      <w:marTop w:val="0"/>
      <w:marBottom w:val="0"/>
      <w:divBdr>
        <w:top w:val="none" w:sz="0" w:space="0" w:color="auto"/>
        <w:left w:val="none" w:sz="0" w:space="0" w:color="auto"/>
        <w:bottom w:val="none" w:sz="0" w:space="0" w:color="auto"/>
        <w:right w:val="none" w:sz="0" w:space="0" w:color="auto"/>
      </w:divBdr>
    </w:div>
    <w:div w:id="296692630">
      <w:bodyDiv w:val="1"/>
      <w:marLeft w:val="0"/>
      <w:marRight w:val="0"/>
      <w:marTop w:val="0"/>
      <w:marBottom w:val="0"/>
      <w:divBdr>
        <w:top w:val="none" w:sz="0" w:space="0" w:color="auto"/>
        <w:left w:val="none" w:sz="0" w:space="0" w:color="auto"/>
        <w:bottom w:val="none" w:sz="0" w:space="0" w:color="auto"/>
        <w:right w:val="none" w:sz="0" w:space="0" w:color="auto"/>
      </w:divBdr>
    </w:div>
    <w:div w:id="315379459">
      <w:bodyDiv w:val="1"/>
      <w:marLeft w:val="0"/>
      <w:marRight w:val="0"/>
      <w:marTop w:val="0"/>
      <w:marBottom w:val="0"/>
      <w:divBdr>
        <w:top w:val="none" w:sz="0" w:space="0" w:color="auto"/>
        <w:left w:val="none" w:sz="0" w:space="0" w:color="auto"/>
        <w:bottom w:val="none" w:sz="0" w:space="0" w:color="auto"/>
        <w:right w:val="none" w:sz="0" w:space="0" w:color="auto"/>
      </w:divBdr>
    </w:div>
    <w:div w:id="363795144">
      <w:bodyDiv w:val="1"/>
      <w:marLeft w:val="0"/>
      <w:marRight w:val="0"/>
      <w:marTop w:val="0"/>
      <w:marBottom w:val="0"/>
      <w:divBdr>
        <w:top w:val="none" w:sz="0" w:space="0" w:color="auto"/>
        <w:left w:val="none" w:sz="0" w:space="0" w:color="auto"/>
        <w:bottom w:val="none" w:sz="0" w:space="0" w:color="auto"/>
        <w:right w:val="none" w:sz="0" w:space="0" w:color="auto"/>
      </w:divBdr>
    </w:div>
    <w:div w:id="426460199">
      <w:bodyDiv w:val="1"/>
      <w:marLeft w:val="0"/>
      <w:marRight w:val="0"/>
      <w:marTop w:val="0"/>
      <w:marBottom w:val="0"/>
      <w:divBdr>
        <w:top w:val="none" w:sz="0" w:space="0" w:color="auto"/>
        <w:left w:val="none" w:sz="0" w:space="0" w:color="auto"/>
        <w:bottom w:val="none" w:sz="0" w:space="0" w:color="auto"/>
        <w:right w:val="none" w:sz="0" w:space="0" w:color="auto"/>
      </w:divBdr>
    </w:div>
    <w:div w:id="465240268">
      <w:bodyDiv w:val="1"/>
      <w:marLeft w:val="0"/>
      <w:marRight w:val="0"/>
      <w:marTop w:val="0"/>
      <w:marBottom w:val="0"/>
      <w:divBdr>
        <w:top w:val="none" w:sz="0" w:space="0" w:color="auto"/>
        <w:left w:val="none" w:sz="0" w:space="0" w:color="auto"/>
        <w:bottom w:val="none" w:sz="0" w:space="0" w:color="auto"/>
        <w:right w:val="none" w:sz="0" w:space="0" w:color="auto"/>
      </w:divBdr>
    </w:div>
    <w:div w:id="496848453">
      <w:bodyDiv w:val="1"/>
      <w:marLeft w:val="0"/>
      <w:marRight w:val="0"/>
      <w:marTop w:val="0"/>
      <w:marBottom w:val="0"/>
      <w:divBdr>
        <w:top w:val="none" w:sz="0" w:space="0" w:color="auto"/>
        <w:left w:val="none" w:sz="0" w:space="0" w:color="auto"/>
        <w:bottom w:val="none" w:sz="0" w:space="0" w:color="auto"/>
        <w:right w:val="none" w:sz="0" w:space="0" w:color="auto"/>
      </w:divBdr>
    </w:div>
    <w:div w:id="511921205">
      <w:bodyDiv w:val="1"/>
      <w:marLeft w:val="0"/>
      <w:marRight w:val="0"/>
      <w:marTop w:val="0"/>
      <w:marBottom w:val="0"/>
      <w:divBdr>
        <w:top w:val="none" w:sz="0" w:space="0" w:color="auto"/>
        <w:left w:val="none" w:sz="0" w:space="0" w:color="auto"/>
        <w:bottom w:val="none" w:sz="0" w:space="0" w:color="auto"/>
        <w:right w:val="none" w:sz="0" w:space="0" w:color="auto"/>
      </w:divBdr>
    </w:div>
    <w:div w:id="713584114">
      <w:bodyDiv w:val="1"/>
      <w:marLeft w:val="0"/>
      <w:marRight w:val="0"/>
      <w:marTop w:val="0"/>
      <w:marBottom w:val="0"/>
      <w:divBdr>
        <w:top w:val="none" w:sz="0" w:space="0" w:color="auto"/>
        <w:left w:val="none" w:sz="0" w:space="0" w:color="auto"/>
        <w:bottom w:val="none" w:sz="0" w:space="0" w:color="auto"/>
        <w:right w:val="none" w:sz="0" w:space="0" w:color="auto"/>
      </w:divBdr>
    </w:div>
    <w:div w:id="1117020748">
      <w:bodyDiv w:val="1"/>
      <w:marLeft w:val="0"/>
      <w:marRight w:val="0"/>
      <w:marTop w:val="0"/>
      <w:marBottom w:val="0"/>
      <w:divBdr>
        <w:top w:val="none" w:sz="0" w:space="0" w:color="auto"/>
        <w:left w:val="none" w:sz="0" w:space="0" w:color="auto"/>
        <w:bottom w:val="none" w:sz="0" w:space="0" w:color="auto"/>
        <w:right w:val="none" w:sz="0" w:space="0" w:color="auto"/>
      </w:divBdr>
      <w:divsChild>
        <w:div w:id="44916638">
          <w:marLeft w:val="446"/>
          <w:marRight w:val="0"/>
          <w:marTop w:val="0"/>
          <w:marBottom w:val="0"/>
          <w:divBdr>
            <w:top w:val="none" w:sz="0" w:space="0" w:color="auto"/>
            <w:left w:val="none" w:sz="0" w:space="0" w:color="auto"/>
            <w:bottom w:val="none" w:sz="0" w:space="0" w:color="auto"/>
            <w:right w:val="none" w:sz="0" w:space="0" w:color="auto"/>
          </w:divBdr>
        </w:div>
        <w:div w:id="716393856">
          <w:marLeft w:val="446"/>
          <w:marRight w:val="0"/>
          <w:marTop w:val="0"/>
          <w:marBottom w:val="0"/>
          <w:divBdr>
            <w:top w:val="none" w:sz="0" w:space="0" w:color="auto"/>
            <w:left w:val="none" w:sz="0" w:space="0" w:color="auto"/>
            <w:bottom w:val="none" w:sz="0" w:space="0" w:color="auto"/>
            <w:right w:val="none" w:sz="0" w:space="0" w:color="auto"/>
          </w:divBdr>
        </w:div>
        <w:div w:id="760445751">
          <w:marLeft w:val="446"/>
          <w:marRight w:val="0"/>
          <w:marTop w:val="0"/>
          <w:marBottom w:val="0"/>
          <w:divBdr>
            <w:top w:val="none" w:sz="0" w:space="0" w:color="auto"/>
            <w:left w:val="none" w:sz="0" w:space="0" w:color="auto"/>
            <w:bottom w:val="none" w:sz="0" w:space="0" w:color="auto"/>
            <w:right w:val="none" w:sz="0" w:space="0" w:color="auto"/>
          </w:divBdr>
        </w:div>
        <w:div w:id="1082727306">
          <w:marLeft w:val="446"/>
          <w:marRight w:val="0"/>
          <w:marTop w:val="0"/>
          <w:marBottom w:val="0"/>
          <w:divBdr>
            <w:top w:val="none" w:sz="0" w:space="0" w:color="auto"/>
            <w:left w:val="none" w:sz="0" w:space="0" w:color="auto"/>
            <w:bottom w:val="none" w:sz="0" w:space="0" w:color="auto"/>
            <w:right w:val="none" w:sz="0" w:space="0" w:color="auto"/>
          </w:divBdr>
        </w:div>
        <w:div w:id="1255437288">
          <w:marLeft w:val="446"/>
          <w:marRight w:val="0"/>
          <w:marTop w:val="0"/>
          <w:marBottom w:val="0"/>
          <w:divBdr>
            <w:top w:val="none" w:sz="0" w:space="0" w:color="auto"/>
            <w:left w:val="none" w:sz="0" w:space="0" w:color="auto"/>
            <w:bottom w:val="none" w:sz="0" w:space="0" w:color="auto"/>
            <w:right w:val="none" w:sz="0" w:space="0" w:color="auto"/>
          </w:divBdr>
        </w:div>
        <w:div w:id="1700547496">
          <w:marLeft w:val="446"/>
          <w:marRight w:val="0"/>
          <w:marTop w:val="0"/>
          <w:marBottom w:val="0"/>
          <w:divBdr>
            <w:top w:val="none" w:sz="0" w:space="0" w:color="auto"/>
            <w:left w:val="none" w:sz="0" w:space="0" w:color="auto"/>
            <w:bottom w:val="none" w:sz="0" w:space="0" w:color="auto"/>
            <w:right w:val="none" w:sz="0" w:space="0" w:color="auto"/>
          </w:divBdr>
        </w:div>
        <w:div w:id="1797327982">
          <w:marLeft w:val="446"/>
          <w:marRight w:val="0"/>
          <w:marTop w:val="0"/>
          <w:marBottom w:val="0"/>
          <w:divBdr>
            <w:top w:val="none" w:sz="0" w:space="0" w:color="auto"/>
            <w:left w:val="none" w:sz="0" w:space="0" w:color="auto"/>
            <w:bottom w:val="none" w:sz="0" w:space="0" w:color="auto"/>
            <w:right w:val="none" w:sz="0" w:space="0" w:color="auto"/>
          </w:divBdr>
        </w:div>
      </w:divsChild>
    </w:div>
    <w:div w:id="1627276444">
      <w:bodyDiv w:val="1"/>
      <w:marLeft w:val="0"/>
      <w:marRight w:val="0"/>
      <w:marTop w:val="0"/>
      <w:marBottom w:val="0"/>
      <w:divBdr>
        <w:top w:val="none" w:sz="0" w:space="0" w:color="auto"/>
        <w:left w:val="none" w:sz="0" w:space="0" w:color="auto"/>
        <w:bottom w:val="none" w:sz="0" w:space="0" w:color="auto"/>
        <w:right w:val="none" w:sz="0" w:space="0" w:color="auto"/>
      </w:divBdr>
    </w:div>
    <w:div w:id="1707950508">
      <w:bodyDiv w:val="1"/>
      <w:marLeft w:val="0"/>
      <w:marRight w:val="0"/>
      <w:marTop w:val="0"/>
      <w:marBottom w:val="0"/>
      <w:divBdr>
        <w:top w:val="none" w:sz="0" w:space="0" w:color="auto"/>
        <w:left w:val="none" w:sz="0" w:space="0" w:color="auto"/>
        <w:bottom w:val="none" w:sz="0" w:space="0" w:color="auto"/>
        <w:right w:val="none" w:sz="0" w:space="0" w:color="auto"/>
      </w:divBdr>
    </w:div>
    <w:div w:id="1784497592">
      <w:bodyDiv w:val="1"/>
      <w:marLeft w:val="0"/>
      <w:marRight w:val="0"/>
      <w:marTop w:val="0"/>
      <w:marBottom w:val="0"/>
      <w:divBdr>
        <w:top w:val="none" w:sz="0" w:space="0" w:color="auto"/>
        <w:left w:val="none" w:sz="0" w:space="0" w:color="auto"/>
        <w:bottom w:val="none" w:sz="0" w:space="0" w:color="auto"/>
        <w:right w:val="none" w:sz="0" w:space="0" w:color="auto"/>
      </w:divBdr>
    </w:div>
    <w:div w:id="1835219369">
      <w:bodyDiv w:val="1"/>
      <w:marLeft w:val="0"/>
      <w:marRight w:val="0"/>
      <w:marTop w:val="0"/>
      <w:marBottom w:val="0"/>
      <w:divBdr>
        <w:top w:val="none" w:sz="0" w:space="0" w:color="auto"/>
        <w:left w:val="none" w:sz="0" w:space="0" w:color="auto"/>
        <w:bottom w:val="none" w:sz="0" w:space="0" w:color="auto"/>
        <w:right w:val="none" w:sz="0" w:space="0" w:color="auto"/>
      </w:divBdr>
    </w:div>
    <w:div w:id="1857040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Libro5"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Libro5"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94925634295716E-2"/>
          <c:y val="5.0925925925925923E-2"/>
          <c:w val="0.88890507436570432"/>
          <c:h val="0.89814814814814814"/>
        </c:manualLayout>
      </c:layout>
      <c:barChart>
        <c:barDir val="col"/>
        <c:grouping val="clustered"/>
        <c:varyColors val="0"/>
        <c:ser>
          <c:idx val="0"/>
          <c:order val="0"/>
          <c:spPr>
            <a:solidFill>
              <a:schemeClr val="bg1"/>
            </a:solidFill>
            <a:ln w="3175">
              <a:solidFill>
                <a:schemeClr val="bg1">
                  <a:lumMod val="50000"/>
                </a:schemeClr>
              </a:solidFill>
            </a:ln>
            <a:effectLst/>
          </c:spPr>
          <c:invertIfNegative val="0"/>
          <c:dPt>
            <c:idx val="0"/>
            <c:invertIfNegative val="0"/>
            <c:bubble3D val="0"/>
            <c:spPr>
              <a:solidFill>
                <a:schemeClr val="accent2">
                  <a:lumMod val="75000"/>
                </a:schemeClr>
              </a:solidFill>
              <a:ln w="3175">
                <a:solidFill>
                  <a:schemeClr val="accent2">
                    <a:lumMod val="75000"/>
                  </a:schemeClr>
                </a:solidFill>
              </a:ln>
              <a:effectLst/>
            </c:spPr>
            <c:extLst>
              <c:ext xmlns:c16="http://schemas.microsoft.com/office/drawing/2014/chart" uri="{C3380CC4-5D6E-409C-BE32-E72D297353CC}">
                <c16:uniqueId val="{00000001-781F-470F-9E72-F754F02700F9}"/>
              </c:ext>
            </c:extLst>
          </c:dPt>
          <c:dPt>
            <c:idx val="1"/>
            <c:invertIfNegative val="0"/>
            <c:bubble3D val="0"/>
            <c:spPr>
              <a:solidFill>
                <a:schemeClr val="accent2">
                  <a:lumMod val="75000"/>
                </a:schemeClr>
              </a:solidFill>
              <a:ln w="3175">
                <a:solidFill>
                  <a:schemeClr val="accent2">
                    <a:lumMod val="75000"/>
                  </a:schemeClr>
                </a:solidFill>
              </a:ln>
              <a:effectLst/>
            </c:spPr>
            <c:extLst>
              <c:ext xmlns:c16="http://schemas.microsoft.com/office/drawing/2014/chart" uri="{C3380CC4-5D6E-409C-BE32-E72D297353CC}">
                <c16:uniqueId val="{00000003-781F-470F-9E72-F754F02700F9}"/>
              </c:ext>
            </c:extLst>
          </c:dPt>
          <c:dPt>
            <c:idx val="2"/>
            <c:invertIfNegative val="0"/>
            <c:bubble3D val="0"/>
            <c:spPr>
              <a:solidFill>
                <a:schemeClr val="accent2">
                  <a:lumMod val="75000"/>
                </a:schemeClr>
              </a:solidFill>
              <a:ln w="3175">
                <a:solidFill>
                  <a:schemeClr val="accent2">
                    <a:lumMod val="75000"/>
                  </a:schemeClr>
                </a:solidFill>
              </a:ln>
              <a:effectLst/>
            </c:spPr>
            <c:extLst>
              <c:ext xmlns:c16="http://schemas.microsoft.com/office/drawing/2014/chart" uri="{C3380CC4-5D6E-409C-BE32-E72D297353CC}">
                <c16:uniqueId val="{00000005-781F-470F-9E72-F754F02700F9}"/>
              </c:ext>
            </c:extLst>
          </c:dPt>
          <c:dPt>
            <c:idx val="3"/>
            <c:invertIfNegative val="0"/>
            <c:bubble3D val="0"/>
            <c:spPr>
              <a:solidFill>
                <a:schemeClr val="accent2">
                  <a:lumMod val="75000"/>
                </a:schemeClr>
              </a:solidFill>
              <a:ln w="3175">
                <a:solidFill>
                  <a:schemeClr val="accent2">
                    <a:lumMod val="75000"/>
                  </a:schemeClr>
                </a:solidFill>
              </a:ln>
              <a:effectLst/>
            </c:spPr>
            <c:extLst>
              <c:ext xmlns:c16="http://schemas.microsoft.com/office/drawing/2014/chart" uri="{C3380CC4-5D6E-409C-BE32-E72D297353CC}">
                <c16:uniqueId val="{00000007-781F-470F-9E72-F754F02700F9}"/>
              </c:ext>
            </c:extLst>
          </c:dPt>
          <c:dPt>
            <c:idx val="6"/>
            <c:invertIfNegative val="0"/>
            <c:bubble3D val="0"/>
            <c:spPr>
              <a:solidFill>
                <a:schemeClr val="accent5">
                  <a:lumMod val="75000"/>
                </a:schemeClr>
              </a:solidFill>
              <a:ln w="3175">
                <a:solidFill>
                  <a:schemeClr val="accent5">
                    <a:lumMod val="75000"/>
                  </a:schemeClr>
                </a:solidFill>
              </a:ln>
              <a:effectLst/>
            </c:spPr>
            <c:extLst>
              <c:ext xmlns:c16="http://schemas.microsoft.com/office/drawing/2014/chart" uri="{C3380CC4-5D6E-409C-BE32-E72D297353CC}">
                <c16:uniqueId val="{00000009-781F-470F-9E72-F754F02700F9}"/>
              </c:ext>
            </c:extLst>
          </c:dPt>
          <c:dPt>
            <c:idx val="7"/>
            <c:invertIfNegative val="0"/>
            <c:bubble3D val="0"/>
            <c:spPr>
              <a:solidFill>
                <a:schemeClr val="accent5">
                  <a:lumMod val="75000"/>
                </a:schemeClr>
              </a:solidFill>
              <a:ln w="3175">
                <a:solidFill>
                  <a:schemeClr val="accent5">
                    <a:lumMod val="75000"/>
                  </a:schemeClr>
                </a:solidFill>
              </a:ln>
              <a:effectLst/>
            </c:spPr>
            <c:extLst>
              <c:ext xmlns:c16="http://schemas.microsoft.com/office/drawing/2014/chart" uri="{C3380CC4-5D6E-409C-BE32-E72D297353CC}">
                <c16:uniqueId val="{0000000B-781F-470F-9E72-F754F02700F9}"/>
              </c:ext>
            </c:extLst>
          </c:dPt>
          <c:dPt>
            <c:idx val="8"/>
            <c:invertIfNegative val="0"/>
            <c:bubble3D val="0"/>
            <c:spPr>
              <a:solidFill>
                <a:schemeClr val="accent5">
                  <a:lumMod val="75000"/>
                </a:schemeClr>
              </a:solidFill>
              <a:ln w="3175">
                <a:solidFill>
                  <a:schemeClr val="accent5">
                    <a:lumMod val="75000"/>
                  </a:schemeClr>
                </a:solidFill>
              </a:ln>
              <a:effectLst/>
            </c:spPr>
            <c:extLst>
              <c:ext xmlns:c16="http://schemas.microsoft.com/office/drawing/2014/chart" uri="{C3380CC4-5D6E-409C-BE32-E72D297353CC}">
                <c16:uniqueId val="{0000000D-781F-470F-9E72-F754F02700F9}"/>
              </c:ext>
            </c:extLst>
          </c:dPt>
          <c:dPt>
            <c:idx val="9"/>
            <c:invertIfNegative val="0"/>
            <c:bubble3D val="0"/>
            <c:spPr>
              <a:solidFill>
                <a:schemeClr val="accent5">
                  <a:lumMod val="75000"/>
                </a:schemeClr>
              </a:solidFill>
              <a:ln w="3175">
                <a:solidFill>
                  <a:schemeClr val="accent5">
                    <a:lumMod val="75000"/>
                  </a:schemeClr>
                </a:solidFill>
              </a:ln>
              <a:effectLst/>
            </c:spPr>
            <c:extLst>
              <c:ext xmlns:c16="http://schemas.microsoft.com/office/drawing/2014/chart" uri="{C3380CC4-5D6E-409C-BE32-E72D297353CC}">
                <c16:uniqueId val="{0000000F-781F-470F-9E72-F754F02700F9}"/>
              </c:ext>
            </c:extLst>
          </c:dPt>
          <c:dPt>
            <c:idx val="10"/>
            <c:invertIfNegative val="0"/>
            <c:bubble3D val="0"/>
            <c:spPr>
              <a:solidFill>
                <a:schemeClr val="accent5">
                  <a:lumMod val="75000"/>
                </a:schemeClr>
              </a:solidFill>
              <a:ln w="3175">
                <a:solidFill>
                  <a:schemeClr val="accent5">
                    <a:lumMod val="75000"/>
                  </a:schemeClr>
                </a:solidFill>
              </a:ln>
              <a:effectLst/>
            </c:spPr>
            <c:extLst>
              <c:ext xmlns:c16="http://schemas.microsoft.com/office/drawing/2014/chart" uri="{C3380CC4-5D6E-409C-BE32-E72D297353CC}">
                <c16:uniqueId val="{00000011-781F-470F-9E72-F754F02700F9}"/>
              </c:ext>
            </c:extLst>
          </c:dPt>
          <c:dPt>
            <c:idx val="11"/>
            <c:invertIfNegative val="0"/>
            <c:bubble3D val="0"/>
            <c:spPr>
              <a:solidFill>
                <a:schemeClr val="accent5">
                  <a:lumMod val="75000"/>
                </a:schemeClr>
              </a:solidFill>
              <a:ln w="3175">
                <a:solidFill>
                  <a:schemeClr val="accent5">
                    <a:lumMod val="75000"/>
                  </a:schemeClr>
                </a:solidFill>
              </a:ln>
              <a:effectLst/>
            </c:spPr>
            <c:extLst>
              <c:ext xmlns:c16="http://schemas.microsoft.com/office/drawing/2014/chart" uri="{C3380CC4-5D6E-409C-BE32-E72D297353CC}">
                <c16:uniqueId val="{00000013-781F-470F-9E72-F754F02700F9}"/>
              </c:ext>
            </c:extLst>
          </c:dPt>
          <c:dPt>
            <c:idx val="12"/>
            <c:invertIfNegative val="0"/>
            <c:bubble3D val="0"/>
            <c:spPr>
              <a:solidFill>
                <a:schemeClr val="accent5">
                  <a:lumMod val="75000"/>
                </a:schemeClr>
              </a:solidFill>
              <a:ln w="3175">
                <a:solidFill>
                  <a:schemeClr val="accent5">
                    <a:lumMod val="75000"/>
                  </a:schemeClr>
                </a:solidFill>
              </a:ln>
              <a:effectLst/>
            </c:spPr>
            <c:extLst>
              <c:ext xmlns:c16="http://schemas.microsoft.com/office/drawing/2014/chart" uri="{C3380CC4-5D6E-409C-BE32-E72D297353CC}">
                <c16:uniqueId val="{00000015-781F-470F-9E72-F754F02700F9}"/>
              </c:ext>
            </c:extLst>
          </c:dPt>
          <c:dPt>
            <c:idx val="13"/>
            <c:invertIfNegative val="0"/>
            <c:bubble3D val="0"/>
            <c:spPr>
              <a:solidFill>
                <a:schemeClr val="accent5">
                  <a:lumMod val="75000"/>
                </a:schemeClr>
              </a:solidFill>
              <a:ln w="3175">
                <a:solidFill>
                  <a:schemeClr val="accent5">
                    <a:lumMod val="75000"/>
                  </a:schemeClr>
                </a:solidFill>
              </a:ln>
              <a:effectLst/>
            </c:spPr>
            <c:extLst>
              <c:ext xmlns:c16="http://schemas.microsoft.com/office/drawing/2014/chart" uri="{C3380CC4-5D6E-409C-BE32-E72D297353CC}">
                <c16:uniqueId val="{00000017-781F-470F-9E72-F754F02700F9}"/>
              </c:ext>
            </c:extLst>
          </c:dPt>
          <c:dPt>
            <c:idx val="14"/>
            <c:invertIfNegative val="0"/>
            <c:bubble3D val="0"/>
            <c:spPr>
              <a:solidFill>
                <a:schemeClr val="accent5">
                  <a:lumMod val="75000"/>
                </a:schemeClr>
              </a:solidFill>
              <a:ln w="3175">
                <a:solidFill>
                  <a:schemeClr val="accent5">
                    <a:lumMod val="75000"/>
                  </a:schemeClr>
                </a:solidFill>
              </a:ln>
              <a:effectLst/>
            </c:spPr>
            <c:extLst>
              <c:ext xmlns:c16="http://schemas.microsoft.com/office/drawing/2014/chart" uri="{C3380CC4-5D6E-409C-BE32-E72D297353CC}">
                <c16:uniqueId val="{00000019-781F-470F-9E72-F754F02700F9}"/>
              </c:ext>
            </c:extLst>
          </c:dPt>
          <c:dPt>
            <c:idx val="15"/>
            <c:invertIfNegative val="0"/>
            <c:bubble3D val="0"/>
            <c:spPr>
              <a:solidFill>
                <a:schemeClr val="accent5">
                  <a:lumMod val="75000"/>
                </a:schemeClr>
              </a:solidFill>
              <a:ln w="3175">
                <a:solidFill>
                  <a:schemeClr val="accent5">
                    <a:lumMod val="75000"/>
                  </a:schemeClr>
                </a:solidFill>
              </a:ln>
              <a:effectLst/>
            </c:spPr>
            <c:extLst>
              <c:ext xmlns:c16="http://schemas.microsoft.com/office/drawing/2014/chart" uri="{C3380CC4-5D6E-409C-BE32-E72D297353CC}">
                <c16:uniqueId val="{0000001B-781F-470F-9E72-F754F02700F9}"/>
              </c:ext>
            </c:extLst>
          </c:dPt>
          <c:dPt>
            <c:idx val="19"/>
            <c:invertIfNegative val="0"/>
            <c:bubble3D val="0"/>
            <c:spPr>
              <a:solidFill>
                <a:schemeClr val="accent5">
                  <a:lumMod val="75000"/>
                </a:schemeClr>
              </a:solidFill>
              <a:ln w="3175">
                <a:solidFill>
                  <a:schemeClr val="accent5">
                    <a:lumMod val="75000"/>
                  </a:schemeClr>
                </a:solidFill>
              </a:ln>
              <a:effectLst/>
            </c:spPr>
            <c:extLst>
              <c:ext xmlns:c16="http://schemas.microsoft.com/office/drawing/2014/chart" uri="{C3380CC4-5D6E-409C-BE32-E72D297353CC}">
                <c16:uniqueId val="{0000001D-781F-470F-9E72-F754F02700F9}"/>
              </c:ext>
            </c:extLst>
          </c:dPt>
          <c:dPt>
            <c:idx val="20"/>
            <c:invertIfNegative val="0"/>
            <c:bubble3D val="0"/>
            <c:spPr>
              <a:solidFill>
                <a:schemeClr val="accent5">
                  <a:lumMod val="75000"/>
                </a:schemeClr>
              </a:solidFill>
              <a:ln w="3175">
                <a:solidFill>
                  <a:schemeClr val="accent5">
                    <a:lumMod val="75000"/>
                  </a:schemeClr>
                </a:solidFill>
              </a:ln>
              <a:effectLst/>
            </c:spPr>
            <c:extLst>
              <c:ext xmlns:c16="http://schemas.microsoft.com/office/drawing/2014/chart" uri="{C3380CC4-5D6E-409C-BE32-E72D297353CC}">
                <c16:uniqueId val="{0000001F-781F-470F-9E72-F754F02700F9}"/>
              </c:ext>
            </c:extLst>
          </c:dPt>
          <c:dPt>
            <c:idx val="21"/>
            <c:invertIfNegative val="0"/>
            <c:bubble3D val="0"/>
            <c:spPr>
              <a:solidFill>
                <a:schemeClr val="accent5">
                  <a:lumMod val="75000"/>
                </a:schemeClr>
              </a:solidFill>
              <a:ln w="3175">
                <a:solidFill>
                  <a:schemeClr val="accent5">
                    <a:lumMod val="75000"/>
                  </a:schemeClr>
                </a:solidFill>
              </a:ln>
              <a:effectLst/>
            </c:spPr>
            <c:extLst>
              <c:ext xmlns:c16="http://schemas.microsoft.com/office/drawing/2014/chart" uri="{C3380CC4-5D6E-409C-BE32-E72D297353CC}">
                <c16:uniqueId val="{00000021-781F-470F-9E72-F754F02700F9}"/>
              </c:ext>
            </c:extLst>
          </c:dPt>
          <c:dPt>
            <c:idx val="22"/>
            <c:invertIfNegative val="0"/>
            <c:bubble3D val="0"/>
            <c:spPr>
              <a:solidFill>
                <a:schemeClr val="accent5">
                  <a:lumMod val="75000"/>
                </a:schemeClr>
              </a:solidFill>
              <a:ln w="3175">
                <a:solidFill>
                  <a:schemeClr val="accent5">
                    <a:lumMod val="75000"/>
                  </a:schemeClr>
                </a:solidFill>
              </a:ln>
              <a:effectLst/>
            </c:spPr>
            <c:extLst>
              <c:ext xmlns:c16="http://schemas.microsoft.com/office/drawing/2014/chart" uri="{C3380CC4-5D6E-409C-BE32-E72D297353CC}">
                <c16:uniqueId val="{00000023-781F-470F-9E72-F754F02700F9}"/>
              </c:ext>
            </c:extLst>
          </c:dPt>
          <c:dPt>
            <c:idx val="23"/>
            <c:invertIfNegative val="0"/>
            <c:bubble3D val="0"/>
            <c:spPr>
              <a:solidFill>
                <a:schemeClr val="accent5">
                  <a:lumMod val="75000"/>
                </a:schemeClr>
              </a:solidFill>
              <a:ln w="3175">
                <a:solidFill>
                  <a:schemeClr val="accent5">
                    <a:lumMod val="75000"/>
                  </a:schemeClr>
                </a:solidFill>
              </a:ln>
              <a:effectLst/>
            </c:spPr>
            <c:extLst>
              <c:ext xmlns:c16="http://schemas.microsoft.com/office/drawing/2014/chart" uri="{C3380CC4-5D6E-409C-BE32-E72D297353CC}">
                <c16:uniqueId val="{00000025-781F-470F-9E72-F754F02700F9}"/>
              </c:ext>
            </c:extLst>
          </c:dPt>
          <c:dPt>
            <c:idx val="24"/>
            <c:invertIfNegative val="0"/>
            <c:bubble3D val="0"/>
            <c:spPr>
              <a:solidFill>
                <a:schemeClr val="accent5">
                  <a:lumMod val="75000"/>
                </a:schemeClr>
              </a:solidFill>
              <a:ln w="3175">
                <a:solidFill>
                  <a:schemeClr val="accent5">
                    <a:lumMod val="75000"/>
                  </a:schemeClr>
                </a:solidFill>
              </a:ln>
              <a:effectLst/>
            </c:spPr>
            <c:extLst>
              <c:ext xmlns:c16="http://schemas.microsoft.com/office/drawing/2014/chart" uri="{C3380CC4-5D6E-409C-BE32-E72D297353CC}">
                <c16:uniqueId val="{00000027-781F-470F-9E72-F754F02700F9}"/>
              </c:ext>
            </c:extLst>
          </c:dPt>
          <c:dPt>
            <c:idx val="25"/>
            <c:invertIfNegative val="0"/>
            <c:bubble3D val="0"/>
            <c:spPr>
              <a:solidFill>
                <a:schemeClr val="accent5">
                  <a:lumMod val="75000"/>
                </a:schemeClr>
              </a:solidFill>
              <a:ln w="3175">
                <a:solidFill>
                  <a:schemeClr val="accent5">
                    <a:lumMod val="75000"/>
                  </a:schemeClr>
                </a:solidFill>
              </a:ln>
              <a:effectLst/>
            </c:spPr>
            <c:extLst>
              <c:ext xmlns:c16="http://schemas.microsoft.com/office/drawing/2014/chart" uri="{C3380CC4-5D6E-409C-BE32-E72D297353CC}">
                <c16:uniqueId val="{00000029-781F-470F-9E72-F754F02700F9}"/>
              </c:ext>
            </c:extLst>
          </c:dPt>
          <c:dPt>
            <c:idx val="48"/>
            <c:invertIfNegative val="0"/>
            <c:bubble3D val="0"/>
            <c:spPr>
              <a:solidFill>
                <a:schemeClr val="accent5">
                  <a:lumMod val="75000"/>
                </a:schemeClr>
              </a:solidFill>
              <a:ln w="3175">
                <a:solidFill>
                  <a:schemeClr val="accent5">
                    <a:lumMod val="75000"/>
                  </a:schemeClr>
                </a:solidFill>
              </a:ln>
              <a:effectLst/>
            </c:spPr>
            <c:extLst>
              <c:ext xmlns:c16="http://schemas.microsoft.com/office/drawing/2014/chart" uri="{C3380CC4-5D6E-409C-BE32-E72D297353CC}">
                <c16:uniqueId val="{0000002B-781F-470F-9E72-F754F02700F9}"/>
              </c:ext>
            </c:extLst>
          </c:dPt>
          <c:dPt>
            <c:idx val="49"/>
            <c:invertIfNegative val="0"/>
            <c:bubble3D val="0"/>
            <c:spPr>
              <a:solidFill>
                <a:schemeClr val="accent5">
                  <a:lumMod val="75000"/>
                </a:schemeClr>
              </a:solidFill>
              <a:ln w="3175">
                <a:solidFill>
                  <a:schemeClr val="accent5">
                    <a:lumMod val="75000"/>
                  </a:schemeClr>
                </a:solidFill>
              </a:ln>
              <a:effectLst/>
            </c:spPr>
            <c:extLst>
              <c:ext xmlns:c16="http://schemas.microsoft.com/office/drawing/2014/chart" uri="{C3380CC4-5D6E-409C-BE32-E72D297353CC}">
                <c16:uniqueId val="{0000002D-781F-470F-9E72-F754F02700F9}"/>
              </c:ext>
            </c:extLst>
          </c:dPt>
          <c:dPt>
            <c:idx val="58"/>
            <c:invertIfNegative val="0"/>
            <c:bubble3D val="0"/>
            <c:spPr>
              <a:solidFill>
                <a:schemeClr val="accent2">
                  <a:lumMod val="75000"/>
                </a:schemeClr>
              </a:solidFill>
              <a:ln w="3175">
                <a:solidFill>
                  <a:schemeClr val="accent2">
                    <a:lumMod val="75000"/>
                  </a:schemeClr>
                </a:solidFill>
              </a:ln>
              <a:effectLst/>
            </c:spPr>
            <c:extLst>
              <c:ext xmlns:c16="http://schemas.microsoft.com/office/drawing/2014/chart" uri="{C3380CC4-5D6E-409C-BE32-E72D297353CC}">
                <c16:uniqueId val="{0000002F-781F-470F-9E72-F754F02700F9}"/>
              </c:ext>
            </c:extLst>
          </c:dPt>
          <c:dPt>
            <c:idx val="59"/>
            <c:invertIfNegative val="0"/>
            <c:bubble3D val="0"/>
            <c:spPr>
              <a:solidFill>
                <a:schemeClr val="accent2">
                  <a:lumMod val="75000"/>
                </a:schemeClr>
              </a:solidFill>
              <a:ln w="3175">
                <a:solidFill>
                  <a:schemeClr val="accent2">
                    <a:lumMod val="75000"/>
                  </a:schemeClr>
                </a:solidFill>
              </a:ln>
              <a:effectLst/>
            </c:spPr>
            <c:extLst>
              <c:ext xmlns:c16="http://schemas.microsoft.com/office/drawing/2014/chart" uri="{C3380CC4-5D6E-409C-BE32-E72D297353CC}">
                <c16:uniqueId val="{00000031-781F-470F-9E72-F754F02700F9}"/>
              </c:ext>
            </c:extLst>
          </c:dPt>
          <c:dPt>
            <c:idx val="60"/>
            <c:invertIfNegative val="0"/>
            <c:bubble3D val="0"/>
            <c:spPr>
              <a:solidFill>
                <a:schemeClr val="accent2">
                  <a:lumMod val="75000"/>
                </a:schemeClr>
              </a:solidFill>
              <a:ln w="3175">
                <a:solidFill>
                  <a:schemeClr val="accent2">
                    <a:lumMod val="75000"/>
                  </a:schemeClr>
                </a:solidFill>
              </a:ln>
              <a:effectLst/>
            </c:spPr>
            <c:extLst>
              <c:ext xmlns:c16="http://schemas.microsoft.com/office/drawing/2014/chart" uri="{C3380CC4-5D6E-409C-BE32-E72D297353CC}">
                <c16:uniqueId val="{00000033-781F-470F-9E72-F754F02700F9}"/>
              </c:ext>
            </c:extLst>
          </c:dPt>
          <c:dPt>
            <c:idx val="61"/>
            <c:invertIfNegative val="0"/>
            <c:bubble3D val="0"/>
            <c:spPr>
              <a:solidFill>
                <a:schemeClr val="accent2">
                  <a:lumMod val="75000"/>
                </a:schemeClr>
              </a:solidFill>
              <a:ln w="3175">
                <a:solidFill>
                  <a:schemeClr val="accent2">
                    <a:lumMod val="75000"/>
                  </a:schemeClr>
                </a:solidFill>
              </a:ln>
              <a:effectLst/>
            </c:spPr>
            <c:extLst>
              <c:ext xmlns:c16="http://schemas.microsoft.com/office/drawing/2014/chart" uri="{C3380CC4-5D6E-409C-BE32-E72D297353CC}">
                <c16:uniqueId val="{00000035-781F-470F-9E72-F754F02700F9}"/>
              </c:ext>
            </c:extLst>
          </c:dPt>
          <c:dPt>
            <c:idx val="62"/>
            <c:invertIfNegative val="0"/>
            <c:bubble3D val="0"/>
            <c:spPr>
              <a:solidFill>
                <a:schemeClr val="accent2">
                  <a:lumMod val="75000"/>
                </a:schemeClr>
              </a:solidFill>
              <a:ln w="3175">
                <a:solidFill>
                  <a:schemeClr val="accent2">
                    <a:lumMod val="75000"/>
                  </a:schemeClr>
                </a:solidFill>
              </a:ln>
              <a:effectLst/>
            </c:spPr>
            <c:extLst>
              <c:ext xmlns:c16="http://schemas.microsoft.com/office/drawing/2014/chart" uri="{C3380CC4-5D6E-409C-BE32-E72D297353CC}">
                <c16:uniqueId val="{00000037-781F-470F-9E72-F754F02700F9}"/>
              </c:ext>
            </c:extLst>
          </c:dPt>
          <c:dPt>
            <c:idx val="63"/>
            <c:invertIfNegative val="0"/>
            <c:bubble3D val="0"/>
            <c:spPr>
              <a:solidFill>
                <a:schemeClr val="accent2">
                  <a:lumMod val="75000"/>
                </a:schemeClr>
              </a:solidFill>
              <a:ln w="3175">
                <a:solidFill>
                  <a:schemeClr val="accent2">
                    <a:lumMod val="75000"/>
                  </a:schemeClr>
                </a:solidFill>
              </a:ln>
              <a:effectLst/>
            </c:spPr>
            <c:extLst>
              <c:ext xmlns:c16="http://schemas.microsoft.com/office/drawing/2014/chart" uri="{C3380CC4-5D6E-409C-BE32-E72D297353CC}">
                <c16:uniqueId val="{00000039-781F-470F-9E72-F754F02700F9}"/>
              </c:ext>
            </c:extLst>
          </c:dPt>
          <c:dPt>
            <c:idx val="64"/>
            <c:invertIfNegative val="0"/>
            <c:bubble3D val="0"/>
            <c:spPr>
              <a:solidFill>
                <a:schemeClr val="accent2">
                  <a:lumMod val="75000"/>
                </a:schemeClr>
              </a:solidFill>
              <a:ln w="3175">
                <a:solidFill>
                  <a:schemeClr val="accent2">
                    <a:lumMod val="75000"/>
                  </a:schemeClr>
                </a:solidFill>
              </a:ln>
              <a:effectLst/>
            </c:spPr>
            <c:extLst>
              <c:ext xmlns:c16="http://schemas.microsoft.com/office/drawing/2014/chart" uri="{C3380CC4-5D6E-409C-BE32-E72D297353CC}">
                <c16:uniqueId val="{0000003B-781F-470F-9E72-F754F02700F9}"/>
              </c:ext>
            </c:extLst>
          </c:dPt>
          <c:dPt>
            <c:idx val="65"/>
            <c:invertIfNegative val="0"/>
            <c:bubble3D val="0"/>
            <c:spPr>
              <a:solidFill>
                <a:schemeClr val="accent2">
                  <a:lumMod val="75000"/>
                </a:schemeClr>
              </a:solidFill>
              <a:ln w="3175">
                <a:solidFill>
                  <a:schemeClr val="accent2">
                    <a:lumMod val="75000"/>
                  </a:schemeClr>
                </a:solidFill>
              </a:ln>
              <a:effectLst/>
            </c:spPr>
            <c:extLst>
              <c:ext xmlns:c16="http://schemas.microsoft.com/office/drawing/2014/chart" uri="{C3380CC4-5D6E-409C-BE32-E72D297353CC}">
                <c16:uniqueId val="{0000003D-781F-470F-9E72-F754F02700F9}"/>
              </c:ext>
            </c:extLst>
          </c:dPt>
          <c:dPt>
            <c:idx val="66"/>
            <c:invertIfNegative val="0"/>
            <c:bubble3D val="0"/>
            <c:spPr>
              <a:solidFill>
                <a:schemeClr val="accent2">
                  <a:lumMod val="75000"/>
                </a:schemeClr>
              </a:solidFill>
              <a:ln w="3175">
                <a:solidFill>
                  <a:schemeClr val="accent2">
                    <a:lumMod val="75000"/>
                  </a:schemeClr>
                </a:solidFill>
              </a:ln>
              <a:effectLst/>
            </c:spPr>
            <c:extLst>
              <c:ext xmlns:c16="http://schemas.microsoft.com/office/drawing/2014/chart" uri="{C3380CC4-5D6E-409C-BE32-E72D297353CC}">
                <c16:uniqueId val="{0000003F-781F-470F-9E72-F754F02700F9}"/>
              </c:ext>
            </c:extLst>
          </c:dPt>
          <c:dPt>
            <c:idx val="67"/>
            <c:invertIfNegative val="0"/>
            <c:bubble3D val="0"/>
            <c:spPr>
              <a:solidFill>
                <a:schemeClr val="accent2">
                  <a:lumMod val="75000"/>
                </a:schemeClr>
              </a:solidFill>
              <a:ln w="3175">
                <a:solidFill>
                  <a:schemeClr val="accent2">
                    <a:lumMod val="75000"/>
                  </a:schemeClr>
                </a:solidFill>
              </a:ln>
              <a:effectLst/>
            </c:spPr>
            <c:extLst>
              <c:ext xmlns:c16="http://schemas.microsoft.com/office/drawing/2014/chart" uri="{C3380CC4-5D6E-409C-BE32-E72D297353CC}">
                <c16:uniqueId val="{00000041-781F-470F-9E72-F754F02700F9}"/>
              </c:ext>
            </c:extLst>
          </c:dPt>
          <c:dPt>
            <c:idx val="68"/>
            <c:invertIfNegative val="0"/>
            <c:bubble3D val="0"/>
            <c:spPr>
              <a:solidFill>
                <a:schemeClr val="accent2">
                  <a:lumMod val="75000"/>
                </a:schemeClr>
              </a:solidFill>
              <a:ln w="3175">
                <a:solidFill>
                  <a:schemeClr val="accent2">
                    <a:lumMod val="75000"/>
                  </a:schemeClr>
                </a:solidFill>
              </a:ln>
              <a:effectLst/>
            </c:spPr>
            <c:extLst>
              <c:ext xmlns:c16="http://schemas.microsoft.com/office/drawing/2014/chart" uri="{C3380CC4-5D6E-409C-BE32-E72D297353CC}">
                <c16:uniqueId val="{00000043-781F-470F-9E72-F754F02700F9}"/>
              </c:ext>
            </c:extLst>
          </c:dPt>
          <c:dPt>
            <c:idx val="69"/>
            <c:invertIfNegative val="0"/>
            <c:bubble3D val="0"/>
            <c:spPr>
              <a:solidFill>
                <a:schemeClr val="accent2">
                  <a:lumMod val="75000"/>
                </a:schemeClr>
              </a:solidFill>
              <a:ln w="3175">
                <a:solidFill>
                  <a:schemeClr val="accent2">
                    <a:lumMod val="75000"/>
                  </a:schemeClr>
                </a:solidFill>
              </a:ln>
              <a:effectLst/>
            </c:spPr>
            <c:extLst>
              <c:ext xmlns:c16="http://schemas.microsoft.com/office/drawing/2014/chart" uri="{C3380CC4-5D6E-409C-BE32-E72D297353CC}">
                <c16:uniqueId val="{00000045-781F-470F-9E72-F754F02700F9}"/>
              </c:ext>
            </c:extLst>
          </c:dPt>
          <c:dPt>
            <c:idx val="70"/>
            <c:invertIfNegative val="0"/>
            <c:bubble3D val="0"/>
            <c:spPr>
              <a:solidFill>
                <a:schemeClr val="accent2">
                  <a:lumMod val="75000"/>
                </a:schemeClr>
              </a:solidFill>
              <a:ln w="3175">
                <a:solidFill>
                  <a:schemeClr val="accent2">
                    <a:lumMod val="75000"/>
                  </a:schemeClr>
                </a:solidFill>
              </a:ln>
              <a:effectLst/>
            </c:spPr>
            <c:extLst>
              <c:ext xmlns:c16="http://schemas.microsoft.com/office/drawing/2014/chart" uri="{C3380CC4-5D6E-409C-BE32-E72D297353CC}">
                <c16:uniqueId val="{00000047-781F-470F-9E72-F754F02700F9}"/>
              </c:ext>
            </c:extLst>
          </c:dPt>
          <c:dPt>
            <c:idx val="71"/>
            <c:invertIfNegative val="0"/>
            <c:bubble3D val="0"/>
            <c:spPr>
              <a:solidFill>
                <a:schemeClr val="accent2">
                  <a:lumMod val="75000"/>
                </a:schemeClr>
              </a:solidFill>
              <a:ln w="3175">
                <a:solidFill>
                  <a:schemeClr val="accent2">
                    <a:lumMod val="75000"/>
                  </a:schemeClr>
                </a:solidFill>
              </a:ln>
              <a:effectLst/>
            </c:spPr>
            <c:extLst>
              <c:ext xmlns:c16="http://schemas.microsoft.com/office/drawing/2014/chart" uri="{C3380CC4-5D6E-409C-BE32-E72D297353CC}">
                <c16:uniqueId val="{00000049-781F-470F-9E72-F754F02700F9}"/>
              </c:ext>
            </c:extLst>
          </c:dPt>
          <c:dPt>
            <c:idx val="72"/>
            <c:invertIfNegative val="0"/>
            <c:bubble3D val="0"/>
            <c:spPr>
              <a:solidFill>
                <a:schemeClr val="accent2">
                  <a:lumMod val="75000"/>
                </a:schemeClr>
              </a:solidFill>
              <a:ln w="3175">
                <a:solidFill>
                  <a:schemeClr val="accent2">
                    <a:lumMod val="75000"/>
                  </a:schemeClr>
                </a:solidFill>
              </a:ln>
              <a:effectLst/>
            </c:spPr>
            <c:extLst>
              <c:ext xmlns:c16="http://schemas.microsoft.com/office/drawing/2014/chart" uri="{C3380CC4-5D6E-409C-BE32-E72D297353CC}">
                <c16:uniqueId val="{0000004B-781F-470F-9E72-F754F02700F9}"/>
              </c:ext>
            </c:extLst>
          </c:dPt>
          <c:dPt>
            <c:idx val="73"/>
            <c:invertIfNegative val="0"/>
            <c:bubble3D val="0"/>
            <c:spPr>
              <a:solidFill>
                <a:schemeClr val="accent2">
                  <a:lumMod val="75000"/>
                </a:schemeClr>
              </a:solidFill>
              <a:ln w="3175">
                <a:solidFill>
                  <a:schemeClr val="accent2">
                    <a:lumMod val="75000"/>
                  </a:schemeClr>
                </a:solidFill>
              </a:ln>
              <a:effectLst/>
            </c:spPr>
            <c:extLst>
              <c:ext xmlns:c16="http://schemas.microsoft.com/office/drawing/2014/chart" uri="{C3380CC4-5D6E-409C-BE32-E72D297353CC}">
                <c16:uniqueId val="{0000004D-781F-470F-9E72-F754F02700F9}"/>
              </c:ext>
            </c:extLst>
          </c:dPt>
          <c:dPt>
            <c:idx val="74"/>
            <c:invertIfNegative val="0"/>
            <c:bubble3D val="0"/>
            <c:spPr>
              <a:solidFill>
                <a:schemeClr val="accent2">
                  <a:lumMod val="75000"/>
                </a:schemeClr>
              </a:solidFill>
              <a:ln w="3175">
                <a:solidFill>
                  <a:schemeClr val="accent2">
                    <a:lumMod val="75000"/>
                  </a:schemeClr>
                </a:solidFill>
              </a:ln>
              <a:effectLst/>
            </c:spPr>
            <c:extLst>
              <c:ext xmlns:c16="http://schemas.microsoft.com/office/drawing/2014/chart" uri="{C3380CC4-5D6E-409C-BE32-E72D297353CC}">
                <c16:uniqueId val="{0000004F-781F-470F-9E72-F754F02700F9}"/>
              </c:ext>
            </c:extLst>
          </c:dPt>
          <c:dPt>
            <c:idx val="75"/>
            <c:invertIfNegative val="0"/>
            <c:bubble3D val="0"/>
            <c:spPr>
              <a:solidFill>
                <a:schemeClr val="accent2">
                  <a:lumMod val="75000"/>
                </a:schemeClr>
              </a:solidFill>
              <a:ln w="3175">
                <a:solidFill>
                  <a:schemeClr val="accent2">
                    <a:lumMod val="75000"/>
                  </a:schemeClr>
                </a:solidFill>
              </a:ln>
              <a:effectLst/>
            </c:spPr>
            <c:extLst>
              <c:ext xmlns:c16="http://schemas.microsoft.com/office/drawing/2014/chart" uri="{C3380CC4-5D6E-409C-BE32-E72D297353CC}">
                <c16:uniqueId val="{00000051-781F-470F-9E72-F754F02700F9}"/>
              </c:ext>
            </c:extLst>
          </c:dPt>
          <c:dPt>
            <c:idx val="76"/>
            <c:invertIfNegative val="0"/>
            <c:bubble3D val="0"/>
            <c:spPr>
              <a:solidFill>
                <a:schemeClr val="accent2">
                  <a:lumMod val="75000"/>
                </a:schemeClr>
              </a:solidFill>
              <a:ln w="3175">
                <a:solidFill>
                  <a:schemeClr val="accent2">
                    <a:lumMod val="75000"/>
                  </a:schemeClr>
                </a:solidFill>
              </a:ln>
              <a:effectLst/>
            </c:spPr>
            <c:extLst>
              <c:ext xmlns:c16="http://schemas.microsoft.com/office/drawing/2014/chart" uri="{C3380CC4-5D6E-409C-BE32-E72D297353CC}">
                <c16:uniqueId val="{00000053-781F-470F-9E72-F754F02700F9}"/>
              </c:ext>
            </c:extLst>
          </c:dPt>
          <c:dPt>
            <c:idx val="79"/>
            <c:invertIfNegative val="0"/>
            <c:bubble3D val="0"/>
            <c:spPr>
              <a:solidFill>
                <a:schemeClr val="accent5">
                  <a:lumMod val="75000"/>
                </a:schemeClr>
              </a:solidFill>
              <a:ln w="3175">
                <a:solidFill>
                  <a:schemeClr val="accent5">
                    <a:lumMod val="75000"/>
                  </a:schemeClr>
                </a:solidFill>
              </a:ln>
              <a:effectLst/>
            </c:spPr>
            <c:extLst>
              <c:ext xmlns:c16="http://schemas.microsoft.com/office/drawing/2014/chart" uri="{C3380CC4-5D6E-409C-BE32-E72D297353CC}">
                <c16:uniqueId val="{00000055-781F-470F-9E72-F754F02700F9}"/>
              </c:ext>
            </c:extLst>
          </c:dPt>
          <c:dPt>
            <c:idx val="80"/>
            <c:invertIfNegative val="0"/>
            <c:bubble3D val="0"/>
            <c:spPr>
              <a:solidFill>
                <a:schemeClr val="accent5">
                  <a:lumMod val="75000"/>
                </a:schemeClr>
              </a:solidFill>
              <a:ln w="3175">
                <a:solidFill>
                  <a:schemeClr val="accent5">
                    <a:lumMod val="75000"/>
                  </a:schemeClr>
                </a:solidFill>
              </a:ln>
              <a:effectLst/>
            </c:spPr>
            <c:extLst>
              <c:ext xmlns:c16="http://schemas.microsoft.com/office/drawing/2014/chart" uri="{C3380CC4-5D6E-409C-BE32-E72D297353CC}">
                <c16:uniqueId val="{00000057-781F-470F-9E72-F754F02700F9}"/>
              </c:ext>
            </c:extLst>
          </c:dPt>
          <c:dPt>
            <c:idx val="81"/>
            <c:invertIfNegative val="0"/>
            <c:bubble3D val="0"/>
            <c:spPr>
              <a:solidFill>
                <a:schemeClr val="accent5">
                  <a:lumMod val="75000"/>
                </a:schemeClr>
              </a:solidFill>
              <a:ln w="3175">
                <a:solidFill>
                  <a:schemeClr val="accent5">
                    <a:lumMod val="75000"/>
                  </a:schemeClr>
                </a:solidFill>
              </a:ln>
              <a:effectLst/>
            </c:spPr>
            <c:extLst>
              <c:ext xmlns:c16="http://schemas.microsoft.com/office/drawing/2014/chart" uri="{C3380CC4-5D6E-409C-BE32-E72D297353CC}">
                <c16:uniqueId val="{00000059-781F-470F-9E72-F754F02700F9}"/>
              </c:ext>
            </c:extLst>
          </c:dPt>
          <c:dPt>
            <c:idx val="82"/>
            <c:invertIfNegative val="0"/>
            <c:bubble3D val="0"/>
            <c:spPr>
              <a:solidFill>
                <a:schemeClr val="accent5">
                  <a:lumMod val="75000"/>
                </a:schemeClr>
              </a:solidFill>
              <a:ln w="3175">
                <a:solidFill>
                  <a:schemeClr val="accent5">
                    <a:lumMod val="75000"/>
                  </a:schemeClr>
                </a:solidFill>
              </a:ln>
              <a:effectLst/>
            </c:spPr>
            <c:extLst>
              <c:ext xmlns:c16="http://schemas.microsoft.com/office/drawing/2014/chart" uri="{C3380CC4-5D6E-409C-BE32-E72D297353CC}">
                <c16:uniqueId val="{0000005B-781F-470F-9E72-F754F02700F9}"/>
              </c:ext>
            </c:extLst>
          </c:dPt>
          <c:dPt>
            <c:idx val="83"/>
            <c:invertIfNegative val="0"/>
            <c:bubble3D val="0"/>
            <c:spPr>
              <a:solidFill>
                <a:schemeClr val="accent5">
                  <a:lumMod val="75000"/>
                </a:schemeClr>
              </a:solidFill>
              <a:ln w="3175">
                <a:solidFill>
                  <a:schemeClr val="accent5">
                    <a:lumMod val="75000"/>
                  </a:schemeClr>
                </a:solidFill>
              </a:ln>
              <a:effectLst/>
            </c:spPr>
            <c:extLst>
              <c:ext xmlns:c16="http://schemas.microsoft.com/office/drawing/2014/chart" uri="{C3380CC4-5D6E-409C-BE32-E72D297353CC}">
                <c16:uniqueId val="{0000005D-781F-470F-9E72-F754F02700F9}"/>
              </c:ext>
            </c:extLst>
          </c:dPt>
          <c:cat>
            <c:multiLvlStrRef>
              <c:f>Hoja1!$A$12:$B$99</c:f>
              <c:multiLvlStrCache>
                <c:ptCount val="8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pt idx="86">
                    <c:v>III</c:v>
                  </c:pt>
                  <c:pt idx="87">
                    <c:v>IV</c:v>
                  </c:pt>
                </c:lvl>
                <c:lvl>
                  <c:pt idx="0">
                    <c:v>2010</c:v>
                  </c:pt>
                  <c:pt idx="12">
                    <c:v>2011</c:v>
                  </c:pt>
                  <c:pt idx="24">
                    <c:v>2012</c:v>
                  </c:pt>
                  <c:pt idx="36">
                    <c:v>2013</c:v>
                  </c:pt>
                  <c:pt idx="48">
                    <c:v>2014</c:v>
                  </c:pt>
                  <c:pt idx="60">
                    <c:v>2015</c:v>
                  </c:pt>
                  <c:pt idx="72">
                    <c:v>2016</c:v>
                  </c:pt>
                  <c:pt idx="84">
                    <c:v>2017</c:v>
                  </c:pt>
                </c:lvl>
              </c:multiLvlStrCache>
            </c:multiLvlStrRef>
          </c:cat>
          <c:val>
            <c:numRef>
              <c:f>Hoja1!$C$12:$C$99</c:f>
              <c:numCache>
                <c:formatCode>General</c:formatCode>
                <c:ptCount val="88"/>
                <c:pt idx="0">
                  <c:v>1.3</c:v>
                </c:pt>
                <c:pt idx="1">
                  <c:v>1.2</c:v>
                </c:pt>
                <c:pt idx="2">
                  <c:v>0.9</c:v>
                </c:pt>
                <c:pt idx="3">
                  <c:v>0.5</c:v>
                </c:pt>
                <c:pt idx="4">
                  <c:v>0</c:v>
                </c:pt>
                <c:pt idx="5">
                  <c:v>-0.4</c:v>
                </c:pt>
                <c:pt idx="6">
                  <c:v>-0.9</c:v>
                </c:pt>
                <c:pt idx="7">
                  <c:v>-1.2</c:v>
                </c:pt>
                <c:pt idx="8">
                  <c:v>-1.4</c:v>
                </c:pt>
                <c:pt idx="9">
                  <c:v>-1.5</c:v>
                </c:pt>
                <c:pt idx="10">
                  <c:v>-1.4</c:v>
                </c:pt>
                <c:pt idx="11">
                  <c:v>-1.4</c:v>
                </c:pt>
                <c:pt idx="12">
                  <c:v>-1.3</c:v>
                </c:pt>
                <c:pt idx="13">
                  <c:v>-1</c:v>
                </c:pt>
                <c:pt idx="14">
                  <c:v>-0.7</c:v>
                </c:pt>
                <c:pt idx="15">
                  <c:v>-0.5</c:v>
                </c:pt>
                <c:pt idx="16">
                  <c:v>-0.4</c:v>
                </c:pt>
                <c:pt idx="17">
                  <c:v>-0.3</c:v>
                </c:pt>
                <c:pt idx="18">
                  <c:v>-0.3</c:v>
                </c:pt>
                <c:pt idx="19">
                  <c:v>-0.6</c:v>
                </c:pt>
                <c:pt idx="20">
                  <c:v>-0.8</c:v>
                </c:pt>
                <c:pt idx="21">
                  <c:v>-0.9</c:v>
                </c:pt>
                <c:pt idx="22">
                  <c:v>-1</c:v>
                </c:pt>
                <c:pt idx="23">
                  <c:v>-0.9</c:v>
                </c:pt>
                <c:pt idx="24">
                  <c:v>-0.7</c:v>
                </c:pt>
                <c:pt idx="25">
                  <c:v>-0.5</c:v>
                </c:pt>
                <c:pt idx="26">
                  <c:v>-0.4</c:v>
                </c:pt>
                <c:pt idx="27">
                  <c:v>-0.4</c:v>
                </c:pt>
                <c:pt idx="28">
                  <c:v>-0.3</c:v>
                </c:pt>
                <c:pt idx="29">
                  <c:v>-0.1</c:v>
                </c:pt>
                <c:pt idx="30">
                  <c:v>0.1</c:v>
                </c:pt>
                <c:pt idx="31">
                  <c:v>0.3</c:v>
                </c:pt>
                <c:pt idx="32">
                  <c:v>0.3</c:v>
                </c:pt>
                <c:pt idx="33">
                  <c:v>0.3</c:v>
                </c:pt>
                <c:pt idx="34">
                  <c:v>0.1</c:v>
                </c:pt>
                <c:pt idx="35">
                  <c:v>-0.2</c:v>
                </c:pt>
                <c:pt idx="36">
                  <c:v>-0.4</c:v>
                </c:pt>
                <c:pt idx="37">
                  <c:v>-0.4</c:v>
                </c:pt>
                <c:pt idx="38">
                  <c:v>-0.3</c:v>
                </c:pt>
                <c:pt idx="39">
                  <c:v>-0.2</c:v>
                </c:pt>
                <c:pt idx="40">
                  <c:v>-0.2</c:v>
                </c:pt>
                <c:pt idx="41">
                  <c:v>-0.2</c:v>
                </c:pt>
                <c:pt idx="42">
                  <c:v>-0.3</c:v>
                </c:pt>
                <c:pt idx="43">
                  <c:v>-0.3</c:v>
                </c:pt>
                <c:pt idx="44">
                  <c:v>-0.2</c:v>
                </c:pt>
                <c:pt idx="45">
                  <c:v>-0.3</c:v>
                </c:pt>
                <c:pt idx="46">
                  <c:v>-0.3</c:v>
                </c:pt>
                <c:pt idx="47">
                  <c:v>-0.3</c:v>
                </c:pt>
                <c:pt idx="48">
                  <c:v>-0.5</c:v>
                </c:pt>
                <c:pt idx="49">
                  <c:v>-0.5</c:v>
                </c:pt>
                <c:pt idx="50">
                  <c:v>-0.4</c:v>
                </c:pt>
                <c:pt idx="51">
                  <c:v>-0.2</c:v>
                </c:pt>
                <c:pt idx="52">
                  <c:v>-0.1</c:v>
                </c:pt>
                <c:pt idx="53">
                  <c:v>0</c:v>
                </c:pt>
                <c:pt idx="54">
                  <c:v>-0.1</c:v>
                </c:pt>
                <c:pt idx="55">
                  <c:v>0</c:v>
                </c:pt>
                <c:pt idx="56">
                  <c:v>0.1</c:v>
                </c:pt>
                <c:pt idx="57">
                  <c:v>0.4</c:v>
                </c:pt>
                <c:pt idx="58">
                  <c:v>0.5</c:v>
                </c:pt>
                <c:pt idx="59">
                  <c:v>0.6</c:v>
                </c:pt>
                <c:pt idx="60">
                  <c:v>0.6</c:v>
                </c:pt>
                <c:pt idx="61">
                  <c:v>0.5</c:v>
                </c:pt>
                <c:pt idx="62">
                  <c:v>0.6</c:v>
                </c:pt>
                <c:pt idx="63">
                  <c:v>0.7</c:v>
                </c:pt>
                <c:pt idx="64">
                  <c:v>0.8</c:v>
                </c:pt>
                <c:pt idx="65">
                  <c:v>1</c:v>
                </c:pt>
                <c:pt idx="66">
                  <c:v>1.2</c:v>
                </c:pt>
                <c:pt idx="67">
                  <c:v>1.4</c:v>
                </c:pt>
                <c:pt idx="68">
                  <c:v>1.7</c:v>
                </c:pt>
                <c:pt idx="69">
                  <c:v>2</c:v>
                </c:pt>
                <c:pt idx="70">
                  <c:v>2.2000000000000002</c:v>
                </c:pt>
                <c:pt idx="71">
                  <c:v>2.2999999999999998</c:v>
                </c:pt>
                <c:pt idx="72">
                  <c:v>2.2000000000000002</c:v>
                </c:pt>
                <c:pt idx="73">
                  <c:v>2</c:v>
                </c:pt>
                <c:pt idx="74">
                  <c:v>1.6</c:v>
                </c:pt>
                <c:pt idx="75">
                  <c:v>1.1000000000000001</c:v>
                </c:pt>
                <c:pt idx="76">
                  <c:v>0.6</c:v>
                </c:pt>
                <c:pt idx="77">
                  <c:v>0.1</c:v>
                </c:pt>
                <c:pt idx="78">
                  <c:v>-0.3</c:v>
                </c:pt>
                <c:pt idx="79">
                  <c:v>-0.6</c:v>
                </c:pt>
                <c:pt idx="80">
                  <c:v>-0.8</c:v>
                </c:pt>
                <c:pt idx="81">
                  <c:v>-0.8</c:v>
                </c:pt>
                <c:pt idx="82">
                  <c:v>-0.8</c:v>
                </c:pt>
                <c:pt idx="83">
                  <c:v>-0.7</c:v>
                </c:pt>
                <c:pt idx="84">
                  <c:v>-0.4</c:v>
                </c:pt>
                <c:pt idx="85">
                  <c:v>-0.1</c:v>
                </c:pt>
                <c:pt idx="86">
                  <c:v>0.2</c:v>
                </c:pt>
                <c:pt idx="87">
                  <c:v>0.4</c:v>
                </c:pt>
              </c:numCache>
            </c:numRef>
          </c:val>
          <c:extLst>
            <c:ext xmlns:c16="http://schemas.microsoft.com/office/drawing/2014/chart" uri="{C3380CC4-5D6E-409C-BE32-E72D297353CC}">
              <c16:uniqueId val="{0000005E-781F-470F-9E72-F754F02700F9}"/>
            </c:ext>
          </c:extLst>
        </c:ser>
        <c:dLbls>
          <c:showLegendKey val="0"/>
          <c:showVal val="0"/>
          <c:showCatName val="0"/>
          <c:showSerName val="0"/>
          <c:showPercent val="0"/>
          <c:showBubbleSize val="0"/>
        </c:dLbls>
        <c:gapWidth val="219"/>
        <c:overlap val="-27"/>
        <c:axId val="170388096"/>
        <c:axId val="170533248"/>
      </c:barChart>
      <c:lineChart>
        <c:grouping val="standard"/>
        <c:varyColors val="0"/>
        <c:ser>
          <c:idx val="1"/>
          <c:order val="1"/>
          <c:spPr>
            <a:ln w="6350" cap="rnd">
              <a:solidFill>
                <a:schemeClr val="accent2"/>
              </a:solidFill>
              <a:prstDash val="sysDash"/>
              <a:round/>
            </a:ln>
            <a:effectLst/>
          </c:spPr>
          <c:marker>
            <c:symbol val="none"/>
          </c:marker>
          <c:cat>
            <c:multiLvlStrRef>
              <c:f>Hoja1!$A$12:$B$99</c:f>
              <c:multiLvlStrCache>
                <c:ptCount val="8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pt idx="86">
                    <c:v>III</c:v>
                  </c:pt>
                  <c:pt idx="87">
                    <c:v>IV</c:v>
                  </c:pt>
                </c:lvl>
                <c:lvl>
                  <c:pt idx="0">
                    <c:v>2010</c:v>
                  </c:pt>
                  <c:pt idx="12">
                    <c:v>2011</c:v>
                  </c:pt>
                  <c:pt idx="24">
                    <c:v>2012</c:v>
                  </c:pt>
                  <c:pt idx="36">
                    <c:v>2013</c:v>
                  </c:pt>
                  <c:pt idx="48">
                    <c:v>2014</c:v>
                  </c:pt>
                  <c:pt idx="60">
                    <c:v>2015</c:v>
                  </c:pt>
                  <c:pt idx="72">
                    <c:v>2016</c:v>
                  </c:pt>
                  <c:pt idx="84">
                    <c:v>2017</c:v>
                  </c:pt>
                </c:lvl>
              </c:multiLvlStrCache>
            </c:multiLvlStrRef>
          </c:cat>
          <c:val>
            <c:numRef>
              <c:f>Hoja1!$D$12:$D$99</c:f>
              <c:numCache>
                <c:formatCode>General</c:formatCode>
                <c:ptCount val="88"/>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pt idx="41">
                  <c:v>0.5</c:v>
                </c:pt>
                <c:pt idx="42">
                  <c:v>0.5</c:v>
                </c:pt>
                <c:pt idx="43">
                  <c:v>0.5</c:v>
                </c:pt>
                <c:pt idx="44">
                  <c:v>0.5</c:v>
                </c:pt>
                <c:pt idx="45">
                  <c:v>0.5</c:v>
                </c:pt>
                <c:pt idx="46">
                  <c:v>0.5</c:v>
                </c:pt>
                <c:pt idx="47">
                  <c:v>0.5</c:v>
                </c:pt>
                <c:pt idx="48">
                  <c:v>0.5</c:v>
                </c:pt>
                <c:pt idx="49">
                  <c:v>0.5</c:v>
                </c:pt>
                <c:pt idx="50">
                  <c:v>0.5</c:v>
                </c:pt>
                <c:pt idx="51">
                  <c:v>0.5</c:v>
                </c:pt>
                <c:pt idx="52">
                  <c:v>0.5</c:v>
                </c:pt>
                <c:pt idx="53">
                  <c:v>0.5</c:v>
                </c:pt>
                <c:pt idx="54">
                  <c:v>0.5</c:v>
                </c:pt>
                <c:pt idx="55">
                  <c:v>0.5</c:v>
                </c:pt>
                <c:pt idx="56">
                  <c:v>0.5</c:v>
                </c:pt>
                <c:pt idx="57">
                  <c:v>0.5</c:v>
                </c:pt>
                <c:pt idx="58">
                  <c:v>0.5</c:v>
                </c:pt>
                <c:pt idx="59">
                  <c:v>0.5</c:v>
                </c:pt>
                <c:pt idx="60">
                  <c:v>0.5</c:v>
                </c:pt>
                <c:pt idx="61">
                  <c:v>0.5</c:v>
                </c:pt>
                <c:pt idx="62">
                  <c:v>0.5</c:v>
                </c:pt>
                <c:pt idx="63">
                  <c:v>0.5</c:v>
                </c:pt>
                <c:pt idx="64">
                  <c:v>0.5</c:v>
                </c:pt>
                <c:pt idx="65">
                  <c:v>0.5</c:v>
                </c:pt>
                <c:pt idx="66">
                  <c:v>0.5</c:v>
                </c:pt>
                <c:pt idx="67">
                  <c:v>0.5</c:v>
                </c:pt>
                <c:pt idx="68">
                  <c:v>0.5</c:v>
                </c:pt>
                <c:pt idx="69">
                  <c:v>0.5</c:v>
                </c:pt>
                <c:pt idx="70">
                  <c:v>0.5</c:v>
                </c:pt>
                <c:pt idx="71">
                  <c:v>0.5</c:v>
                </c:pt>
                <c:pt idx="72">
                  <c:v>0.5</c:v>
                </c:pt>
                <c:pt idx="73">
                  <c:v>0.5</c:v>
                </c:pt>
                <c:pt idx="74">
                  <c:v>0.5</c:v>
                </c:pt>
                <c:pt idx="75">
                  <c:v>0.5</c:v>
                </c:pt>
                <c:pt idx="76">
                  <c:v>0.5</c:v>
                </c:pt>
                <c:pt idx="77">
                  <c:v>0.5</c:v>
                </c:pt>
                <c:pt idx="78">
                  <c:v>0.5</c:v>
                </c:pt>
                <c:pt idx="79">
                  <c:v>0.5</c:v>
                </c:pt>
                <c:pt idx="80">
                  <c:v>0.5</c:v>
                </c:pt>
                <c:pt idx="81">
                  <c:v>0.5</c:v>
                </c:pt>
                <c:pt idx="82">
                  <c:v>0.5</c:v>
                </c:pt>
                <c:pt idx="83">
                  <c:v>0.5</c:v>
                </c:pt>
                <c:pt idx="84">
                  <c:v>0.5</c:v>
                </c:pt>
                <c:pt idx="85">
                  <c:v>0.5</c:v>
                </c:pt>
                <c:pt idx="86">
                  <c:v>0.5</c:v>
                </c:pt>
                <c:pt idx="87">
                  <c:v>0.5</c:v>
                </c:pt>
              </c:numCache>
            </c:numRef>
          </c:val>
          <c:smooth val="0"/>
          <c:extLst>
            <c:ext xmlns:c16="http://schemas.microsoft.com/office/drawing/2014/chart" uri="{C3380CC4-5D6E-409C-BE32-E72D297353CC}">
              <c16:uniqueId val="{0000005F-781F-470F-9E72-F754F02700F9}"/>
            </c:ext>
          </c:extLst>
        </c:ser>
        <c:ser>
          <c:idx val="2"/>
          <c:order val="2"/>
          <c:spPr>
            <a:ln w="6350" cap="rnd">
              <a:solidFill>
                <a:schemeClr val="accent5">
                  <a:lumMod val="75000"/>
                </a:schemeClr>
              </a:solidFill>
              <a:prstDash val="sysDash"/>
              <a:round/>
            </a:ln>
            <a:effectLst/>
          </c:spPr>
          <c:marker>
            <c:symbol val="none"/>
          </c:marker>
          <c:cat>
            <c:multiLvlStrRef>
              <c:f>Hoja1!$A$12:$B$99</c:f>
              <c:multiLvlStrCache>
                <c:ptCount val="8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pt idx="86">
                    <c:v>III</c:v>
                  </c:pt>
                  <c:pt idx="87">
                    <c:v>IV</c:v>
                  </c:pt>
                </c:lvl>
                <c:lvl>
                  <c:pt idx="0">
                    <c:v>2010</c:v>
                  </c:pt>
                  <c:pt idx="12">
                    <c:v>2011</c:v>
                  </c:pt>
                  <c:pt idx="24">
                    <c:v>2012</c:v>
                  </c:pt>
                  <c:pt idx="36">
                    <c:v>2013</c:v>
                  </c:pt>
                  <c:pt idx="48">
                    <c:v>2014</c:v>
                  </c:pt>
                  <c:pt idx="60">
                    <c:v>2015</c:v>
                  </c:pt>
                  <c:pt idx="72">
                    <c:v>2016</c:v>
                  </c:pt>
                  <c:pt idx="84">
                    <c:v>2017</c:v>
                  </c:pt>
                </c:lvl>
              </c:multiLvlStrCache>
            </c:multiLvlStrRef>
          </c:cat>
          <c:val>
            <c:numRef>
              <c:f>Hoja1!$E$12:$E$99</c:f>
              <c:numCache>
                <c:formatCode>General</c:formatCode>
                <c:ptCount val="88"/>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pt idx="41">
                  <c:v>-0.5</c:v>
                </c:pt>
                <c:pt idx="42">
                  <c:v>-0.5</c:v>
                </c:pt>
                <c:pt idx="43">
                  <c:v>-0.5</c:v>
                </c:pt>
                <c:pt idx="44">
                  <c:v>-0.5</c:v>
                </c:pt>
                <c:pt idx="45">
                  <c:v>-0.5</c:v>
                </c:pt>
                <c:pt idx="46">
                  <c:v>-0.5</c:v>
                </c:pt>
                <c:pt idx="47">
                  <c:v>-0.5</c:v>
                </c:pt>
                <c:pt idx="48">
                  <c:v>-0.5</c:v>
                </c:pt>
                <c:pt idx="49">
                  <c:v>-0.5</c:v>
                </c:pt>
                <c:pt idx="50">
                  <c:v>-0.5</c:v>
                </c:pt>
                <c:pt idx="51">
                  <c:v>-0.5</c:v>
                </c:pt>
                <c:pt idx="52">
                  <c:v>-0.5</c:v>
                </c:pt>
                <c:pt idx="53">
                  <c:v>-0.5</c:v>
                </c:pt>
                <c:pt idx="54">
                  <c:v>-0.5</c:v>
                </c:pt>
                <c:pt idx="55">
                  <c:v>-0.5</c:v>
                </c:pt>
                <c:pt idx="56">
                  <c:v>-0.5</c:v>
                </c:pt>
                <c:pt idx="57">
                  <c:v>-0.5</c:v>
                </c:pt>
                <c:pt idx="58">
                  <c:v>-0.5</c:v>
                </c:pt>
                <c:pt idx="59">
                  <c:v>-0.5</c:v>
                </c:pt>
                <c:pt idx="60">
                  <c:v>-0.5</c:v>
                </c:pt>
                <c:pt idx="61">
                  <c:v>-0.5</c:v>
                </c:pt>
                <c:pt idx="62">
                  <c:v>-0.5</c:v>
                </c:pt>
                <c:pt idx="63">
                  <c:v>-0.5</c:v>
                </c:pt>
                <c:pt idx="64">
                  <c:v>-0.5</c:v>
                </c:pt>
                <c:pt idx="65">
                  <c:v>-0.5</c:v>
                </c:pt>
                <c:pt idx="66">
                  <c:v>-0.5</c:v>
                </c:pt>
                <c:pt idx="67">
                  <c:v>-0.5</c:v>
                </c:pt>
                <c:pt idx="68">
                  <c:v>-0.5</c:v>
                </c:pt>
                <c:pt idx="69">
                  <c:v>-0.5</c:v>
                </c:pt>
                <c:pt idx="70">
                  <c:v>-0.5</c:v>
                </c:pt>
                <c:pt idx="71">
                  <c:v>-0.5</c:v>
                </c:pt>
                <c:pt idx="72">
                  <c:v>-0.5</c:v>
                </c:pt>
                <c:pt idx="73">
                  <c:v>-0.5</c:v>
                </c:pt>
                <c:pt idx="74">
                  <c:v>-0.5</c:v>
                </c:pt>
                <c:pt idx="75">
                  <c:v>-0.5</c:v>
                </c:pt>
                <c:pt idx="76">
                  <c:v>-0.5</c:v>
                </c:pt>
                <c:pt idx="77">
                  <c:v>-0.5</c:v>
                </c:pt>
                <c:pt idx="78">
                  <c:v>-0.5</c:v>
                </c:pt>
                <c:pt idx="79">
                  <c:v>-0.5</c:v>
                </c:pt>
                <c:pt idx="80">
                  <c:v>-0.5</c:v>
                </c:pt>
                <c:pt idx="81">
                  <c:v>-0.5</c:v>
                </c:pt>
                <c:pt idx="82">
                  <c:v>-0.5</c:v>
                </c:pt>
                <c:pt idx="83">
                  <c:v>-0.5</c:v>
                </c:pt>
                <c:pt idx="84">
                  <c:v>-0.5</c:v>
                </c:pt>
                <c:pt idx="85">
                  <c:v>-0.5</c:v>
                </c:pt>
                <c:pt idx="86">
                  <c:v>-0.5</c:v>
                </c:pt>
                <c:pt idx="87">
                  <c:v>-0.5</c:v>
                </c:pt>
              </c:numCache>
            </c:numRef>
          </c:val>
          <c:smooth val="0"/>
          <c:extLst>
            <c:ext xmlns:c16="http://schemas.microsoft.com/office/drawing/2014/chart" uri="{C3380CC4-5D6E-409C-BE32-E72D297353CC}">
              <c16:uniqueId val="{00000060-781F-470F-9E72-F754F02700F9}"/>
            </c:ext>
          </c:extLst>
        </c:ser>
        <c:dLbls>
          <c:showLegendKey val="0"/>
          <c:showVal val="0"/>
          <c:showCatName val="0"/>
          <c:showSerName val="0"/>
          <c:showPercent val="0"/>
          <c:showBubbleSize val="0"/>
        </c:dLbls>
        <c:marker val="1"/>
        <c:smooth val="0"/>
        <c:axId val="170388096"/>
        <c:axId val="170533248"/>
      </c:lineChart>
      <c:catAx>
        <c:axId val="17038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0533248"/>
        <c:crosses val="autoZero"/>
        <c:auto val="1"/>
        <c:lblAlgn val="ctr"/>
        <c:lblOffset val="100"/>
        <c:noMultiLvlLbl val="0"/>
      </c:catAx>
      <c:valAx>
        <c:axId val="1705332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0388096"/>
        <c:crosses val="autoZero"/>
        <c:crossBetween val="between"/>
      </c:valAx>
      <c:spPr>
        <a:noFill/>
        <a:ln>
          <a:noFill/>
        </a:ln>
        <a:effectLst/>
      </c:spPr>
    </c:plotArea>
    <c:plotVisOnly val="1"/>
    <c:dispBlanksAs val="gap"/>
    <c:showDLblsOverMax val="0"/>
  </c:chart>
  <c:spPr>
    <a:solidFill>
      <a:sysClr val="window" lastClr="FFFFFF"/>
    </a:solidFill>
    <a:ln w="9525" cap="flat" cmpd="sng" algn="ctr">
      <a:solidFill>
        <a:schemeClr val="bg1"/>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36611255309677"/>
          <c:y val="5.6676281487747039E-2"/>
          <c:w val="0.87703952646570305"/>
          <c:h val="0.77545939678481646"/>
        </c:manualLayout>
      </c:layout>
      <c:barChart>
        <c:barDir val="col"/>
        <c:grouping val="clustered"/>
        <c:varyColors val="0"/>
        <c:ser>
          <c:idx val="1"/>
          <c:order val="0"/>
          <c:tx>
            <c:strRef>
              <c:f>ISA!$D$6</c:f>
              <c:strCache>
                <c:ptCount val="1"/>
                <c:pt idx="0">
                  <c:v>Área asegurada</c:v>
                </c:pt>
              </c:strCache>
            </c:strRef>
          </c:tx>
          <c:spPr>
            <a:solidFill>
              <a:schemeClr val="accent3">
                <a:lumMod val="75000"/>
              </a:schemeClr>
            </a:solidFill>
            <a:ln>
              <a:noFill/>
            </a:ln>
            <a:effectLst/>
          </c:spPr>
          <c:invertIfNegative val="0"/>
          <c:dPt>
            <c:idx val="7"/>
            <c:invertIfNegative val="0"/>
            <c:bubble3D val="0"/>
            <c:extLst>
              <c:ext xmlns:c16="http://schemas.microsoft.com/office/drawing/2014/chart" uri="{C3380CC4-5D6E-409C-BE32-E72D297353CC}">
                <c16:uniqueId val="{00000000-C0FF-4ABD-85DB-62E4106C9CE0}"/>
              </c:ext>
            </c:extLst>
          </c:dPt>
          <c:dPt>
            <c:idx val="8"/>
            <c:invertIfNegative val="0"/>
            <c:bubble3D val="0"/>
            <c:extLst>
              <c:ext xmlns:c16="http://schemas.microsoft.com/office/drawing/2014/chart" uri="{C3380CC4-5D6E-409C-BE32-E72D297353CC}">
                <c16:uniqueId val="{00000001-C0FF-4ABD-85DB-62E4106C9CE0}"/>
              </c:ext>
            </c:extLst>
          </c:dPt>
          <c:dPt>
            <c:idx val="9"/>
            <c:invertIfNegative val="0"/>
            <c:bubble3D val="0"/>
            <c:spPr>
              <a:solidFill>
                <a:srgbClr val="C8D533"/>
              </a:solidFill>
              <a:ln>
                <a:noFill/>
              </a:ln>
              <a:effectLst/>
            </c:spPr>
            <c:extLst>
              <c:ext xmlns:c16="http://schemas.microsoft.com/office/drawing/2014/chart" uri="{C3380CC4-5D6E-409C-BE32-E72D297353CC}">
                <c16:uniqueId val="{00000003-C0FF-4ABD-85DB-62E4106C9CE0}"/>
              </c:ext>
            </c:extLst>
          </c:dPt>
          <c:dPt>
            <c:idx val="10"/>
            <c:invertIfNegative val="0"/>
            <c:bubble3D val="0"/>
            <c:spPr>
              <a:solidFill>
                <a:srgbClr val="C8D533"/>
              </a:solidFill>
              <a:ln>
                <a:noFill/>
              </a:ln>
              <a:effectLst/>
            </c:spPr>
            <c:extLst>
              <c:ext xmlns:c16="http://schemas.microsoft.com/office/drawing/2014/chart" uri="{C3380CC4-5D6E-409C-BE32-E72D297353CC}">
                <c16:uniqueId val="{00000005-C0FF-4ABD-85DB-62E4106C9CE0}"/>
              </c:ext>
            </c:extLst>
          </c:dPt>
          <c:dPt>
            <c:idx val="11"/>
            <c:invertIfNegative val="0"/>
            <c:bubble3D val="0"/>
            <c:extLst>
              <c:ext xmlns:c16="http://schemas.microsoft.com/office/drawing/2014/chart" uri="{C3380CC4-5D6E-409C-BE32-E72D297353CC}">
                <c16:uniqueId val="{00000006-C0FF-4ABD-85DB-62E4106C9CE0}"/>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ISA!$B$7:$B$19</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ISA!$D$7:$D$19</c:f>
              <c:numCache>
                <c:formatCode>#,##0</c:formatCode>
                <c:ptCount val="10"/>
                <c:pt idx="0">
                  <c:v>30102</c:v>
                </c:pt>
                <c:pt idx="1">
                  <c:v>41863</c:v>
                </c:pt>
                <c:pt idx="2">
                  <c:v>31651</c:v>
                </c:pt>
                <c:pt idx="3">
                  <c:v>42800</c:v>
                </c:pt>
                <c:pt idx="4">
                  <c:v>45986</c:v>
                </c:pt>
                <c:pt idx="5">
                  <c:v>61104</c:v>
                </c:pt>
                <c:pt idx="6">
                  <c:v>68490.739999999714</c:v>
                </c:pt>
                <c:pt idx="7">
                  <c:v>129099.26</c:v>
                </c:pt>
                <c:pt idx="8">
                  <c:v>186884.15000000366</c:v>
                </c:pt>
                <c:pt idx="9">
                  <c:v>177905.71000000156</c:v>
                </c:pt>
              </c:numCache>
            </c:numRef>
          </c:val>
          <c:extLst>
            <c:ext xmlns:c16="http://schemas.microsoft.com/office/drawing/2014/chart" uri="{C3380CC4-5D6E-409C-BE32-E72D297353CC}">
              <c16:uniqueId val="{00000007-C0FF-4ABD-85DB-62E4106C9CE0}"/>
            </c:ext>
          </c:extLst>
        </c:ser>
        <c:dLbls>
          <c:showLegendKey val="0"/>
          <c:showVal val="0"/>
          <c:showCatName val="0"/>
          <c:showSerName val="0"/>
          <c:showPercent val="0"/>
          <c:showBubbleSize val="0"/>
        </c:dLbls>
        <c:gapWidth val="219"/>
        <c:overlap val="-27"/>
        <c:axId val="169512960"/>
        <c:axId val="169514496"/>
      </c:barChart>
      <c:catAx>
        <c:axId val="16951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169514496"/>
        <c:crosses val="autoZero"/>
        <c:auto val="1"/>
        <c:lblAlgn val="ctr"/>
        <c:lblOffset val="100"/>
        <c:noMultiLvlLbl val="0"/>
      </c:catAx>
      <c:valAx>
        <c:axId val="169514496"/>
        <c:scaling>
          <c:orientation val="minMax"/>
        </c:scaling>
        <c:delete val="0"/>
        <c:axPos val="l"/>
        <c:numFmt formatCode="&quot;$&quot;\ #,##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9512960"/>
        <c:crosses val="autoZero"/>
        <c:crossBetween val="between"/>
        <c:dispUnits>
          <c:builtInUnit val="thousands"/>
          <c:dispUnitsLbl>
            <c:layout>
              <c:manualLayout>
                <c:xMode val="edge"/>
                <c:yMode val="edge"/>
                <c:x val="2.8786724240115115E-4"/>
                <c:y val="6.5289629493987658E-2"/>
              </c:manualLayout>
            </c:layout>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CO" sz="800"/>
                    <a:t> Miles de hectáreas</a:t>
                  </a:r>
                </a:p>
              </c:rich>
            </c:tx>
            <c:spPr>
              <a:noFill/>
              <a:ln>
                <a:noFill/>
              </a:ln>
              <a:effectLst/>
            </c:sp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'Presupuesto '!$B$3</c:f>
              <c:strCache>
                <c:ptCount val="1"/>
                <c:pt idx="0">
                  <c:v>Presupuesto ISA</c:v>
                </c:pt>
              </c:strCache>
            </c:strRef>
          </c:tx>
          <c:spPr>
            <a:solidFill>
              <a:schemeClr val="accent6">
                <a:lumMod val="60000"/>
                <a:lumOff val="40000"/>
              </a:schemeClr>
            </a:solidFill>
            <a:ln>
              <a:noFill/>
            </a:ln>
            <a:effectLst/>
          </c:spPr>
          <c:invertIfNegative val="0"/>
          <c:cat>
            <c:numRef>
              <c:f>'Presupuesto '!$A$4:$A$13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'Presupuesto '!$B$4:$B$13</c:f>
              <c:numCache>
                <c:formatCode>_-"$"* #.##0_-;\-"$"* #.##0_-;_-"$"* "-"??_-;_-@_-</c:formatCode>
                <c:ptCount val="10"/>
                <c:pt idx="0">
                  <c:v>17612.7</c:v>
                </c:pt>
                <c:pt idx="1">
                  <c:v>17826.599999999999</c:v>
                </c:pt>
                <c:pt idx="2">
                  <c:v>25110</c:v>
                </c:pt>
                <c:pt idx="3">
                  <c:v>20000</c:v>
                </c:pt>
                <c:pt idx="4">
                  <c:v>34000</c:v>
                </c:pt>
                <c:pt idx="5">
                  <c:v>31000</c:v>
                </c:pt>
                <c:pt idx="6">
                  <c:v>22000</c:v>
                </c:pt>
                <c:pt idx="7">
                  <c:v>49900</c:v>
                </c:pt>
                <c:pt idx="8">
                  <c:v>57000</c:v>
                </c:pt>
                <c:pt idx="9">
                  <c:v>52444</c:v>
                </c:pt>
              </c:numCache>
            </c:numRef>
          </c:val>
          <c:extLst>
            <c:ext xmlns:c16="http://schemas.microsoft.com/office/drawing/2014/chart" uri="{C3380CC4-5D6E-409C-BE32-E72D297353CC}">
              <c16:uniqueId val="{00000000-B03F-45D2-BD63-E3AA4AD6BA8B}"/>
            </c:ext>
          </c:extLst>
        </c:ser>
        <c:ser>
          <c:idx val="1"/>
          <c:order val="1"/>
          <c:tx>
            <c:strRef>
              <c:f>'Presupuesto '!$C$3</c:f>
              <c:strCache>
                <c:ptCount val="1"/>
                <c:pt idx="0">
                  <c:v>Incentivo Pagado</c:v>
                </c:pt>
              </c:strCache>
            </c:strRef>
          </c:tx>
          <c:spPr>
            <a:solidFill>
              <a:schemeClr val="accent6">
                <a:lumMod val="75000"/>
              </a:schemeClr>
            </a:solidFill>
            <a:ln>
              <a:noFill/>
            </a:ln>
            <a:effectLst/>
          </c:spPr>
          <c:invertIfNegative val="0"/>
          <c:cat>
            <c:numRef>
              <c:f>'Presupuesto '!$A$4:$A$13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'Presupuesto '!$C$4:$C$13</c:f>
              <c:numCache>
                <c:formatCode>_-"$"* #.##0_-;\-"$"* #.##0_-;_-"$"* "-"??_-;_-@_-</c:formatCode>
                <c:ptCount val="10"/>
                <c:pt idx="0">
                  <c:v>5599</c:v>
                </c:pt>
                <c:pt idx="1">
                  <c:v>8413</c:v>
                </c:pt>
                <c:pt idx="2">
                  <c:v>4886</c:v>
                </c:pt>
                <c:pt idx="3">
                  <c:v>9325</c:v>
                </c:pt>
                <c:pt idx="4">
                  <c:v>9363</c:v>
                </c:pt>
                <c:pt idx="5">
                  <c:v>8993</c:v>
                </c:pt>
                <c:pt idx="6">
                  <c:v>15066.178609205499</c:v>
                </c:pt>
                <c:pt idx="7">
                  <c:v>28358.944911000002</c:v>
                </c:pt>
                <c:pt idx="8">
                  <c:v>45301.804513000003</c:v>
                </c:pt>
                <c:pt idx="9">
                  <c:v>42997.178066</c:v>
                </c:pt>
              </c:numCache>
            </c:numRef>
          </c:val>
          <c:extLst>
            <c:ext xmlns:c16="http://schemas.microsoft.com/office/drawing/2014/chart" uri="{C3380CC4-5D6E-409C-BE32-E72D297353CC}">
              <c16:uniqueId val="{00000001-B03F-45D2-BD63-E3AA4AD6BA8B}"/>
            </c:ext>
          </c:extLst>
        </c:ser>
        <c:dLbls>
          <c:showLegendKey val="0"/>
          <c:showVal val="0"/>
          <c:showCatName val="0"/>
          <c:showSerName val="0"/>
          <c:showPercent val="0"/>
          <c:showBubbleSize val="0"/>
        </c:dLbls>
        <c:gapWidth val="219"/>
        <c:overlap val="-27"/>
        <c:axId val="173028480"/>
        <c:axId val="173030016"/>
      </c:barChart>
      <c:lineChart>
        <c:grouping val="standard"/>
        <c:varyColors val="0"/>
        <c:ser>
          <c:idx val="2"/>
          <c:order val="2"/>
          <c:tx>
            <c:strRef>
              <c:f>'Presupuesto '!$D$3</c:f>
              <c:strCache>
                <c:ptCount val="1"/>
                <c:pt idx="0">
                  <c:v>Valor Asegurado</c:v>
                </c:pt>
              </c:strCache>
            </c:strRef>
          </c:tx>
          <c:spPr>
            <a:ln w="28575" cap="rnd">
              <a:solidFill>
                <a:schemeClr val="accent4">
                  <a:lumMod val="75000"/>
                </a:schemeClr>
              </a:solidFill>
              <a:round/>
            </a:ln>
            <a:effectLst/>
          </c:spPr>
          <c:marker>
            <c:symbol val="none"/>
          </c:marker>
          <c:cat>
            <c:numRef>
              <c:f>'Presupuesto '!$A$4:$A$13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'Presupuesto '!$D$4:$D$13</c:f>
              <c:numCache>
                <c:formatCode>_-"$"* #.##0_-;\-"$"* #.##0_-;_-"$"* "-"??_-;_-@_-</c:formatCode>
                <c:ptCount val="10"/>
                <c:pt idx="0">
                  <c:v>172707</c:v>
                </c:pt>
                <c:pt idx="1">
                  <c:v>200889</c:v>
                </c:pt>
                <c:pt idx="2">
                  <c:v>146372</c:v>
                </c:pt>
                <c:pt idx="3">
                  <c:v>258790.00000000003</c:v>
                </c:pt>
                <c:pt idx="4">
                  <c:v>357515</c:v>
                </c:pt>
                <c:pt idx="5">
                  <c:v>312038</c:v>
                </c:pt>
                <c:pt idx="6">
                  <c:v>435282.22194399999</c:v>
                </c:pt>
                <c:pt idx="7">
                  <c:v>698148.71866800007</c:v>
                </c:pt>
                <c:pt idx="8">
                  <c:v>996726.15670499997</c:v>
                </c:pt>
                <c:pt idx="9">
                  <c:v>1007113.3107279999</c:v>
                </c:pt>
              </c:numCache>
            </c:numRef>
          </c:val>
          <c:smooth val="0"/>
          <c:extLst>
            <c:ext xmlns:c16="http://schemas.microsoft.com/office/drawing/2014/chart" uri="{C3380CC4-5D6E-409C-BE32-E72D297353CC}">
              <c16:uniqueId val="{00000002-B03F-45D2-BD63-E3AA4AD6BA8B}"/>
            </c:ext>
          </c:extLst>
        </c:ser>
        <c:dLbls>
          <c:showLegendKey val="0"/>
          <c:showVal val="0"/>
          <c:showCatName val="0"/>
          <c:showSerName val="0"/>
          <c:showPercent val="0"/>
          <c:showBubbleSize val="0"/>
        </c:dLbls>
        <c:marker val="1"/>
        <c:smooth val="0"/>
        <c:axId val="173038208"/>
        <c:axId val="173036288"/>
      </c:lineChart>
      <c:catAx>
        <c:axId val="17302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3030016"/>
        <c:crosses val="autoZero"/>
        <c:auto val="1"/>
        <c:lblAlgn val="ctr"/>
        <c:lblOffset val="100"/>
        <c:noMultiLvlLbl val="0"/>
      </c:catAx>
      <c:valAx>
        <c:axId val="17303001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accent6">
                        <a:lumMod val="75000"/>
                      </a:schemeClr>
                    </a:solidFill>
                    <a:latin typeface="+mn-lt"/>
                    <a:ea typeface="+mn-ea"/>
                    <a:cs typeface="+mn-cs"/>
                  </a:defRPr>
                </a:pPr>
                <a:r>
                  <a:rPr lang="en-US" sz="900">
                    <a:solidFill>
                      <a:schemeClr val="accent6">
                        <a:lumMod val="75000"/>
                      </a:schemeClr>
                    </a:solidFill>
                  </a:rPr>
                  <a:t>Millones</a:t>
                </a:r>
              </a:p>
            </c:rich>
          </c:tx>
          <c:overlay val="0"/>
          <c:spPr>
            <a:noFill/>
            <a:ln>
              <a:noFill/>
            </a:ln>
            <a:effectLst/>
          </c:sp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6">
                    <a:lumMod val="75000"/>
                  </a:schemeClr>
                </a:solidFill>
                <a:latin typeface="+mn-lt"/>
                <a:ea typeface="+mn-ea"/>
                <a:cs typeface="+mn-cs"/>
              </a:defRPr>
            </a:pPr>
            <a:endParaRPr lang="es-CO"/>
          </a:p>
        </c:txPr>
        <c:crossAx val="173028480"/>
        <c:crosses val="autoZero"/>
        <c:crossBetween val="between"/>
      </c:valAx>
      <c:valAx>
        <c:axId val="173036288"/>
        <c:scaling>
          <c:orientation val="minMax"/>
        </c:scaling>
        <c:delete val="0"/>
        <c:axPos val="r"/>
        <c:title>
          <c:tx>
            <c:rich>
              <a:bodyPr rot="-5400000" spcFirstLastPara="1" vertOverflow="ellipsis" vert="horz" wrap="square" anchor="ctr" anchorCtr="1"/>
              <a:lstStyle/>
              <a:p>
                <a:pPr>
                  <a:defRPr sz="900" b="1" i="0" u="none" strike="noStrike" kern="1200" baseline="0">
                    <a:solidFill>
                      <a:schemeClr val="accent4">
                        <a:lumMod val="75000"/>
                      </a:schemeClr>
                    </a:solidFill>
                    <a:latin typeface="+mn-lt"/>
                    <a:ea typeface="+mn-ea"/>
                    <a:cs typeface="+mn-cs"/>
                  </a:defRPr>
                </a:pPr>
                <a:r>
                  <a:rPr lang="en-US" sz="900" b="1">
                    <a:solidFill>
                      <a:schemeClr val="accent4">
                        <a:lumMod val="75000"/>
                      </a:schemeClr>
                    </a:solidFill>
                  </a:rPr>
                  <a:t>Millones</a:t>
                </a:r>
              </a:p>
            </c:rich>
          </c:tx>
          <c:overlay val="0"/>
          <c:spPr>
            <a:noFill/>
            <a:ln>
              <a:noFill/>
            </a:ln>
            <a:effectLst/>
          </c:spPr>
        </c:title>
        <c:numFmt formatCode="_-&quot;$&quot;* #.##0_-;\-&quot;$&quot;* #.##0_-;_-&quot;$&quot;*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4">
                    <a:lumMod val="75000"/>
                  </a:schemeClr>
                </a:solidFill>
                <a:latin typeface="+mn-lt"/>
                <a:ea typeface="+mn-ea"/>
                <a:cs typeface="+mn-cs"/>
              </a:defRPr>
            </a:pPr>
            <a:endParaRPr lang="es-CO"/>
          </a:p>
        </c:txPr>
        <c:crossAx val="173038208"/>
        <c:crosses val="max"/>
        <c:crossBetween val="between"/>
      </c:valAx>
      <c:catAx>
        <c:axId val="173038208"/>
        <c:scaling>
          <c:orientation val="minMax"/>
        </c:scaling>
        <c:delete val="1"/>
        <c:axPos val="b"/>
        <c:numFmt formatCode="General" sourceLinked="1"/>
        <c:majorTickMark val="out"/>
        <c:minorTickMark val="none"/>
        <c:tickLblPos val="nextTo"/>
        <c:crossAx val="1730362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ysClr val="window" lastClr="FFFFFF"/>
    </a:solidFill>
    <a:ln w="9525" cap="flat" cmpd="sng" algn="ctr">
      <a:solidFill>
        <a:schemeClr val="bg1"/>
      </a:solidFill>
      <a:round/>
    </a:ln>
    <a:effectLst/>
  </c:spPr>
  <c:txPr>
    <a:bodyPr/>
    <a:lstStyle/>
    <a:p>
      <a:pPr>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'Gráficos definitivos'!$C$3</c:f>
              <c:strCache>
                <c:ptCount val="1"/>
                <c:pt idx="0">
                  <c:v>Primas emitidas </c:v>
                </c:pt>
              </c:strCache>
            </c:strRef>
          </c:tx>
          <c:spPr>
            <a:solidFill>
              <a:srgbClr val="006E00"/>
            </a:solidFill>
          </c:spPr>
          <c:invertIfNegative val="0"/>
          <c:cat>
            <c:numRef>
              <c:f>'Gráficos definitivos'!$B$4:$B$12</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'Gráficos definitivos'!$C$4:$C$12</c:f>
              <c:numCache>
                <c:formatCode>_("$"\ * #,##0_);_("$"\ * \(#,##0\);_("$"\ * "-"??_);_(@_)</c:formatCode>
                <c:ptCount val="9"/>
                <c:pt idx="0">
                  <c:v>15723656275</c:v>
                </c:pt>
                <c:pt idx="1">
                  <c:v>6605806302</c:v>
                </c:pt>
                <c:pt idx="2">
                  <c:v>15317424967</c:v>
                </c:pt>
                <c:pt idx="3">
                  <c:v>16405361179</c:v>
                </c:pt>
                <c:pt idx="4">
                  <c:v>15478396079.09</c:v>
                </c:pt>
                <c:pt idx="5">
                  <c:v>26058700486.510002</c:v>
                </c:pt>
                <c:pt idx="6">
                  <c:v>43949658441.080002</c:v>
                </c:pt>
                <c:pt idx="7">
                  <c:v>69846602442.450012</c:v>
                </c:pt>
                <c:pt idx="8">
                  <c:v>55388155610.639999</c:v>
                </c:pt>
              </c:numCache>
            </c:numRef>
          </c:val>
          <c:extLst>
            <c:ext xmlns:c16="http://schemas.microsoft.com/office/drawing/2014/chart" uri="{C3380CC4-5D6E-409C-BE32-E72D297353CC}">
              <c16:uniqueId val="{00000000-3A6A-46AB-87B1-4F2F69A0FC5A}"/>
            </c:ext>
          </c:extLst>
        </c:ser>
        <c:ser>
          <c:idx val="1"/>
          <c:order val="1"/>
          <c:tx>
            <c:strRef>
              <c:f>'Gráficos definitivos'!$D$3</c:f>
              <c:strCache>
                <c:ptCount val="1"/>
                <c:pt idx="0">
                  <c:v>Siniestros pagados</c:v>
                </c:pt>
              </c:strCache>
            </c:strRef>
          </c:tx>
          <c:spPr>
            <a:solidFill>
              <a:srgbClr val="C00000"/>
            </a:solidFill>
          </c:spPr>
          <c:invertIfNegative val="0"/>
          <c:cat>
            <c:numRef>
              <c:f>'Gráficos definitivos'!$B$4:$B$12</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'Gráficos definitivos'!$D$4:$D$12</c:f>
              <c:numCache>
                <c:formatCode>_("$"\ * #,##0_);_("$"\ * \(#,##0\);_("$"\ * "-"??_);_(@_)</c:formatCode>
                <c:ptCount val="9"/>
                <c:pt idx="0">
                  <c:v>5145530594</c:v>
                </c:pt>
                <c:pt idx="1">
                  <c:v>4704450804</c:v>
                </c:pt>
                <c:pt idx="2">
                  <c:v>4728031923.7799997</c:v>
                </c:pt>
                <c:pt idx="3">
                  <c:v>10272893280</c:v>
                </c:pt>
                <c:pt idx="4">
                  <c:v>10899201816.48</c:v>
                </c:pt>
                <c:pt idx="5">
                  <c:v>11484436275.129999</c:v>
                </c:pt>
                <c:pt idx="6">
                  <c:v>76935520893.199997</c:v>
                </c:pt>
                <c:pt idx="7">
                  <c:v>98002670925.960007</c:v>
                </c:pt>
                <c:pt idx="8">
                  <c:v>73695762990.220001</c:v>
                </c:pt>
              </c:numCache>
            </c:numRef>
          </c:val>
          <c:extLst>
            <c:ext xmlns:c16="http://schemas.microsoft.com/office/drawing/2014/chart" uri="{C3380CC4-5D6E-409C-BE32-E72D297353CC}">
              <c16:uniqueId val="{00000001-3A6A-46AB-87B1-4F2F69A0FC5A}"/>
            </c:ext>
          </c:extLst>
        </c:ser>
        <c:dLbls>
          <c:showLegendKey val="0"/>
          <c:showVal val="0"/>
          <c:showCatName val="0"/>
          <c:showSerName val="0"/>
          <c:showPercent val="0"/>
          <c:showBubbleSize val="0"/>
        </c:dLbls>
        <c:gapWidth val="150"/>
        <c:axId val="173065728"/>
        <c:axId val="173067264"/>
      </c:barChart>
      <c:lineChart>
        <c:grouping val="standard"/>
        <c:varyColors val="0"/>
        <c:ser>
          <c:idx val="2"/>
          <c:order val="2"/>
          <c:tx>
            <c:strRef>
              <c:f>'Gráficos definitivos'!$E$3</c:f>
              <c:strCache>
                <c:ptCount val="1"/>
                <c:pt idx="0">
                  <c:v>Siniestralidad bruta</c:v>
                </c:pt>
              </c:strCache>
            </c:strRef>
          </c:tx>
          <c:spPr>
            <a:ln>
              <a:noFill/>
            </a:ln>
          </c:spPr>
          <c:marker>
            <c:symbol val="triangle"/>
            <c:size val="9"/>
            <c:spPr>
              <a:solidFill>
                <a:schemeClr val="accent5">
                  <a:lumMod val="75000"/>
                </a:schemeClr>
              </a:solidFill>
              <a:ln>
                <a:no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'Gráficos definitivos'!$B$4:$B$12</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'Gráficos definitivos'!$E$4:$E$12</c:f>
              <c:numCache>
                <c:formatCode>0%</c:formatCode>
                <c:ptCount val="9"/>
                <c:pt idx="0">
                  <c:v>0.32724771541725906</c:v>
                </c:pt>
                <c:pt idx="1">
                  <c:v>0.71216905082058823</c:v>
                </c:pt>
                <c:pt idx="2">
                  <c:v>0.30867015402171805</c:v>
                </c:pt>
                <c:pt idx="3">
                  <c:v>0.62619122906906899</c:v>
                </c:pt>
                <c:pt idx="4">
                  <c:v>0.70415576399442936</c:v>
                </c:pt>
                <c:pt idx="5">
                  <c:v>0.4407140824645201</c:v>
                </c:pt>
                <c:pt idx="6">
                  <c:v>1.7505374017033979</c:v>
                </c:pt>
                <c:pt idx="7">
                  <c:v>1.4031129288888338</c:v>
                </c:pt>
                <c:pt idx="8">
                  <c:v>1.3305328942215786</c:v>
                </c:pt>
              </c:numCache>
            </c:numRef>
          </c:val>
          <c:smooth val="0"/>
          <c:extLst>
            <c:ext xmlns:c16="http://schemas.microsoft.com/office/drawing/2014/chart" uri="{C3380CC4-5D6E-409C-BE32-E72D297353CC}">
              <c16:uniqueId val="{00000002-3A6A-46AB-87B1-4F2F69A0FC5A}"/>
            </c:ext>
          </c:extLst>
        </c:ser>
        <c:dLbls>
          <c:showLegendKey val="0"/>
          <c:showVal val="0"/>
          <c:showCatName val="0"/>
          <c:showSerName val="0"/>
          <c:showPercent val="0"/>
          <c:showBubbleSize val="0"/>
        </c:dLbls>
        <c:marker val="1"/>
        <c:smooth val="0"/>
        <c:axId val="173075072"/>
        <c:axId val="173073536"/>
      </c:lineChart>
      <c:catAx>
        <c:axId val="173065728"/>
        <c:scaling>
          <c:orientation val="minMax"/>
        </c:scaling>
        <c:delete val="0"/>
        <c:axPos val="b"/>
        <c:numFmt formatCode="General" sourceLinked="1"/>
        <c:majorTickMark val="none"/>
        <c:minorTickMark val="none"/>
        <c:tickLblPos val="nextTo"/>
        <c:crossAx val="173067264"/>
        <c:crosses val="autoZero"/>
        <c:auto val="1"/>
        <c:lblAlgn val="ctr"/>
        <c:lblOffset val="100"/>
        <c:noMultiLvlLbl val="0"/>
      </c:catAx>
      <c:valAx>
        <c:axId val="173067264"/>
        <c:scaling>
          <c:orientation val="minMax"/>
        </c:scaling>
        <c:delete val="0"/>
        <c:axPos val="l"/>
        <c:numFmt formatCode="_(&quot;$&quot;\ * #,##0_);_(&quot;$&quot;\ * \(#,##0\);_(&quot;$&quot;\ * &quot;-&quot;??_);_(@_)" sourceLinked="1"/>
        <c:majorTickMark val="none"/>
        <c:minorTickMark val="none"/>
        <c:tickLblPos val="nextTo"/>
        <c:crossAx val="173065728"/>
        <c:crosses val="autoZero"/>
        <c:crossBetween val="between"/>
        <c:dispUnits>
          <c:builtInUnit val="millions"/>
          <c:dispUnitsLbl/>
        </c:dispUnits>
      </c:valAx>
      <c:valAx>
        <c:axId val="173073536"/>
        <c:scaling>
          <c:orientation val="minMax"/>
        </c:scaling>
        <c:delete val="0"/>
        <c:axPos val="r"/>
        <c:numFmt formatCode="0%" sourceLinked="1"/>
        <c:majorTickMark val="out"/>
        <c:minorTickMark val="none"/>
        <c:tickLblPos val="nextTo"/>
        <c:crossAx val="173075072"/>
        <c:crosses val="max"/>
        <c:crossBetween val="between"/>
      </c:valAx>
      <c:catAx>
        <c:axId val="173075072"/>
        <c:scaling>
          <c:orientation val="minMax"/>
        </c:scaling>
        <c:delete val="1"/>
        <c:axPos val="b"/>
        <c:numFmt formatCode="General" sourceLinked="1"/>
        <c:majorTickMark val="out"/>
        <c:minorTickMark val="none"/>
        <c:tickLblPos val="nextTo"/>
        <c:crossAx val="173073536"/>
        <c:crosses val="autoZero"/>
        <c:auto val="1"/>
        <c:lblAlgn val="ctr"/>
        <c:lblOffset val="100"/>
        <c:noMultiLvlLbl val="0"/>
      </c:catAx>
      <c:spPr>
        <a:noFill/>
        <a:ln>
          <a:noFill/>
        </a:ln>
      </c:spPr>
    </c:plotArea>
    <c:legend>
      <c:legendPos val="b"/>
      <c:overlay val="0"/>
    </c:legend>
    <c:plotVisOnly val="1"/>
    <c:dispBlanksAs val="gap"/>
    <c:showDLblsOverMax val="0"/>
  </c:chart>
  <c:spPr>
    <a:noFill/>
    <a:ln>
      <a:noFill/>
    </a:ln>
  </c:spPr>
  <c:txPr>
    <a:bodyPr/>
    <a:lstStyle/>
    <a:p>
      <a:pPr>
        <a:defRPr sz="600">
          <a:latin typeface="Frutiger LT Std 45 Light"/>
          <a:ea typeface="Verdana" panose="020B0604030504040204" pitchFamily="34" charset="0"/>
          <a:cs typeface="Verdana" panose="020B0604030504040204" pitchFamily="34" charset="0"/>
        </a:defRPr>
      </a:pPr>
      <a:endParaRPr lang="es-C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15972685617686"/>
          <c:y val="3.9585885097696123E-2"/>
          <c:w val="0.54416381215059983"/>
          <c:h val="0.85610041800330516"/>
        </c:manualLayout>
      </c:layout>
      <c:lineChart>
        <c:grouping val="standard"/>
        <c:varyColors val="0"/>
        <c:ser>
          <c:idx val="0"/>
          <c:order val="0"/>
          <c:tx>
            <c:strRef>
              <c:f>'6.Escenarios'!$C$72</c:f>
              <c:strCache>
                <c:ptCount val="1"/>
                <c:pt idx="0">
                  <c:v>Datos</c:v>
                </c:pt>
              </c:strCache>
            </c:strRef>
          </c:tx>
          <c:spPr>
            <a:ln w="28575"/>
          </c:spPr>
          <c:marker>
            <c:symbol val="none"/>
          </c:marker>
          <c:dLbls>
            <c:dLbl>
              <c:idx val="7"/>
              <c:layout>
                <c:manualLayout>
                  <c:x val="-4.0787134205847314E-2"/>
                  <c:y val="2.56753151757669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40-4C06-8C4B-062262B74C21}"/>
                </c:ext>
              </c:extLst>
            </c:dLbl>
            <c:spPr>
              <a:noFill/>
              <a:ln>
                <a:noFill/>
              </a:ln>
              <a:effectLst/>
            </c:spPr>
            <c:txPr>
              <a:bodyPr wrap="square" lIns="38100" tIns="19050" rIns="38100" bIns="19050" anchor="ctr">
                <a:spAutoFit/>
              </a:bodyPr>
              <a:lstStyle/>
              <a:p>
                <a:pPr>
                  <a:defRPr sz="600"/>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'6.Escenarios'!$B$73:$B$81</c:f>
              <c:strCache>
                <c:ptCount val="9"/>
                <c:pt idx="0">
                  <c:v>2009</c:v>
                </c:pt>
                <c:pt idx="1">
                  <c:v>2010</c:v>
                </c:pt>
                <c:pt idx="2">
                  <c:v>2011</c:v>
                </c:pt>
                <c:pt idx="3">
                  <c:v>2012</c:v>
                </c:pt>
                <c:pt idx="4">
                  <c:v>2013</c:v>
                </c:pt>
                <c:pt idx="5">
                  <c:v>2014</c:v>
                </c:pt>
                <c:pt idx="6">
                  <c:v>2015</c:v>
                </c:pt>
                <c:pt idx="7">
                  <c:v>2016*</c:v>
                </c:pt>
                <c:pt idx="8">
                  <c:v>2017**</c:v>
                </c:pt>
              </c:strCache>
            </c:strRef>
          </c:cat>
          <c:val>
            <c:numRef>
              <c:f>'6.Escenarios'!$C$73:$C$81</c:f>
              <c:numCache>
                <c:formatCode>"$"\ #,##0</c:formatCode>
                <c:ptCount val="9"/>
                <c:pt idx="0">
                  <c:v>4885.5165636700021</c:v>
                </c:pt>
                <c:pt idx="1">
                  <c:v>9324.595287690996</c:v>
                </c:pt>
                <c:pt idx="2">
                  <c:v>9363.2734939999991</c:v>
                </c:pt>
                <c:pt idx="3">
                  <c:v>8993.2247403897836</c:v>
                </c:pt>
                <c:pt idx="4">
                  <c:v>15066.178608805503</c:v>
                </c:pt>
                <c:pt idx="5">
                  <c:v>28358.944910999999</c:v>
                </c:pt>
                <c:pt idx="6">
                  <c:v>45301.804514100026</c:v>
                </c:pt>
                <c:pt idx="7">
                  <c:v>46017.180037000013</c:v>
                </c:pt>
              </c:numCache>
            </c:numRef>
          </c:val>
          <c:smooth val="0"/>
          <c:extLst>
            <c:ext xmlns:c16="http://schemas.microsoft.com/office/drawing/2014/chart" uri="{C3380CC4-5D6E-409C-BE32-E72D297353CC}">
              <c16:uniqueId val="{00000001-8740-4C06-8C4B-062262B74C21}"/>
            </c:ext>
          </c:extLst>
        </c:ser>
        <c:ser>
          <c:idx val="1"/>
          <c:order val="1"/>
          <c:tx>
            <c:strRef>
              <c:f>'6.Escenarios'!$D$72</c:f>
              <c:strCache>
                <c:ptCount val="1"/>
                <c:pt idx="0">
                  <c:v>Escenario 1</c:v>
                </c:pt>
              </c:strCache>
            </c:strRef>
          </c:tx>
          <c:spPr>
            <a:ln w="28575"/>
          </c:spPr>
          <c:marker>
            <c:symbol val="none"/>
          </c:marker>
          <c:dLbls>
            <c:dLbl>
              <c:idx val="7"/>
              <c:delete val="1"/>
              <c:extLst>
                <c:ext xmlns:c15="http://schemas.microsoft.com/office/drawing/2012/chart" uri="{CE6537A1-D6FC-4f65-9D91-7224C49458BB}"/>
                <c:ext xmlns:c16="http://schemas.microsoft.com/office/drawing/2014/chart" uri="{C3380CC4-5D6E-409C-BE32-E72D297353CC}">
                  <c16:uniqueId val="{00000002-8740-4C06-8C4B-062262B74C2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'6.Escenarios'!$B$73:$B$81</c:f>
              <c:strCache>
                <c:ptCount val="9"/>
                <c:pt idx="0">
                  <c:v>2009</c:v>
                </c:pt>
                <c:pt idx="1">
                  <c:v>2010</c:v>
                </c:pt>
                <c:pt idx="2">
                  <c:v>2011</c:v>
                </c:pt>
                <c:pt idx="3">
                  <c:v>2012</c:v>
                </c:pt>
                <c:pt idx="4">
                  <c:v>2013</c:v>
                </c:pt>
                <c:pt idx="5">
                  <c:v>2014</c:v>
                </c:pt>
                <c:pt idx="6">
                  <c:v>2015</c:v>
                </c:pt>
                <c:pt idx="7">
                  <c:v>2016*</c:v>
                </c:pt>
                <c:pt idx="8">
                  <c:v>2017**</c:v>
                </c:pt>
              </c:strCache>
            </c:strRef>
          </c:cat>
          <c:val>
            <c:numRef>
              <c:f>'6.Escenarios'!$D$73:$D$81</c:f>
              <c:numCache>
                <c:formatCode>General</c:formatCode>
                <c:ptCount val="9"/>
                <c:pt idx="7" formatCode="&quot;$&quot;\ #,##0">
                  <c:v>46017.180037000013</c:v>
                </c:pt>
                <c:pt idx="8" formatCode="&quot;$&quot;\ #,##0">
                  <c:v>331934.78999999998</c:v>
                </c:pt>
              </c:numCache>
            </c:numRef>
          </c:val>
          <c:smooth val="0"/>
          <c:extLst>
            <c:ext xmlns:c16="http://schemas.microsoft.com/office/drawing/2014/chart" uri="{C3380CC4-5D6E-409C-BE32-E72D297353CC}">
              <c16:uniqueId val="{00000003-8740-4C06-8C4B-062262B74C21}"/>
            </c:ext>
          </c:extLst>
        </c:ser>
        <c:ser>
          <c:idx val="2"/>
          <c:order val="2"/>
          <c:tx>
            <c:strRef>
              <c:f>'6.Escenarios'!$E$72</c:f>
              <c:strCache>
                <c:ptCount val="1"/>
                <c:pt idx="0">
                  <c:v>Escenario 2</c:v>
                </c:pt>
              </c:strCache>
            </c:strRef>
          </c:tx>
          <c:spPr>
            <a:ln w="28575"/>
          </c:spPr>
          <c:marker>
            <c:symbol val="none"/>
          </c:marker>
          <c:dLbls>
            <c:dLbl>
              <c:idx val="7"/>
              <c:delete val="1"/>
              <c:extLst>
                <c:ext xmlns:c15="http://schemas.microsoft.com/office/drawing/2012/chart" uri="{CE6537A1-D6FC-4f65-9D91-7224C49458BB}"/>
                <c:ext xmlns:c16="http://schemas.microsoft.com/office/drawing/2014/chart" uri="{C3380CC4-5D6E-409C-BE32-E72D297353CC}">
                  <c16:uniqueId val="{00000004-8740-4C06-8C4B-062262B74C21}"/>
                </c:ext>
              </c:extLst>
            </c:dLbl>
            <c:dLbl>
              <c:idx val="8"/>
              <c:layout>
                <c:manualLayout>
                  <c:x val="0"/>
                  <c:y val="3.8600005166929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740-4C06-8C4B-062262B74C2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'6.Escenarios'!$B$73:$B$81</c:f>
              <c:strCache>
                <c:ptCount val="9"/>
                <c:pt idx="0">
                  <c:v>2009</c:v>
                </c:pt>
                <c:pt idx="1">
                  <c:v>2010</c:v>
                </c:pt>
                <c:pt idx="2">
                  <c:v>2011</c:v>
                </c:pt>
                <c:pt idx="3">
                  <c:v>2012</c:v>
                </c:pt>
                <c:pt idx="4">
                  <c:v>2013</c:v>
                </c:pt>
                <c:pt idx="5">
                  <c:v>2014</c:v>
                </c:pt>
                <c:pt idx="6">
                  <c:v>2015</c:v>
                </c:pt>
                <c:pt idx="7">
                  <c:v>2016*</c:v>
                </c:pt>
                <c:pt idx="8">
                  <c:v>2017**</c:v>
                </c:pt>
              </c:strCache>
            </c:strRef>
          </c:cat>
          <c:val>
            <c:numRef>
              <c:f>'6.Escenarios'!$E$73:$E$81</c:f>
              <c:numCache>
                <c:formatCode>General</c:formatCode>
                <c:ptCount val="9"/>
                <c:pt idx="7" formatCode="&quot;$&quot;\ #,##0">
                  <c:v>46017.180037000013</c:v>
                </c:pt>
                <c:pt idx="8" formatCode="&quot;$&quot;\ #,##0">
                  <c:v>224234.79</c:v>
                </c:pt>
              </c:numCache>
            </c:numRef>
          </c:val>
          <c:smooth val="0"/>
          <c:extLst>
            <c:ext xmlns:c16="http://schemas.microsoft.com/office/drawing/2014/chart" uri="{C3380CC4-5D6E-409C-BE32-E72D297353CC}">
              <c16:uniqueId val="{00000006-8740-4C06-8C4B-062262B74C21}"/>
            </c:ext>
          </c:extLst>
        </c:ser>
        <c:ser>
          <c:idx val="3"/>
          <c:order val="3"/>
          <c:tx>
            <c:strRef>
              <c:f>'6.Escenarios'!$F$72</c:f>
              <c:strCache>
                <c:ptCount val="1"/>
                <c:pt idx="0">
                  <c:v>Escenario 3</c:v>
                </c:pt>
              </c:strCache>
            </c:strRef>
          </c:tx>
          <c:spPr>
            <a:ln w="28575"/>
          </c:spPr>
          <c:marker>
            <c:symbol val="none"/>
          </c:marker>
          <c:dLbls>
            <c:dLbl>
              <c:idx val="7"/>
              <c:delete val="1"/>
              <c:extLst>
                <c:ext xmlns:c15="http://schemas.microsoft.com/office/drawing/2012/chart" uri="{CE6537A1-D6FC-4f65-9D91-7224C49458BB}"/>
                <c:ext xmlns:c16="http://schemas.microsoft.com/office/drawing/2014/chart" uri="{C3380CC4-5D6E-409C-BE32-E72D297353CC}">
                  <c16:uniqueId val="{00000007-8740-4C06-8C4B-062262B74C21}"/>
                </c:ext>
              </c:extLst>
            </c:dLbl>
            <c:dLbl>
              <c:idx val="8"/>
              <c:layout>
                <c:manualLayout>
                  <c:x val="-2.4841709629039176E-3"/>
                  <c:y val="-4.62940386423331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740-4C06-8C4B-062262B74C2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'6.Escenarios'!$B$73:$B$81</c:f>
              <c:strCache>
                <c:ptCount val="9"/>
                <c:pt idx="0">
                  <c:v>2009</c:v>
                </c:pt>
                <c:pt idx="1">
                  <c:v>2010</c:v>
                </c:pt>
                <c:pt idx="2">
                  <c:v>2011</c:v>
                </c:pt>
                <c:pt idx="3">
                  <c:v>2012</c:v>
                </c:pt>
                <c:pt idx="4">
                  <c:v>2013</c:v>
                </c:pt>
                <c:pt idx="5">
                  <c:v>2014</c:v>
                </c:pt>
                <c:pt idx="6">
                  <c:v>2015</c:v>
                </c:pt>
                <c:pt idx="7">
                  <c:v>2016*</c:v>
                </c:pt>
                <c:pt idx="8">
                  <c:v>2017**</c:v>
                </c:pt>
              </c:strCache>
            </c:strRef>
          </c:cat>
          <c:val>
            <c:numRef>
              <c:f>'6.Escenarios'!$F$73:$F$81</c:f>
              <c:numCache>
                <c:formatCode>General</c:formatCode>
                <c:ptCount val="9"/>
                <c:pt idx="7" formatCode="&quot;$&quot;\ #,##0">
                  <c:v>46017.180037000013</c:v>
                </c:pt>
                <c:pt idx="8" formatCode="&quot;$&quot;\ #,##0">
                  <c:v>116534.79000000001</c:v>
                </c:pt>
              </c:numCache>
            </c:numRef>
          </c:val>
          <c:smooth val="0"/>
          <c:extLst>
            <c:ext xmlns:c16="http://schemas.microsoft.com/office/drawing/2014/chart" uri="{C3380CC4-5D6E-409C-BE32-E72D297353CC}">
              <c16:uniqueId val="{00000009-8740-4C06-8C4B-062262B74C21}"/>
            </c:ext>
          </c:extLst>
        </c:ser>
        <c:dLbls>
          <c:showLegendKey val="0"/>
          <c:showVal val="1"/>
          <c:showCatName val="0"/>
          <c:showSerName val="0"/>
          <c:showPercent val="0"/>
          <c:showBubbleSize val="0"/>
        </c:dLbls>
        <c:smooth val="0"/>
        <c:axId val="173211008"/>
        <c:axId val="173274240"/>
      </c:lineChart>
      <c:catAx>
        <c:axId val="173211008"/>
        <c:scaling>
          <c:orientation val="minMax"/>
        </c:scaling>
        <c:delete val="0"/>
        <c:axPos val="b"/>
        <c:numFmt formatCode="General" sourceLinked="1"/>
        <c:majorTickMark val="none"/>
        <c:minorTickMark val="none"/>
        <c:tickLblPos val="nextTo"/>
        <c:crossAx val="173274240"/>
        <c:crosses val="autoZero"/>
        <c:auto val="1"/>
        <c:lblAlgn val="ctr"/>
        <c:lblOffset val="100"/>
        <c:noMultiLvlLbl val="0"/>
      </c:catAx>
      <c:valAx>
        <c:axId val="173274240"/>
        <c:scaling>
          <c:orientation val="minMax"/>
        </c:scaling>
        <c:delete val="0"/>
        <c:axPos val="l"/>
        <c:title>
          <c:tx>
            <c:rich>
              <a:bodyPr/>
              <a:lstStyle/>
              <a:p>
                <a:pPr>
                  <a:defRPr/>
                </a:pPr>
                <a:r>
                  <a:rPr lang="es-CO"/>
                  <a:t>$</a:t>
                </a:r>
                <a:r>
                  <a:rPr lang="es-CO" baseline="0"/>
                  <a:t> Millones</a:t>
                </a:r>
                <a:endParaRPr lang="es-CO"/>
              </a:p>
            </c:rich>
          </c:tx>
          <c:layout>
            <c:manualLayout>
              <c:xMode val="edge"/>
              <c:yMode val="edge"/>
              <c:x val="5.779097528063229E-3"/>
              <c:y val="3.4765723728978307E-2"/>
            </c:manualLayout>
          </c:layout>
          <c:overlay val="0"/>
        </c:title>
        <c:numFmt formatCode="&quot;$&quot;\ #,##0" sourceLinked="1"/>
        <c:majorTickMark val="none"/>
        <c:minorTickMark val="none"/>
        <c:tickLblPos val="nextTo"/>
        <c:crossAx val="173211008"/>
        <c:crosses val="autoZero"/>
        <c:crossBetween val="between"/>
      </c:valAx>
    </c:plotArea>
    <c:legend>
      <c:legendPos val="r"/>
      <c:legendEntry>
        <c:idx val="0"/>
        <c:delete val="1"/>
      </c:legendEntry>
      <c:layout>
        <c:manualLayout>
          <c:xMode val="edge"/>
          <c:yMode val="edge"/>
          <c:x val="0.71185272921393294"/>
          <c:y val="1.9670943909789049E-2"/>
          <c:w val="0.16775202099737532"/>
          <c:h val="0.72756719915821677"/>
        </c:manualLayout>
      </c:layout>
      <c:overlay val="0"/>
      <c:txPr>
        <a:bodyPr/>
        <a:lstStyle/>
        <a:p>
          <a:pPr>
            <a:defRPr sz="700"/>
          </a:pPr>
          <a:endParaRPr lang="es-CO"/>
        </a:p>
      </c:txPr>
    </c:legend>
    <c:plotVisOnly val="1"/>
    <c:dispBlanksAs val="gap"/>
    <c:showDLblsOverMax val="0"/>
  </c:chart>
  <c:spPr>
    <a:ln>
      <a:noFill/>
    </a:ln>
  </c:spPr>
  <c:txPr>
    <a:bodyPr/>
    <a:lstStyle/>
    <a:p>
      <a:pPr>
        <a:defRPr sz="700"/>
      </a:pPr>
      <a:endParaRPr lang="es-CO"/>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4B834-CC6C-40FA-97E2-3798CBBDB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3321</Words>
  <Characters>18268</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ldanderino</dc:creator>
  <cp:lastModifiedBy>Jesus Antonio Vargas Orozco</cp:lastModifiedBy>
  <cp:revision>2</cp:revision>
  <cp:lastPrinted>2017-07-14T16:52:00Z</cp:lastPrinted>
  <dcterms:created xsi:type="dcterms:W3CDTF">2017-07-14T20:13:00Z</dcterms:created>
  <dcterms:modified xsi:type="dcterms:W3CDTF">2017-07-14T20:13:00Z</dcterms:modified>
</cp:coreProperties>
</file>