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F7B1AA" w14:textId="77777777" w:rsidR="004045B7" w:rsidRPr="00446DE1" w:rsidRDefault="45C72BF3" w:rsidP="004045B7">
      <w:pPr>
        <w:spacing w:after="240"/>
        <w:jc w:val="center"/>
        <w:rPr>
          <w:b/>
          <w:color w:val="000000" w:themeColor="text1"/>
        </w:rPr>
      </w:pPr>
      <w:r w:rsidRPr="00446DE1">
        <w:rPr>
          <w:b/>
          <w:color w:val="000000" w:themeColor="text1"/>
        </w:rPr>
        <w:t>REPÚBLICA DE COLOMBIA</w:t>
      </w:r>
    </w:p>
    <w:p w14:paraId="0C59DC88" w14:textId="4A21D510" w:rsidR="007D7FD3" w:rsidRPr="00446DE1" w:rsidRDefault="45C72BF3" w:rsidP="004045B7">
      <w:pPr>
        <w:spacing w:after="240"/>
        <w:jc w:val="center"/>
        <w:rPr>
          <w:b/>
          <w:color w:val="000000" w:themeColor="text1"/>
        </w:rPr>
      </w:pPr>
      <w:r w:rsidRPr="00446DE1">
        <w:rPr>
          <w:b/>
          <w:color w:val="000000" w:themeColor="text1"/>
        </w:rPr>
        <w:t>COMISIÓN NACIONAL DE CRÉDITO AGROPECUARIO</w:t>
      </w:r>
    </w:p>
    <w:p w14:paraId="0E47E9F5" w14:textId="062014D2" w:rsidR="00FA119F" w:rsidRPr="00670E3D" w:rsidRDefault="00FA119F" w:rsidP="00FA119F">
      <w:pPr>
        <w:spacing w:line="276" w:lineRule="auto"/>
        <w:ind w:firstLine="280"/>
        <w:jc w:val="center"/>
        <w:rPr>
          <w:rFonts w:eastAsia="Times New Roman"/>
          <w:b/>
          <w:color w:val="000000"/>
          <w:lang w:eastAsia="es-ES_tradnl"/>
        </w:rPr>
      </w:pPr>
      <w:r w:rsidRPr="00670E3D">
        <w:rPr>
          <w:rFonts w:eastAsia="Times New Roman"/>
          <w:b/>
          <w:color w:val="000000"/>
          <w:lang w:eastAsia="es-ES_tradnl"/>
        </w:rPr>
        <w:t xml:space="preserve">RESOLUCIÓN No. </w:t>
      </w:r>
      <w:r w:rsidR="002B4683" w:rsidRPr="00670E3D">
        <w:rPr>
          <w:rFonts w:eastAsia="Times New Roman"/>
          <w:b/>
          <w:color w:val="FF0000"/>
          <w:lang w:eastAsia="es-ES_tradnl"/>
        </w:rPr>
        <w:t>XX</w:t>
      </w:r>
      <w:r w:rsidRPr="00670E3D">
        <w:rPr>
          <w:rFonts w:eastAsia="Times New Roman"/>
          <w:b/>
          <w:color w:val="000000"/>
          <w:lang w:eastAsia="es-ES_tradnl"/>
        </w:rPr>
        <w:t xml:space="preserve"> DE 2020</w:t>
      </w:r>
    </w:p>
    <w:p w14:paraId="77E70A02" w14:textId="099C6D8C" w:rsidR="00FA119F" w:rsidRPr="0063513E" w:rsidRDefault="00FA119F" w:rsidP="00FA119F">
      <w:pPr>
        <w:spacing w:line="276" w:lineRule="auto"/>
        <w:ind w:firstLine="280"/>
        <w:jc w:val="center"/>
        <w:rPr>
          <w:rFonts w:eastAsia="Times New Roman"/>
          <w:b/>
          <w:color w:val="FF0000"/>
          <w:lang w:eastAsia="es-ES_tradnl"/>
        </w:rPr>
      </w:pPr>
      <w:r w:rsidRPr="00670E3D">
        <w:rPr>
          <w:rFonts w:eastAsia="Times New Roman"/>
          <w:b/>
          <w:color w:val="FF0000"/>
          <w:lang w:eastAsia="es-ES_tradnl"/>
        </w:rPr>
        <w:t>(</w:t>
      </w:r>
      <w:r w:rsidR="00F163EE" w:rsidRPr="00670E3D">
        <w:rPr>
          <w:rFonts w:eastAsia="Times New Roman"/>
          <w:b/>
          <w:color w:val="FF0000"/>
          <w:lang w:eastAsia="es-ES_tradnl"/>
        </w:rPr>
        <w:t>Junio</w:t>
      </w:r>
      <w:r w:rsidRPr="00670E3D">
        <w:rPr>
          <w:rFonts w:eastAsia="Times New Roman"/>
          <w:b/>
          <w:color w:val="FF0000"/>
          <w:lang w:eastAsia="es-ES_tradnl"/>
        </w:rPr>
        <w:t xml:space="preserve"> </w:t>
      </w:r>
      <w:r w:rsidR="005952D1" w:rsidRPr="00670E3D">
        <w:rPr>
          <w:rFonts w:eastAsia="Times New Roman"/>
          <w:b/>
          <w:color w:val="FF0000"/>
          <w:lang w:eastAsia="es-ES_tradnl"/>
        </w:rPr>
        <w:t>XX</w:t>
      </w:r>
      <w:r w:rsidRPr="00670E3D">
        <w:rPr>
          <w:rFonts w:eastAsia="Times New Roman"/>
          <w:b/>
          <w:color w:val="FF0000"/>
          <w:lang w:eastAsia="es-ES_tradnl"/>
        </w:rPr>
        <w:t>)</w:t>
      </w:r>
    </w:p>
    <w:p w14:paraId="7D1F52C7" w14:textId="77777777" w:rsidR="007D7FD3" w:rsidRPr="00446DE1" w:rsidRDefault="007D7FD3">
      <w:pPr>
        <w:pStyle w:val="Textoindependiente"/>
        <w:rPr>
          <w:b/>
          <w:color w:val="000000" w:themeColor="text1"/>
          <w:sz w:val="24"/>
        </w:rPr>
      </w:pPr>
    </w:p>
    <w:p w14:paraId="35B788B7" w14:textId="77777777" w:rsidR="007D7FD3" w:rsidRPr="00446DE1" w:rsidRDefault="007D7FD3">
      <w:pPr>
        <w:pStyle w:val="Textoindependiente"/>
        <w:spacing w:before="7"/>
        <w:rPr>
          <w:b/>
          <w:sz w:val="19"/>
        </w:rPr>
      </w:pPr>
    </w:p>
    <w:p w14:paraId="604C659F" w14:textId="1E1A4A9D" w:rsidR="00272748" w:rsidRPr="00637B8C" w:rsidRDefault="00272748" w:rsidP="00272748">
      <w:pPr>
        <w:spacing w:line="276" w:lineRule="auto"/>
        <w:ind w:firstLine="280"/>
        <w:jc w:val="center"/>
        <w:rPr>
          <w:rFonts w:eastAsia="Times New Roman"/>
          <w:color w:val="000000"/>
          <w:lang w:eastAsia="es-ES_tradnl"/>
        </w:rPr>
      </w:pPr>
      <w:r w:rsidRPr="00637B8C">
        <w:rPr>
          <w:rFonts w:eastAsia="Times New Roman"/>
          <w:color w:val="000000"/>
          <w:lang w:eastAsia="es-ES_tradnl"/>
        </w:rPr>
        <w:t>“</w:t>
      </w:r>
      <w:bookmarkStart w:id="0" w:name="_Hlk41399283"/>
      <w:r w:rsidRPr="00637B8C">
        <w:rPr>
          <w:rFonts w:eastAsia="Times New Roman"/>
          <w:color w:val="000000"/>
          <w:lang w:eastAsia="es-ES_tradnl"/>
        </w:rPr>
        <w:t>Por medio de la cual</w:t>
      </w:r>
      <w:r w:rsidR="00307471">
        <w:rPr>
          <w:rFonts w:eastAsia="Times New Roman"/>
          <w:color w:val="000000"/>
          <w:lang w:eastAsia="es-ES_tradnl"/>
        </w:rPr>
        <w:t xml:space="preserve"> </w:t>
      </w:r>
      <w:r w:rsidR="00E65E1E">
        <w:rPr>
          <w:rFonts w:eastAsia="Times New Roman"/>
          <w:color w:val="000000"/>
          <w:lang w:eastAsia="es-ES_tradnl"/>
        </w:rPr>
        <w:t xml:space="preserve">se </w:t>
      </w:r>
      <w:r w:rsidR="00307471">
        <w:rPr>
          <w:rFonts w:eastAsia="Times New Roman"/>
          <w:color w:val="000000"/>
          <w:lang w:eastAsia="es-ES_tradnl"/>
        </w:rPr>
        <w:t>habilita</w:t>
      </w:r>
      <w:r w:rsidR="00142A61">
        <w:rPr>
          <w:rFonts w:eastAsia="Times New Roman"/>
          <w:color w:val="000000"/>
          <w:lang w:eastAsia="es-ES_tradnl"/>
        </w:rPr>
        <w:t xml:space="preserve"> una cobertura adicional por parte de </w:t>
      </w:r>
      <w:r w:rsidR="00307471">
        <w:rPr>
          <w:rFonts w:eastAsia="Times New Roman"/>
          <w:color w:val="000000"/>
          <w:lang w:eastAsia="es-ES_tradnl"/>
        </w:rPr>
        <w:t>las garantías</w:t>
      </w:r>
      <w:bookmarkEnd w:id="0"/>
      <w:r w:rsidR="00307471">
        <w:rPr>
          <w:rFonts w:eastAsia="Times New Roman"/>
          <w:color w:val="000000"/>
          <w:lang w:eastAsia="es-ES_tradnl"/>
        </w:rPr>
        <w:t xml:space="preserve"> institucionales complementarias,</w:t>
      </w:r>
      <w:r w:rsidRPr="00637B8C">
        <w:rPr>
          <w:rFonts w:eastAsia="Times New Roman"/>
          <w:color w:val="000000"/>
          <w:lang w:eastAsia="es-ES_tradnl"/>
        </w:rPr>
        <w:t xml:space="preserve"> se </w:t>
      </w:r>
      <w:r>
        <w:rPr>
          <w:rFonts w:eastAsia="Times New Roman"/>
          <w:color w:val="000000"/>
          <w:lang w:eastAsia="es-ES_tradnl"/>
        </w:rPr>
        <w:t>modifica</w:t>
      </w:r>
      <w:r w:rsidR="00A9563C">
        <w:rPr>
          <w:rFonts w:eastAsia="Times New Roman"/>
          <w:color w:val="000000"/>
          <w:lang w:eastAsia="es-ES_tradnl"/>
        </w:rPr>
        <w:t>n</w:t>
      </w:r>
      <w:r>
        <w:rPr>
          <w:rFonts w:eastAsia="Times New Roman"/>
          <w:color w:val="000000"/>
          <w:lang w:eastAsia="es-ES_tradnl"/>
        </w:rPr>
        <w:t xml:space="preserve"> la Resoluci</w:t>
      </w:r>
      <w:r w:rsidR="00A9563C">
        <w:rPr>
          <w:rFonts w:eastAsia="Times New Roman"/>
          <w:color w:val="000000"/>
          <w:lang w:eastAsia="es-ES_tradnl"/>
        </w:rPr>
        <w:t>o</w:t>
      </w:r>
      <w:r>
        <w:rPr>
          <w:rFonts w:eastAsia="Times New Roman"/>
          <w:color w:val="000000"/>
          <w:lang w:eastAsia="es-ES_tradnl"/>
        </w:rPr>
        <w:t>n</w:t>
      </w:r>
      <w:r w:rsidR="00A9563C">
        <w:rPr>
          <w:rFonts w:eastAsia="Times New Roman"/>
          <w:color w:val="000000"/>
          <w:lang w:eastAsia="es-ES_tradnl"/>
        </w:rPr>
        <w:t>es</w:t>
      </w:r>
      <w:r>
        <w:rPr>
          <w:rFonts w:eastAsia="Times New Roman"/>
          <w:color w:val="000000"/>
          <w:lang w:eastAsia="es-ES_tradnl"/>
        </w:rPr>
        <w:t xml:space="preserve"> </w:t>
      </w:r>
      <w:r w:rsidR="00AF4670">
        <w:rPr>
          <w:rFonts w:eastAsia="Times New Roman"/>
          <w:color w:val="000000"/>
          <w:lang w:eastAsia="es-ES_tradnl"/>
        </w:rPr>
        <w:t>2</w:t>
      </w:r>
      <w:r>
        <w:rPr>
          <w:rFonts w:eastAsia="Times New Roman"/>
          <w:color w:val="000000"/>
          <w:lang w:eastAsia="es-ES_tradnl"/>
        </w:rPr>
        <w:t xml:space="preserve"> de 2016</w:t>
      </w:r>
      <w:r w:rsidR="00A9563C">
        <w:rPr>
          <w:rFonts w:eastAsia="Times New Roman"/>
          <w:color w:val="000000"/>
          <w:lang w:eastAsia="es-ES_tradnl"/>
        </w:rPr>
        <w:t xml:space="preserve"> y 17 de 2019</w:t>
      </w:r>
      <w:r w:rsidR="00382C34">
        <w:rPr>
          <w:rFonts w:eastAsia="Times New Roman"/>
          <w:color w:val="000000"/>
          <w:lang w:eastAsia="es-ES_tradnl"/>
        </w:rPr>
        <w:t xml:space="preserve"> y se dictan otras disposiciones</w:t>
      </w:r>
      <w:r w:rsidRPr="00637B8C">
        <w:rPr>
          <w:rFonts w:eastAsia="Times New Roman"/>
          <w:color w:val="000000"/>
          <w:lang w:eastAsia="es-ES_tradnl"/>
        </w:rPr>
        <w:t>”</w:t>
      </w:r>
    </w:p>
    <w:p w14:paraId="16AEDC54" w14:textId="77777777" w:rsidR="007D7FD3" w:rsidRPr="00446DE1" w:rsidRDefault="007D7FD3" w:rsidP="00111B9F">
      <w:pPr>
        <w:pStyle w:val="Textoindependiente"/>
        <w:rPr>
          <w:sz w:val="24"/>
        </w:rPr>
      </w:pPr>
    </w:p>
    <w:p w14:paraId="4D473671" w14:textId="77777777" w:rsidR="007D7FD3" w:rsidRPr="00446DE1" w:rsidRDefault="007D7FD3">
      <w:pPr>
        <w:pStyle w:val="Textoindependiente"/>
        <w:spacing w:before="9"/>
        <w:rPr>
          <w:sz w:val="19"/>
        </w:rPr>
      </w:pPr>
    </w:p>
    <w:p w14:paraId="4000622B" w14:textId="77777777" w:rsidR="007D7FD3" w:rsidRPr="00446DE1" w:rsidRDefault="00C9075B">
      <w:pPr>
        <w:pStyle w:val="Ttulo1"/>
        <w:spacing w:before="1"/>
        <w:ind w:left="1526"/>
      </w:pPr>
      <w:r w:rsidRPr="00446DE1">
        <w:t>LA COMISIÓN NACIONAL DE CRÉDITO AGROPECUARIO</w:t>
      </w:r>
    </w:p>
    <w:p w14:paraId="69C2F2A5" w14:textId="77777777" w:rsidR="007D7FD3" w:rsidRPr="00446DE1" w:rsidRDefault="007D7FD3">
      <w:pPr>
        <w:pStyle w:val="Textoindependiente"/>
        <w:spacing w:before="10"/>
        <w:rPr>
          <w:b/>
          <w:sz w:val="21"/>
        </w:rPr>
      </w:pPr>
    </w:p>
    <w:p w14:paraId="14B5A148" w14:textId="0CCA5236" w:rsidR="007D7FD3" w:rsidRPr="00446DE1" w:rsidRDefault="00C9075B" w:rsidP="00E2369E">
      <w:pPr>
        <w:pStyle w:val="Textoindependiente"/>
        <w:spacing w:line="242" w:lineRule="auto"/>
        <w:ind w:left="284" w:right="351"/>
        <w:jc w:val="both"/>
      </w:pPr>
      <w:r w:rsidRPr="00446DE1">
        <w:t>En ejercicio de las facultades conferidas por los artículo</w:t>
      </w:r>
      <w:r w:rsidR="00554F87" w:rsidRPr="00446DE1">
        <w:t>s 218 y 231 del Estatuto Orgáni</w:t>
      </w:r>
      <w:r w:rsidRPr="00446DE1">
        <w:t>co del Sistema Financiero, las Leyes 16 de 1990, 69 y 101 de 1993,1731 de 2014, el Decreto</w:t>
      </w:r>
      <w:r w:rsidR="00E2369E">
        <w:t xml:space="preserve"> </w:t>
      </w:r>
      <w:r w:rsidRPr="00446DE1">
        <w:t>Ley 2371 de 2015 y los Decretos 1313 de 1990 y 1071 de 2015, y</w:t>
      </w:r>
    </w:p>
    <w:p w14:paraId="16F90AAB" w14:textId="77777777" w:rsidR="007D7FD3" w:rsidRPr="00446DE1" w:rsidRDefault="007D7FD3">
      <w:pPr>
        <w:pStyle w:val="Textoindependiente"/>
        <w:spacing w:before="10"/>
        <w:rPr>
          <w:sz w:val="21"/>
        </w:rPr>
      </w:pPr>
    </w:p>
    <w:p w14:paraId="6B1B0ED8" w14:textId="77777777" w:rsidR="008C4780" w:rsidRPr="00446DE1" w:rsidRDefault="008C4780" w:rsidP="00A83F5F">
      <w:pPr>
        <w:pStyle w:val="Textoindependiente"/>
        <w:spacing w:before="10"/>
        <w:rPr>
          <w:sz w:val="21"/>
        </w:rPr>
      </w:pPr>
    </w:p>
    <w:p w14:paraId="081574AD" w14:textId="77777777" w:rsidR="007D7FD3" w:rsidRPr="00446DE1" w:rsidRDefault="00C9075B" w:rsidP="00A83F5F">
      <w:pPr>
        <w:pStyle w:val="Ttulo1"/>
        <w:spacing w:before="1"/>
        <w:jc w:val="center"/>
      </w:pPr>
      <w:r w:rsidRPr="00446DE1">
        <w:t>CONSIDERANDO</w:t>
      </w:r>
    </w:p>
    <w:p w14:paraId="3A29BC3B" w14:textId="77777777" w:rsidR="007D7FD3" w:rsidRPr="00446DE1" w:rsidRDefault="007D7FD3" w:rsidP="00A83F5F">
      <w:pPr>
        <w:pStyle w:val="Textoindependiente"/>
        <w:spacing w:before="3"/>
        <w:rPr>
          <w:b/>
        </w:rPr>
      </w:pPr>
    </w:p>
    <w:p w14:paraId="6E2703CA" w14:textId="3C8A7032" w:rsidR="007D7FD3" w:rsidRPr="00446DE1" w:rsidRDefault="00C9075B" w:rsidP="00A83F5F">
      <w:pPr>
        <w:pStyle w:val="Textoindependiente"/>
        <w:spacing w:before="1"/>
        <w:jc w:val="both"/>
      </w:pPr>
      <w:r w:rsidRPr="00446DE1">
        <w:rPr>
          <w:b/>
        </w:rPr>
        <w:t>Primero.</w:t>
      </w:r>
      <w:r w:rsidRPr="00446DE1">
        <w:rPr>
          <w:b/>
          <w:spacing w:val="-10"/>
        </w:rPr>
        <w:t xml:space="preserve"> </w:t>
      </w:r>
      <w:r w:rsidRPr="00446DE1">
        <w:t>Que</w:t>
      </w:r>
      <w:r w:rsidRPr="00446DE1">
        <w:rPr>
          <w:spacing w:val="-6"/>
        </w:rPr>
        <w:t xml:space="preserve"> </w:t>
      </w:r>
      <w:r w:rsidRPr="00446DE1">
        <w:t>de</w:t>
      </w:r>
      <w:r w:rsidRPr="00446DE1">
        <w:rPr>
          <w:spacing w:val="-11"/>
        </w:rPr>
        <w:t xml:space="preserve"> </w:t>
      </w:r>
      <w:r w:rsidRPr="00446DE1">
        <w:t>acuerdo</w:t>
      </w:r>
      <w:r w:rsidRPr="00446DE1">
        <w:rPr>
          <w:spacing w:val="-7"/>
        </w:rPr>
        <w:t xml:space="preserve"> </w:t>
      </w:r>
      <w:r w:rsidRPr="00446DE1">
        <w:t>con</w:t>
      </w:r>
      <w:r w:rsidRPr="00446DE1">
        <w:rPr>
          <w:spacing w:val="-11"/>
        </w:rPr>
        <w:t xml:space="preserve"> </w:t>
      </w:r>
      <w:r w:rsidRPr="00446DE1">
        <w:t>lo</w:t>
      </w:r>
      <w:r w:rsidRPr="00446DE1">
        <w:rPr>
          <w:spacing w:val="-11"/>
        </w:rPr>
        <w:t xml:space="preserve"> </w:t>
      </w:r>
      <w:r w:rsidRPr="00446DE1">
        <w:t>dispuesto</w:t>
      </w:r>
      <w:r w:rsidRPr="00446DE1">
        <w:rPr>
          <w:spacing w:val="-11"/>
        </w:rPr>
        <w:t xml:space="preserve"> </w:t>
      </w:r>
      <w:r w:rsidRPr="00446DE1">
        <w:t>en</w:t>
      </w:r>
      <w:r w:rsidRPr="00446DE1">
        <w:rPr>
          <w:spacing w:val="-7"/>
        </w:rPr>
        <w:t xml:space="preserve"> </w:t>
      </w:r>
      <w:r w:rsidRPr="00446DE1">
        <w:t>los</w:t>
      </w:r>
      <w:r w:rsidRPr="00446DE1">
        <w:rPr>
          <w:spacing w:val="-9"/>
        </w:rPr>
        <w:t xml:space="preserve"> </w:t>
      </w:r>
      <w:r w:rsidRPr="00446DE1">
        <w:t>literales</w:t>
      </w:r>
      <w:r w:rsidRPr="00446DE1">
        <w:rPr>
          <w:spacing w:val="-9"/>
        </w:rPr>
        <w:t xml:space="preserve"> </w:t>
      </w:r>
      <w:r w:rsidRPr="00446DE1">
        <w:rPr>
          <w:spacing w:val="3"/>
        </w:rPr>
        <w:t>k.</w:t>
      </w:r>
      <w:r w:rsidRPr="00446DE1">
        <w:rPr>
          <w:spacing w:val="-11"/>
        </w:rPr>
        <w:t xml:space="preserve"> </w:t>
      </w:r>
      <w:r w:rsidRPr="00446DE1">
        <w:t>y</w:t>
      </w:r>
      <w:r w:rsidRPr="00446DE1">
        <w:rPr>
          <w:spacing w:val="-14"/>
        </w:rPr>
        <w:t xml:space="preserve"> </w:t>
      </w:r>
      <w:r w:rsidRPr="00446DE1">
        <w:t>o.,</w:t>
      </w:r>
      <w:r w:rsidRPr="00446DE1">
        <w:rPr>
          <w:spacing w:val="-10"/>
        </w:rPr>
        <w:t xml:space="preserve"> </w:t>
      </w:r>
      <w:r w:rsidRPr="00446DE1">
        <w:t>numeral</w:t>
      </w:r>
      <w:r w:rsidRPr="00446DE1">
        <w:rPr>
          <w:spacing w:val="-8"/>
        </w:rPr>
        <w:t xml:space="preserve"> </w:t>
      </w:r>
      <w:r w:rsidRPr="00446DE1">
        <w:t>2</w:t>
      </w:r>
      <w:r w:rsidRPr="00446DE1">
        <w:rPr>
          <w:spacing w:val="-11"/>
        </w:rPr>
        <w:t xml:space="preserve"> </w:t>
      </w:r>
      <w:r w:rsidRPr="00446DE1">
        <w:t>del</w:t>
      </w:r>
      <w:r w:rsidRPr="00446DE1">
        <w:rPr>
          <w:spacing w:val="-13"/>
        </w:rPr>
        <w:t xml:space="preserve"> </w:t>
      </w:r>
      <w:r w:rsidRPr="00446DE1">
        <w:t>artículo</w:t>
      </w:r>
      <w:r w:rsidRPr="00446DE1">
        <w:rPr>
          <w:spacing w:val="-12"/>
        </w:rPr>
        <w:t xml:space="preserve"> </w:t>
      </w:r>
      <w:r w:rsidRPr="00446DE1">
        <w:t>218 del Estatuto Orgánico del Sistema Financiero, que se refieren a las funciones que le corresponde ejercer a la Comisión Nacional de Crédito Agropecuario</w:t>
      </w:r>
      <w:r w:rsidR="007A6261">
        <w:t xml:space="preserve"> (CNCA)</w:t>
      </w:r>
      <w:r w:rsidRPr="00446DE1">
        <w:t xml:space="preserve"> en su calidad de organismo rector del financiamiento y del manejo de </w:t>
      </w:r>
      <w:r w:rsidRPr="00446DE1">
        <w:rPr>
          <w:spacing w:val="2"/>
        </w:rPr>
        <w:t xml:space="preserve">riesgos </w:t>
      </w:r>
      <w:r w:rsidRPr="00446DE1">
        <w:t>del sector agropecuario, ésta podrá:</w:t>
      </w:r>
    </w:p>
    <w:p w14:paraId="69C94CD9" w14:textId="77777777" w:rsidR="007D7FD3" w:rsidRPr="00446DE1" w:rsidRDefault="007D7FD3" w:rsidP="00A83F5F">
      <w:pPr>
        <w:pStyle w:val="Textoindependiente"/>
        <w:spacing w:before="8"/>
        <w:rPr>
          <w:sz w:val="21"/>
        </w:rPr>
      </w:pPr>
    </w:p>
    <w:p w14:paraId="6A961365" w14:textId="77777777" w:rsidR="007D7FD3" w:rsidRPr="00446DE1" w:rsidRDefault="00C9075B" w:rsidP="00A83F5F">
      <w:pPr>
        <w:spacing w:before="1"/>
        <w:rPr>
          <w:i/>
        </w:rPr>
      </w:pPr>
      <w:r w:rsidRPr="00446DE1">
        <w:rPr>
          <w:i/>
        </w:rPr>
        <w:t>“(…)</w:t>
      </w:r>
    </w:p>
    <w:p w14:paraId="1A72FF7B" w14:textId="77777777" w:rsidR="007D7FD3" w:rsidRPr="00446DE1" w:rsidRDefault="007D7FD3" w:rsidP="00A83F5F">
      <w:pPr>
        <w:pStyle w:val="Textoindependiente"/>
        <w:spacing w:before="11"/>
        <w:rPr>
          <w:i/>
          <w:sz w:val="21"/>
        </w:rPr>
      </w:pPr>
    </w:p>
    <w:p w14:paraId="48BFD9D7" w14:textId="77777777" w:rsidR="007D7FD3" w:rsidRPr="00446DE1" w:rsidRDefault="00C9075B" w:rsidP="00A83F5F">
      <w:pPr>
        <w:jc w:val="both"/>
        <w:rPr>
          <w:i/>
        </w:rPr>
      </w:pPr>
      <w:r w:rsidRPr="00446DE1">
        <w:rPr>
          <w:i/>
        </w:rPr>
        <w:t>k.</w:t>
      </w:r>
      <w:r w:rsidRPr="00446DE1">
        <w:rPr>
          <w:i/>
          <w:spacing w:val="-9"/>
        </w:rPr>
        <w:t xml:space="preserve"> </w:t>
      </w:r>
      <w:r w:rsidRPr="00446DE1">
        <w:rPr>
          <w:i/>
        </w:rPr>
        <w:t>Determinar</w:t>
      </w:r>
      <w:r w:rsidRPr="00446DE1">
        <w:rPr>
          <w:i/>
          <w:spacing w:val="-5"/>
        </w:rPr>
        <w:t xml:space="preserve"> </w:t>
      </w:r>
      <w:r w:rsidRPr="00446DE1">
        <w:rPr>
          <w:i/>
        </w:rPr>
        <w:t>el</w:t>
      </w:r>
      <w:r w:rsidRPr="00446DE1">
        <w:rPr>
          <w:i/>
          <w:spacing w:val="-7"/>
        </w:rPr>
        <w:t xml:space="preserve"> </w:t>
      </w:r>
      <w:r w:rsidRPr="00446DE1">
        <w:rPr>
          <w:i/>
        </w:rPr>
        <w:t>valor</w:t>
      </w:r>
      <w:r w:rsidRPr="00446DE1">
        <w:rPr>
          <w:i/>
          <w:spacing w:val="-5"/>
        </w:rPr>
        <w:t xml:space="preserve"> </w:t>
      </w:r>
      <w:r w:rsidRPr="00446DE1">
        <w:rPr>
          <w:i/>
        </w:rPr>
        <w:t>de</w:t>
      </w:r>
      <w:r w:rsidRPr="00446DE1">
        <w:rPr>
          <w:i/>
          <w:spacing w:val="-5"/>
        </w:rPr>
        <w:t xml:space="preserve"> </w:t>
      </w:r>
      <w:r w:rsidRPr="00446DE1">
        <w:rPr>
          <w:i/>
        </w:rPr>
        <w:t>las</w:t>
      </w:r>
      <w:r w:rsidRPr="00446DE1">
        <w:rPr>
          <w:i/>
          <w:spacing w:val="-7"/>
        </w:rPr>
        <w:t xml:space="preserve"> </w:t>
      </w:r>
      <w:r w:rsidRPr="00446DE1">
        <w:rPr>
          <w:i/>
        </w:rPr>
        <w:t>comisiones</w:t>
      </w:r>
      <w:r w:rsidRPr="00446DE1">
        <w:rPr>
          <w:i/>
          <w:spacing w:val="-8"/>
        </w:rPr>
        <w:t xml:space="preserve"> </w:t>
      </w:r>
      <w:r w:rsidRPr="00446DE1">
        <w:rPr>
          <w:i/>
        </w:rPr>
        <w:t>que</w:t>
      </w:r>
      <w:r w:rsidRPr="00446DE1">
        <w:rPr>
          <w:i/>
          <w:spacing w:val="-5"/>
        </w:rPr>
        <w:t xml:space="preserve"> </w:t>
      </w:r>
      <w:r w:rsidRPr="00446DE1">
        <w:rPr>
          <w:i/>
        </w:rPr>
        <w:t>se</w:t>
      </w:r>
      <w:r w:rsidRPr="00446DE1">
        <w:rPr>
          <w:i/>
          <w:spacing w:val="-4"/>
        </w:rPr>
        <w:t xml:space="preserve"> </w:t>
      </w:r>
      <w:r w:rsidRPr="00446DE1">
        <w:rPr>
          <w:i/>
        </w:rPr>
        <w:t>cobrarán</w:t>
      </w:r>
      <w:r w:rsidRPr="00446DE1">
        <w:rPr>
          <w:i/>
          <w:spacing w:val="-5"/>
        </w:rPr>
        <w:t xml:space="preserve"> </w:t>
      </w:r>
      <w:r w:rsidRPr="00446DE1">
        <w:rPr>
          <w:i/>
        </w:rPr>
        <w:t>a</w:t>
      </w:r>
      <w:r w:rsidRPr="00446DE1">
        <w:rPr>
          <w:i/>
          <w:spacing w:val="-4"/>
        </w:rPr>
        <w:t xml:space="preserve"> </w:t>
      </w:r>
      <w:r w:rsidRPr="00446DE1">
        <w:rPr>
          <w:i/>
        </w:rPr>
        <w:t>todos</w:t>
      </w:r>
      <w:r w:rsidRPr="00446DE1">
        <w:rPr>
          <w:i/>
          <w:spacing w:val="-8"/>
        </w:rPr>
        <w:t xml:space="preserve"> </w:t>
      </w:r>
      <w:r w:rsidRPr="00446DE1">
        <w:rPr>
          <w:i/>
        </w:rPr>
        <w:t>los</w:t>
      </w:r>
      <w:r w:rsidRPr="00446DE1">
        <w:rPr>
          <w:i/>
          <w:spacing w:val="-7"/>
        </w:rPr>
        <w:t xml:space="preserve"> </w:t>
      </w:r>
      <w:r w:rsidRPr="00446DE1">
        <w:rPr>
          <w:i/>
        </w:rPr>
        <w:t>usuarios</w:t>
      </w:r>
      <w:r w:rsidRPr="00446DE1">
        <w:rPr>
          <w:i/>
          <w:spacing w:val="-8"/>
        </w:rPr>
        <w:t xml:space="preserve"> </w:t>
      </w:r>
      <w:r w:rsidRPr="00446DE1">
        <w:rPr>
          <w:i/>
        </w:rPr>
        <w:t>de</w:t>
      </w:r>
      <w:r w:rsidRPr="00446DE1">
        <w:rPr>
          <w:i/>
          <w:spacing w:val="-4"/>
        </w:rPr>
        <w:t xml:space="preserve"> </w:t>
      </w:r>
      <w:r w:rsidRPr="00446DE1">
        <w:rPr>
          <w:i/>
        </w:rPr>
        <w:t>crédito,</w:t>
      </w:r>
      <w:r w:rsidRPr="00446DE1">
        <w:rPr>
          <w:i/>
          <w:spacing w:val="-9"/>
        </w:rPr>
        <w:t xml:space="preserve"> </w:t>
      </w:r>
      <w:r w:rsidRPr="00446DE1">
        <w:rPr>
          <w:i/>
        </w:rPr>
        <w:t xml:space="preserve">el monto máximo de las obligaciones a respaldar, las condiciones económicas de los beneficiarios y los demás aspectos </w:t>
      </w:r>
      <w:r w:rsidRPr="00446DE1">
        <w:rPr>
          <w:i/>
          <w:spacing w:val="2"/>
        </w:rPr>
        <w:t xml:space="preserve">que </w:t>
      </w:r>
      <w:r w:rsidRPr="00446DE1">
        <w:rPr>
          <w:i/>
        </w:rPr>
        <w:t>aseguren la operatividad del Fondo Agropecuario de Garantías.</w:t>
      </w:r>
    </w:p>
    <w:p w14:paraId="0314E3E0" w14:textId="77777777" w:rsidR="007D7FD3" w:rsidRPr="00446DE1" w:rsidRDefault="007D7FD3" w:rsidP="00A83F5F">
      <w:pPr>
        <w:pStyle w:val="Textoindependiente"/>
        <w:rPr>
          <w:i/>
        </w:rPr>
      </w:pPr>
    </w:p>
    <w:p w14:paraId="5376C8E3" w14:textId="77777777" w:rsidR="007D7FD3" w:rsidRPr="00446DE1" w:rsidRDefault="00C9075B" w:rsidP="00A83F5F">
      <w:pPr>
        <w:rPr>
          <w:i/>
        </w:rPr>
      </w:pPr>
      <w:r w:rsidRPr="00446DE1">
        <w:rPr>
          <w:i/>
        </w:rPr>
        <w:t>(…)</w:t>
      </w:r>
    </w:p>
    <w:p w14:paraId="0F05955F" w14:textId="77777777" w:rsidR="007D7FD3" w:rsidRPr="00446DE1" w:rsidRDefault="007D7FD3" w:rsidP="00A83F5F">
      <w:pPr>
        <w:pStyle w:val="Textoindependiente"/>
        <w:spacing w:before="11"/>
        <w:rPr>
          <w:i/>
          <w:sz w:val="21"/>
        </w:rPr>
      </w:pPr>
    </w:p>
    <w:p w14:paraId="64400D04" w14:textId="77777777" w:rsidR="007D7FD3" w:rsidRPr="00446DE1" w:rsidRDefault="00C9075B" w:rsidP="00A83F5F">
      <w:pPr>
        <w:jc w:val="both"/>
        <w:rPr>
          <w:i/>
        </w:rPr>
      </w:pPr>
      <w:r w:rsidRPr="00446DE1">
        <w:rPr>
          <w:i/>
        </w:rPr>
        <w:t>o.</w:t>
      </w:r>
      <w:r w:rsidRPr="00446DE1">
        <w:rPr>
          <w:i/>
          <w:spacing w:val="-15"/>
        </w:rPr>
        <w:t xml:space="preserve"> </w:t>
      </w:r>
      <w:r w:rsidRPr="00446DE1">
        <w:rPr>
          <w:i/>
        </w:rPr>
        <w:t>Establecer</w:t>
      </w:r>
      <w:r w:rsidRPr="00446DE1">
        <w:rPr>
          <w:i/>
          <w:spacing w:val="-12"/>
        </w:rPr>
        <w:t xml:space="preserve"> </w:t>
      </w:r>
      <w:r w:rsidRPr="00446DE1">
        <w:rPr>
          <w:i/>
        </w:rPr>
        <w:t>anualmente</w:t>
      </w:r>
      <w:r w:rsidRPr="00446DE1">
        <w:rPr>
          <w:i/>
          <w:spacing w:val="-11"/>
        </w:rPr>
        <w:t xml:space="preserve"> </w:t>
      </w:r>
      <w:r w:rsidRPr="00446DE1">
        <w:rPr>
          <w:i/>
        </w:rPr>
        <w:t>las</w:t>
      </w:r>
      <w:r w:rsidRPr="00446DE1">
        <w:rPr>
          <w:i/>
          <w:spacing w:val="-14"/>
        </w:rPr>
        <w:t xml:space="preserve"> </w:t>
      </w:r>
      <w:r w:rsidRPr="00446DE1">
        <w:rPr>
          <w:i/>
        </w:rPr>
        <w:t>condiciones</w:t>
      </w:r>
      <w:r w:rsidRPr="00446DE1">
        <w:rPr>
          <w:i/>
          <w:spacing w:val="-14"/>
        </w:rPr>
        <w:t xml:space="preserve"> </w:t>
      </w:r>
      <w:r w:rsidRPr="00446DE1">
        <w:rPr>
          <w:i/>
        </w:rPr>
        <w:t>generales</w:t>
      </w:r>
      <w:r w:rsidRPr="00446DE1">
        <w:rPr>
          <w:i/>
          <w:spacing w:val="-18"/>
        </w:rPr>
        <w:t xml:space="preserve"> </w:t>
      </w:r>
      <w:r w:rsidRPr="00446DE1">
        <w:rPr>
          <w:i/>
        </w:rPr>
        <w:t>de</w:t>
      </w:r>
      <w:r w:rsidRPr="00446DE1">
        <w:rPr>
          <w:i/>
          <w:spacing w:val="-11"/>
        </w:rPr>
        <w:t xml:space="preserve"> </w:t>
      </w:r>
      <w:r w:rsidRPr="00446DE1">
        <w:rPr>
          <w:i/>
        </w:rPr>
        <w:t>las</w:t>
      </w:r>
      <w:r w:rsidRPr="00446DE1">
        <w:rPr>
          <w:i/>
          <w:spacing w:val="-19"/>
        </w:rPr>
        <w:t xml:space="preserve"> </w:t>
      </w:r>
      <w:r w:rsidRPr="00446DE1">
        <w:rPr>
          <w:i/>
        </w:rPr>
        <w:t>garantías</w:t>
      </w:r>
      <w:r w:rsidRPr="00446DE1">
        <w:rPr>
          <w:i/>
          <w:spacing w:val="-14"/>
        </w:rPr>
        <w:t xml:space="preserve"> </w:t>
      </w:r>
      <w:r w:rsidRPr="00446DE1">
        <w:rPr>
          <w:i/>
        </w:rPr>
        <w:t>otorgadas</w:t>
      </w:r>
      <w:r w:rsidRPr="00446DE1">
        <w:rPr>
          <w:i/>
          <w:spacing w:val="-13"/>
        </w:rPr>
        <w:t xml:space="preserve"> </w:t>
      </w:r>
      <w:r w:rsidRPr="00446DE1">
        <w:rPr>
          <w:i/>
        </w:rPr>
        <w:t>a</w:t>
      </w:r>
      <w:r w:rsidRPr="00446DE1">
        <w:rPr>
          <w:i/>
          <w:spacing w:val="-11"/>
        </w:rPr>
        <w:t xml:space="preserve"> </w:t>
      </w:r>
      <w:r w:rsidRPr="00446DE1">
        <w:rPr>
          <w:i/>
        </w:rPr>
        <w:t>través</w:t>
      </w:r>
      <w:r w:rsidRPr="00446DE1">
        <w:rPr>
          <w:i/>
          <w:spacing w:val="-14"/>
        </w:rPr>
        <w:t xml:space="preserve"> </w:t>
      </w:r>
      <w:r w:rsidRPr="00446DE1">
        <w:rPr>
          <w:i/>
        </w:rPr>
        <w:t>del Fondo Agropecuario de Garantías, el monto máximo de las obligaciones a respaldar y cuando haya lugar, las condiciones en las cuales se aplica el subsidio otorgado por el Estado a las comisiones de las garantías. En todo caso, deberá asegurar la operatividad y sostenibilidad financiera del</w:t>
      </w:r>
      <w:r w:rsidRPr="00446DE1">
        <w:rPr>
          <w:i/>
          <w:spacing w:val="-5"/>
        </w:rPr>
        <w:t xml:space="preserve"> </w:t>
      </w:r>
      <w:r w:rsidRPr="00446DE1">
        <w:rPr>
          <w:i/>
        </w:rPr>
        <w:t>Fondo.</w:t>
      </w:r>
    </w:p>
    <w:p w14:paraId="08403271" w14:textId="77777777" w:rsidR="007D7FD3" w:rsidRPr="00446DE1" w:rsidRDefault="007D7FD3" w:rsidP="00A83F5F">
      <w:pPr>
        <w:pStyle w:val="Textoindependiente"/>
        <w:spacing w:before="2"/>
        <w:rPr>
          <w:i/>
        </w:rPr>
      </w:pPr>
    </w:p>
    <w:p w14:paraId="21DBC051" w14:textId="77777777" w:rsidR="007D7FD3" w:rsidRPr="00446DE1" w:rsidRDefault="00C9075B" w:rsidP="00A83F5F">
      <w:pPr>
        <w:spacing w:before="1"/>
        <w:rPr>
          <w:i/>
        </w:rPr>
      </w:pPr>
      <w:r w:rsidRPr="00446DE1">
        <w:rPr>
          <w:i/>
        </w:rPr>
        <w:t>(…)”</w:t>
      </w:r>
    </w:p>
    <w:p w14:paraId="066D9DCC" w14:textId="77777777" w:rsidR="007D7FD3" w:rsidRPr="00446DE1" w:rsidRDefault="007D7FD3" w:rsidP="00A83F5F">
      <w:pPr>
        <w:pStyle w:val="Textoindependiente"/>
        <w:spacing w:before="10"/>
        <w:rPr>
          <w:i/>
          <w:sz w:val="21"/>
        </w:rPr>
      </w:pPr>
    </w:p>
    <w:p w14:paraId="106C2CA1" w14:textId="3FE8467E" w:rsidR="0076064A" w:rsidRPr="00D119F8" w:rsidRDefault="0076064A" w:rsidP="00A83F5F">
      <w:pPr>
        <w:pStyle w:val="Sinespaciado"/>
        <w:jc w:val="both"/>
        <w:rPr>
          <w:rFonts w:ascii="Arial" w:hAnsi="Arial" w:cs="Arial"/>
          <w:snapToGrid w:val="0"/>
        </w:rPr>
      </w:pPr>
      <w:r w:rsidRPr="00D119F8">
        <w:rPr>
          <w:rFonts w:ascii="Arial" w:hAnsi="Arial" w:cs="Arial"/>
          <w:b/>
          <w:bCs/>
          <w:snapToGrid w:val="0"/>
        </w:rPr>
        <w:t>Segundo.</w:t>
      </w:r>
      <w:r w:rsidRPr="00D119F8">
        <w:rPr>
          <w:rFonts w:ascii="Arial" w:hAnsi="Arial" w:cs="Arial"/>
          <w:b/>
          <w:snapToGrid w:val="0"/>
        </w:rPr>
        <w:t> </w:t>
      </w:r>
      <w:r w:rsidRPr="00D119F8">
        <w:rPr>
          <w:rFonts w:ascii="Arial" w:hAnsi="Arial" w:cs="Arial"/>
          <w:snapToGrid w:val="0"/>
        </w:rPr>
        <w:t>Que el numeral 2</w:t>
      </w:r>
      <w:r>
        <w:rPr>
          <w:rFonts w:ascii="Arial" w:hAnsi="Arial" w:cs="Arial"/>
          <w:snapToGrid w:val="0"/>
        </w:rPr>
        <w:t>o.</w:t>
      </w:r>
      <w:r w:rsidRPr="00D119F8">
        <w:rPr>
          <w:rFonts w:ascii="Arial" w:hAnsi="Arial" w:cs="Arial"/>
          <w:snapToGrid w:val="0"/>
        </w:rPr>
        <w:t xml:space="preserve"> del artículo 231 del Estatuto Orgánico del Sistema Financiero, modificado por el artículo 6</w:t>
      </w:r>
      <w:r>
        <w:rPr>
          <w:rFonts w:ascii="Arial" w:hAnsi="Arial" w:cs="Arial"/>
          <w:snapToGrid w:val="0"/>
        </w:rPr>
        <w:t>o.</w:t>
      </w:r>
      <w:r w:rsidRPr="00D119F8">
        <w:rPr>
          <w:rFonts w:ascii="Arial" w:hAnsi="Arial" w:cs="Arial"/>
          <w:snapToGrid w:val="0"/>
        </w:rPr>
        <w:t xml:space="preserve"> de la Ley 1731 de 2014, establece: </w:t>
      </w:r>
      <w:r w:rsidRPr="00D119F8">
        <w:rPr>
          <w:rFonts w:ascii="Arial" w:hAnsi="Arial" w:cs="Arial"/>
          <w:i/>
          <w:iCs/>
          <w:snapToGrid w:val="0"/>
        </w:rPr>
        <w:t xml:space="preserve">“El Fondo Agropecuario de Garantías (FAG) creado por la Ley 21 de 1985, tendrá por objeto servir como fondo especializado para garantizar los créditos y operaciones financieras destinados a financiar proyectos del sector agropecuario, pesquero, de la acuicultura, forestal, y rural </w:t>
      </w:r>
      <w:r w:rsidRPr="00D119F8">
        <w:rPr>
          <w:rFonts w:ascii="Arial" w:hAnsi="Arial" w:cs="Arial"/>
          <w:i/>
          <w:iCs/>
          <w:snapToGrid w:val="0"/>
        </w:rPr>
        <w:lastRenderedPageBreak/>
        <w:t xml:space="preserve">en general. En el caso de operaciones financieras de carácter no crediticio, solo se podrá otorgar garantías a operaciones celebradas en bolsas de bienes y productos agropecuarios, agroindustriales o de otros </w:t>
      </w:r>
      <w:proofErr w:type="spellStart"/>
      <w:r w:rsidRPr="00D119F8">
        <w:rPr>
          <w:rFonts w:ascii="Arial" w:hAnsi="Arial" w:cs="Arial"/>
          <w:i/>
          <w:iCs/>
          <w:snapToGrid w:val="0"/>
        </w:rPr>
        <w:t>commodities</w:t>
      </w:r>
      <w:proofErr w:type="spellEnd"/>
      <w:r w:rsidRPr="00D119F8">
        <w:rPr>
          <w:rFonts w:ascii="Arial" w:hAnsi="Arial" w:cs="Arial"/>
          <w:i/>
          <w:iCs/>
          <w:snapToGrid w:val="0"/>
        </w:rPr>
        <w:t>, vigiladas por la Superintendencia Financiera de Colombia.</w:t>
      </w:r>
      <w:r w:rsidR="001849BD">
        <w:rPr>
          <w:rFonts w:ascii="Arial" w:hAnsi="Arial" w:cs="Arial"/>
          <w:i/>
          <w:iCs/>
          <w:snapToGrid w:val="0"/>
        </w:rPr>
        <w:t>”</w:t>
      </w:r>
    </w:p>
    <w:p w14:paraId="6ABA25B7" w14:textId="77777777" w:rsidR="0076064A" w:rsidRDefault="0076064A" w:rsidP="00A83F5F">
      <w:pPr>
        <w:jc w:val="both"/>
        <w:rPr>
          <w:b/>
        </w:rPr>
      </w:pPr>
    </w:p>
    <w:p w14:paraId="780778C3" w14:textId="7D728253" w:rsidR="007D7FD3" w:rsidRPr="00446DE1" w:rsidRDefault="00244E17" w:rsidP="00A83F5F">
      <w:pPr>
        <w:jc w:val="both"/>
        <w:rPr>
          <w:i/>
        </w:rPr>
      </w:pPr>
      <w:r>
        <w:rPr>
          <w:b/>
        </w:rPr>
        <w:t>Tercero</w:t>
      </w:r>
      <w:r w:rsidR="00C9075B" w:rsidRPr="00446DE1">
        <w:rPr>
          <w:b/>
        </w:rPr>
        <w:t xml:space="preserve">. </w:t>
      </w:r>
      <w:r w:rsidR="00C9075B" w:rsidRPr="00446DE1">
        <w:t xml:space="preserve">Que de acuerdo con lo dispuesto en el parágrafo 1o. del numeral 2 del artículo 231 del Estatuto Orgánico del Sistema Financiero, en </w:t>
      </w:r>
      <w:r w:rsidR="00C9075B" w:rsidRPr="00446DE1">
        <w:rPr>
          <w:spacing w:val="-3"/>
        </w:rPr>
        <w:t xml:space="preserve">su </w:t>
      </w:r>
      <w:r w:rsidR="00C9075B" w:rsidRPr="00446DE1">
        <w:t xml:space="preserve">actual redacción, la </w:t>
      </w:r>
      <w:r w:rsidR="007A6261">
        <w:t>CNCA</w:t>
      </w:r>
      <w:r w:rsidR="00C9075B" w:rsidRPr="00446DE1">
        <w:rPr>
          <w:spacing w:val="-13"/>
        </w:rPr>
        <w:t xml:space="preserve"> </w:t>
      </w:r>
      <w:r w:rsidR="00C9075B" w:rsidRPr="00446DE1">
        <w:rPr>
          <w:i/>
        </w:rPr>
        <w:t>“determinará</w:t>
      </w:r>
      <w:r w:rsidR="00C9075B" w:rsidRPr="00446DE1">
        <w:rPr>
          <w:i/>
          <w:spacing w:val="-14"/>
        </w:rPr>
        <w:t xml:space="preserve"> </w:t>
      </w:r>
      <w:r w:rsidR="00C9075B" w:rsidRPr="00446DE1">
        <w:rPr>
          <w:i/>
        </w:rPr>
        <w:t>las</w:t>
      </w:r>
      <w:r w:rsidR="00C9075B" w:rsidRPr="00446DE1">
        <w:rPr>
          <w:i/>
          <w:spacing w:val="-17"/>
        </w:rPr>
        <w:t xml:space="preserve"> </w:t>
      </w:r>
      <w:r w:rsidR="00C9075B" w:rsidRPr="00446DE1">
        <w:rPr>
          <w:i/>
        </w:rPr>
        <w:t>condiciones</w:t>
      </w:r>
      <w:r w:rsidR="00C9075B" w:rsidRPr="00446DE1">
        <w:rPr>
          <w:i/>
          <w:spacing w:val="-16"/>
        </w:rPr>
        <w:t xml:space="preserve"> </w:t>
      </w:r>
      <w:r w:rsidR="00C9075B" w:rsidRPr="00446DE1">
        <w:rPr>
          <w:i/>
        </w:rPr>
        <w:t>económicas</w:t>
      </w:r>
      <w:r w:rsidR="00C9075B" w:rsidRPr="00446DE1">
        <w:rPr>
          <w:i/>
          <w:spacing w:val="-17"/>
        </w:rPr>
        <w:t xml:space="preserve"> </w:t>
      </w:r>
      <w:r w:rsidR="00C9075B" w:rsidRPr="00446DE1">
        <w:rPr>
          <w:i/>
        </w:rPr>
        <w:t>de</w:t>
      </w:r>
      <w:r w:rsidR="00C9075B" w:rsidRPr="00446DE1">
        <w:rPr>
          <w:i/>
          <w:spacing w:val="-14"/>
        </w:rPr>
        <w:t xml:space="preserve"> </w:t>
      </w:r>
      <w:r w:rsidR="00C9075B" w:rsidRPr="00446DE1">
        <w:rPr>
          <w:i/>
        </w:rPr>
        <w:t>los</w:t>
      </w:r>
      <w:r w:rsidR="00C9075B" w:rsidRPr="00446DE1">
        <w:rPr>
          <w:i/>
          <w:spacing w:val="-17"/>
        </w:rPr>
        <w:t xml:space="preserve"> </w:t>
      </w:r>
      <w:r w:rsidR="00C9075B" w:rsidRPr="00446DE1">
        <w:rPr>
          <w:i/>
        </w:rPr>
        <w:t>usuarios garantizados,</w:t>
      </w:r>
      <w:r w:rsidR="00C9075B" w:rsidRPr="00446DE1">
        <w:rPr>
          <w:i/>
          <w:spacing w:val="-6"/>
        </w:rPr>
        <w:t xml:space="preserve"> </w:t>
      </w:r>
      <w:r w:rsidR="00C9075B" w:rsidRPr="00446DE1">
        <w:rPr>
          <w:i/>
        </w:rPr>
        <w:t>la</w:t>
      </w:r>
      <w:r w:rsidR="00C9075B" w:rsidRPr="00446DE1">
        <w:rPr>
          <w:i/>
          <w:spacing w:val="-2"/>
        </w:rPr>
        <w:t xml:space="preserve"> </w:t>
      </w:r>
      <w:r w:rsidR="00C9075B" w:rsidRPr="00446DE1">
        <w:rPr>
          <w:i/>
        </w:rPr>
        <w:t>cuantía</w:t>
      </w:r>
      <w:r w:rsidR="00C9075B" w:rsidRPr="00446DE1">
        <w:rPr>
          <w:i/>
          <w:spacing w:val="-6"/>
        </w:rPr>
        <w:t xml:space="preserve"> </w:t>
      </w:r>
      <w:r w:rsidR="00C9075B" w:rsidRPr="00446DE1">
        <w:rPr>
          <w:i/>
        </w:rPr>
        <w:t>individual</w:t>
      </w:r>
      <w:r w:rsidR="00C9075B" w:rsidRPr="00446DE1">
        <w:rPr>
          <w:i/>
          <w:spacing w:val="-8"/>
        </w:rPr>
        <w:t xml:space="preserve"> </w:t>
      </w:r>
      <w:r w:rsidR="00C9075B" w:rsidRPr="00446DE1">
        <w:rPr>
          <w:i/>
        </w:rPr>
        <w:t>de</w:t>
      </w:r>
      <w:r w:rsidR="00C9075B" w:rsidRPr="00446DE1">
        <w:rPr>
          <w:i/>
          <w:spacing w:val="-2"/>
        </w:rPr>
        <w:t xml:space="preserve"> </w:t>
      </w:r>
      <w:r w:rsidR="00C9075B" w:rsidRPr="00446DE1">
        <w:rPr>
          <w:i/>
        </w:rPr>
        <w:t>los</w:t>
      </w:r>
      <w:r w:rsidR="00C9075B" w:rsidRPr="00446DE1">
        <w:rPr>
          <w:i/>
          <w:spacing w:val="-4"/>
        </w:rPr>
        <w:t xml:space="preserve"> </w:t>
      </w:r>
      <w:r w:rsidR="00C9075B" w:rsidRPr="00446DE1">
        <w:rPr>
          <w:i/>
        </w:rPr>
        <w:t>créditos</w:t>
      </w:r>
      <w:r w:rsidR="00C9075B" w:rsidRPr="00446DE1">
        <w:rPr>
          <w:i/>
          <w:spacing w:val="-10"/>
        </w:rPr>
        <w:t xml:space="preserve"> </w:t>
      </w:r>
      <w:r w:rsidR="00C9075B" w:rsidRPr="00446DE1">
        <w:rPr>
          <w:i/>
        </w:rPr>
        <w:t>u</w:t>
      </w:r>
      <w:r w:rsidR="00C9075B" w:rsidRPr="00446DE1">
        <w:rPr>
          <w:i/>
          <w:spacing w:val="-6"/>
        </w:rPr>
        <w:t xml:space="preserve"> </w:t>
      </w:r>
      <w:r w:rsidR="00C9075B" w:rsidRPr="00446DE1">
        <w:rPr>
          <w:i/>
        </w:rPr>
        <w:t>operaciones</w:t>
      </w:r>
      <w:r w:rsidR="00C9075B" w:rsidRPr="00446DE1">
        <w:rPr>
          <w:i/>
          <w:spacing w:val="-5"/>
        </w:rPr>
        <w:t xml:space="preserve"> </w:t>
      </w:r>
      <w:r w:rsidR="00C9075B" w:rsidRPr="00446DE1">
        <w:rPr>
          <w:i/>
        </w:rPr>
        <w:t>susceptibles</w:t>
      </w:r>
      <w:r w:rsidR="00C9075B" w:rsidRPr="00446DE1">
        <w:rPr>
          <w:i/>
          <w:spacing w:val="-9"/>
        </w:rPr>
        <w:t xml:space="preserve"> </w:t>
      </w:r>
      <w:r w:rsidR="00C9075B" w:rsidRPr="00446DE1">
        <w:rPr>
          <w:i/>
        </w:rPr>
        <w:t>de</w:t>
      </w:r>
      <w:r w:rsidR="00C9075B" w:rsidRPr="00446DE1">
        <w:rPr>
          <w:i/>
          <w:spacing w:val="-6"/>
        </w:rPr>
        <w:t xml:space="preserve"> </w:t>
      </w:r>
      <w:r w:rsidR="00C9075B" w:rsidRPr="00446DE1">
        <w:rPr>
          <w:i/>
        </w:rPr>
        <w:t>garantías, la cobertura y las comisiones de las garantías y la reglamentación operativa del Fondo. Para el efecto, se priorizará a los pequeños productores, sin perjuicio del otorgamiento de garantías a los medianos y grandes, de acuerdo con los lineamientos de la</w:t>
      </w:r>
      <w:r w:rsidR="00C9075B" w:rsidRPr="00446DE1">
        <w:rPr>
          <w:i/>
          <w:spacing w:val="-2"/>
        </w:rPr>
        <w:t xml:space="preserve"> </w:t>
      </w:r>
      <w:r w:rsidR="00C9075B" w:rsidRPr="00446DE1">
        <w:rPr>
          <w:i/>
        </w:rPr>
        <w:t>política</w:t>
      </w:r>
      <w:r w:rsidR="00457A74" w:rsidRPr="00446DE1">
        <w:rPr>
          <w:i/>
        </w:rPr>
        <w:t xml:space="preserve"> </w:t>
      </w:r>
      <w:r w:rsidR="00C9075B" w:rsidRPr="00446DE1">
        <w:rPr>
          <w:i/>
        </w:rPr>
        <w:t>agropecuaria y rural.”</w:t>
      </w:r>
    </w:p>
    <w:p w14:paraId="51B0D83C" w14:textId="77777777" w:rsidR="007D7FD3" w:rsidRPr="00446DE1" w:rsidRDefault="007D7FD3" w:rsidP="00A83F5F">
      <w:pPr>
        <w:pStyle w:val="Textoindependiente"/>
        <w:spacing w:before="10"/>
        <w:rPr>
          <w:i/>
          <w:sz w:val="21"/>
        </w:rPr>
      </w:pPr>
    </w:p>
    <w:p w14:paraId="2C95744B" w14:textId="5AF66295" w:rsidR="007128C5" w:rsidRPr="003C79B3" w:rsidRDefault="007002E6" w:rsidP="00A83F5F">
      <w:pPr>
        <w:jc w:val="both"/>
        <w:rPr>
          <w:color w:val="000000" w:themeColor="text1"/>
        </w:rPr>
      </w:pPr>
      <w:r>
        <w:rPr>
          <w:b/>
          <w:bCs/>
          <w:snapToGrid w:val="0"/>
        </w:rPr>
        <w:t>Cuarto</w:t>
      </w:r>
      <w:r w:rsidR="00E3162A" w:rsidRPr="1956BF6F">
        <w:rPr>
          <w:b/>
          <w:bCs/>
          <w:color w:val="000000" w:themeColor="text1"/>
        </w:rPr>
        <w:t xml:space="preserve">. </w:t>
      </w:r>
      <w:r w:rsidR="003416CF" w:rsidRPr="1956BF6F">
        <w:rPr>
          <w:color w:val="000000" w:themeColor="text1"/>
        </w:rPr>
        <w:t xml:space="preserve">Que </w:t>
      </w:r>
      <w:bookmarkStart w:id="1" w:name="_Hlk42840943"/>
      <w:r w:rsidR="003416CF" w:rsidRPr="1956BF6F">
        <w:rPr>
          <w:color w:val="000000" w:themeColor="text1"/>
        </w:rPr>
        <w:t>mediante Resolución 385 del 12 de marzo de 2020, el Minist</w:t>
      </w:r>
      <w:r w:rsidR="003416CF">
        <w:rPr>
          <w:color w:val="000000" w:themeColor="text1"/>
        </w:rPr>
        <w:t>eri</w:t>
      </w:r>
      <w:r w:rsidR="003416CF" w:rsidRPr="1956BF6F">
        <w:rPr>
          <w:color w:val="000000" w:themeColor="text1"/>
        </w:rPr>
        <w:t xml:space="preserve">o de Salud y Protección Social, de acuerdo con lo establecido en el artículo 69 de la Ley 1753 de 2015, declaró el estado de emergencia sanitaria por causa del nuevo coronavirus </w:t>
      </w:r>
      <w:r w:rsidR="003416CF">
        <w:rPr>
          <w:color w:val="000000" w:themeColor="text1"/>
        </w:rPr>
        <w:t>Covid</w:t>
      </w:r>
      <w:r w:rsidR="003416CF" w:rsidRPr="1956BF6F">
        <w:rPr>
          <w:color w:val="000000" w:themeColor="text1"/>
        </w:rPr>
        <w:t xml:space="preserve">-19 en todo el </w:t>
      </w:r>
      <w:r w:rsidR="003416CF" w:rsidRPr="00664CB9">
        <w:rPr>
          <w:color w:val="000000" w:themeColor="text1"/>
        </w:rPr>
        <w:t xml:space="preserve">territorio nacional hasta el 30 de mayo de 2020 y que por medio de la Resolución 844 de 2020 del mismo </w:t>
      </w:r>
      <w:r w:rsidR="003416CF">
        <w:rPr>
          <w:color w:val="000000" w:themeColor="text1"/>
        </w:rPr>
        <w:t>M</w:t>
      </w:r>
      <w:r w:rsidR="003416CF" w:rsidRPr="00664CB9">
        <w:rPr>
          <w:color w:val="000000" w:themeColor="text1"/>
        </w:rPr>
        <w:t>inisterio se extendió la vigencia de</w:t>
      </w:r>
      <w:r w:rsidR="003416CF">
        <w:rPr>
          <w:color w:val="000000" w:themeColor="text1"/>
        </w:rPr>
        <w:t xml:space="preserve"> la</w:t>
      </w:r>
      <w:r w:rsidR="003416CF" w:rsidRPr="00664CB9">
        <w:rPr>
          <w:color w:val="000000" w:themeColor="text1"/>
        </w:rPr>
        <w:t xml:space="preserve"> emergencia</w:t>
      </w:r>
      <w:r w:rsidR="003416CF">
        <w:rPr>
          <w:color w:val="000000" w:themeColor="text1"/>
        </w:rPr>
        <w:t xml:space="preserve"> sanitaria</w:t>
      </w:r>
      <w:r w:rsidR="003416CF" w:rsidRPr="00664CB9">
        <w:rPr>
          <w:color w:val="000000" w:themeColor="text1"/>
        </w:rPr>
        <w:t xml:space="preserve"> hasta el 31 de agosto de </w:t>
      </w:r>
      <w:r w:rsidR="003416CF" w:rsidRPr="1956BF6F">
        <w:rPr>
          <w:color w:val="000000" w:themeColor="text1"/>
        </w:rPr>
        <w:t xml:space="preserve">2020. En virtud de estas resoluciones se adoptaron medidas </w:t>
      </w:r>
      <w:r w:rsidR="003416CF">
        <w:rPr>
          <w:color w:val="000000" w:themeColor="text1"/>
        </w:rPr>
        <w:t>para hacer frente al virus coronavirus</w:t>
      </w:r>
      <w:r w:rsidR="003416CF" w:rsidRPr="1956BF6F">
        <w:rPr>
          <w:color w:val="000000" w:themeColor="text1"/>
        </w:rPr>
        <w:t xml:space="preserve"> </w:t>
      </w:r>
      <w:r w:rsidR="003416CF">
        <w:rPr>
          <w:color w:val="000000" w:themeColor="text1"/>
        </w:rPr>
        <w:t>Covid</w:t>
      </w:r>
      <w:r w:rsidR="003416CF" w:rsidRPr="1956BF6F">
        <w:rPr>
          <w:color w:val="000000" w:themeColor="text1"/>
        </w:rPr>
        <w:t>-19.</w:t>
      </w:r>
      <w:bookmarkEnd w:id="1"/>
    </w:p>
    <w:p w14:paraId="1256097E" w14:textId="09B6F2D4" w:rsidR="00CA6A4C" w:rsidRDefault="00CA6A4C" w:rsidP="00A83F5F">
      <w:pPr>
        <w:pStyle w:val="Sinespaciado"/>
        <w:jc w:val="both"/>
        <w:rPr>
          <w:rFonts w:ascii="Arial" w:hAnsi="Arial" w:cs="Arial"/>
          <w:snapToGrid w:val="0"/>
        </w:rPr>
      </w:pPr>
    </w:p>
    <w:p w14:paraId="29425CB8" w14:textId="1C9786E9" w:rsidR="00C71A21" w:rsidRPr="00ED59F4" w:rsidRDefault="00B16585" w:rsidP="00A83F5F">
      <w:pPr>
        <w:pStyle w:val="Sinespaciado"/>
        <w:jc w:val="both"/>
        <w:rPr>
          <w:rFonts w:ascii="Arial" w:hAnsi="Arial" w:cs="Arial"/>
          <w:snapToGrid w:val="0"/>
        </w:rPr>
      </w:pPr>
      <w:r>
        <w:rPr>
          <w:rFonts w:ascii="Arial" w:hAnsi="Arial" w:cs="Arial"/>
          <w:b/>
          <w:bCs/>
          <w:snapToGrid w:val="0"/>
        </w:rPr>
        <w:t>Quinto</w:t>
      </w:r>
      <w:r w:rsidR="00C5637A" w:rsidRPr="00817D6E">
        <w:rPr>
          <w:rFonts w:ascii="Arial" w:hAnsi="Arial" w:cs="Arial"/>
          <w:snapToGrid w:val="0"/>
        </w:rPr>
        <w:t xml:space="preserve">. </w:t>
      </w:r>
      <w:r w:rsidR="00817D6E">
        <w:rPr>
          <w:rFonts w:ascii="Arial" w:hAnsi="Arial" w:cs="Arial"/>
          <w:snapToGrid w:val="0"/>
        </w:rPr>
        <w:t>Que</w:t>
      </w:r>
      <w:r w:rsidR="00AD46BC" w:rsidRPr="0086061A">
        <w:rPr>
          <w:rFonts w:ascii="Arial" w:hAnsi="Arial" w:cs="Arial"/>
          <w:snapToGrid w:val="0"/>
        </w:rPr>
        <w:t xml:space="preserve">, </w:t>
      </w:r>
      <w:r w:rsidR="00817D6E" w:rsidRPr="0086061A">
        <w:rPr>
          <w:rFonts w:ascii="Arial" w:hAnsi="Arial" w:cs="Arial"/>
          <w:lang w:eastAsia="es-CO"/>
        </w:rPr>
        <w:t>con el fin de mitigar los efectos causados por la emergencia sanitaria asociada por el coronavirus C</w:t>
      </w:r>
      <w:r w:rsidR="009F6F31">
        <w:rPr>
          <w:rFonts w:ascii="Arial" w:hAnsi="Arial" w:cs="Arial"/>
          <w:lang w:eastAsia="es-CO"/>
        </w:rPr>
        <w:t>ovid</w:t>
      </w:r>
      <w:r w:rsidR="00817D6E" w:rsidRPr="0086061A">
        <w:rPr>
          <w:rFonts w:ascii="Arial" w:hAnsi="Arial" w:cs="Arial"/>
          <w:lang w:eastAsia="es-CO"/>
        </w:rPr>
        <w:t>-19</w:t>
      </w:r>
      <w:r w:rsidR="0086061A" w:rsidRPr="0086061A">
        <w:rPr>
          <w:rFonts w:ascii="Arial" w:hAnsi="Arial" w:cs="Arial"/>
          <w:lang w:eastAsia="es-CO"/>
        </w:rPr>
        <w:t>,</w:t>
      </w:r>
      <w:r w:rsidR="00AD46BC" w:rsidRPr="0086061A">
        <w:rPr>
          <w:rFonts w:ascii="Arial" w:hAnsi="Arial" w:cs="Arial"/>
          <w:snapToGrid w:val="0"/>
        </w:rPr>
        <w:t xml:space="preserve"> </w:t>
      </w:r>
      <w:r w:rsidR="00C5637A" w:rsidRPr="0086061A">
        <w:rPr>
          <w:rFonts w:ascii="Arial" w:hAnsi="Arial" w:cs="Arial"/>
          <w:snapToGrid w:val="0"/>
        </w:rPr>
        <w:t>se hace necesario tomar medidas para fomentar el acceso a créditos de los productores</w:t>
      </w:r>
      <w:r w:rsidR="00C71A21" w:rsidRPr="0086061A">
        <w:rPr>
          <w:rFonts w:ascii="Arial" w:hAnsi="Arial" w:cs="Arial"/>
          <w:snapToGrid w:val="0"/>
        </w:rPr>
        <w:t xml:space="preserve"> agropecuarios</w:t>
      </w:r>
      <w:r w:rsidR="00C5637A" w:rsidRPr="00ED59F4">
        <w:rPr>
          <w:rFonts w:ascii="Arial" w:hAnsi="Arial" w:cs="Arial"/>
          <w:snapToGrid w:val="0"/>
        </w:rPr>
        <w:t xml:space="preserve">, con el fin de </w:t>
      </w:r>
      <w:r w:rsidR="00CA6A4C">
        <w:rPr>
          <w:rFonts w:ascii="Arial" w:hAnsi="Arial" w:cs="Arial"/>
          <w:snapToGrid w:val="0"/>
        </w:rPr>
        <w:t>atender</w:t>
      </w:r>
      <w:r w:rsidR="00C5637A" w:rsidRPr="00ED59F4">
        <w:rPr>
          <w:rFonts w:ascii="Arial" w:hAnsi="Arial" w:cs="Arial"/>
          <w:snapToGrid w:val="0"/>
        </w:rPr>
        <w:t xml:space="preserve"> sus necesidades de liquidez y mantener su capacidad productiva.</w:t>
      </w:r>
      <w:r w:rsidR="00C71A21">
        <w:rPr>
          <w:rFonts w:ascii="Arial" w:hAnsi="Arial" w:cs="Arial"/>
          <w:snapToGrid w:val="0"/>
        </w:rPr>
        <w:t xml:space="preserve"> Que, en este sentido, resulta fundamental que los intermediarios financieros no </w:t>
      </w:r>
      <w:r w:rsidR="00D47F6D">
        <w:rPr>
          <w:rFonts w:ascii="Arial" w:hAnsi="Arial" w:cs="Arial"/>
          <w:snapToGrid w:val="0"/>
        </w:rPr>
        <w:t>restrinjan</w:t>
      </w:r>
      <w:r w:rsidR="00C71A21">
        <w:rPr>
          <w:rFonts w:ascii="Arial" w:hAnsi="Arial" w:cs="Arial"/>
          <w:snapToGrid w:val="0"/>
        </w:rPr>
        <w:t xml:space="preserve"> sus colocaciones en el sector agropecuario por la carencia de garantías y/o consideraciones de riesgo. </w:t>
      </w:r>
    </w:p>
    <w:p w14:paraId="0F8AAF5E" w14:textId="77777777" w:rsidR="00C5637A" w:rsidRPr="00ED59F4" w:rsidRDefault="00C5637A" w:rsidP="00A83F5F">
      <w:pPr>
        <w:pStyle w:val="Sinespaciado"/>
        <w:jc w:val="both"/>
        <w:rPr>
          <w:rFonts w:ascii="Arial" w:hAnsi="Arial" w:cs="Arial"/>
          <w:snapToGrid w:val="0"/>
        </w:rPr>
      </w:pPr>
    </w:p>
    <w:p w14:paraId="5866AE57" w14:textId="243B007C" w:rsidR="00FE725D" w:rsidRPr="00FE725D" w:rsidRDefault="00064684" w:rsidP="00A83F5F">
      <w:pPr>
        <w:pStyle w:val="Sinespaciado"/>
        <w:jc w:val="both"/>
        <w:rPr>
          <w:rFonts w:ascii="Arial" w:hAnsi="Arial" w:cs="Arial"/>
          <w:snapToGrid w:val="0"/>
        </w:rPr>
      </w:pPr>
      <w:r>
        <w:rPr>
          <w:rFonts w:ascii="Arial" w:hAnsi="Arial" w:cs="Arial"/>
          <w:b/>
          <w:bCs/>
          <w:snapToGrid w:val="0"/>
        </w:rPr>
        <w:t>Sexto</w:t>
      </w:r>
      <w:r w:rsidR="00C5637A" w:rsidRPr="00ED59F4">
        <w:rPr>
          <w:rFonts w:ascii="Arial" w:hAnsi="Arial" w:cs="Arial"/>
          <w:b/>
          <w:bCs/>
          <w:snapToGrid w:val="0"/>
        </w:rPr>
        <w:t>.</w:t>
      </w:r>
      <w:r w:rsidR="00A9563C">
        <w:rPr>
          <w:rFonts w:ascii="Arial" w:hAnsi="Arial" w:cs="Arial"/>
          <w:snapToGrid w:val="0"/>
        </w:rPr>
        <w:t xml:space="preserve"> </w:t>
      </w:r>
      <w:r w:rsidR="00C5637A" w:rsidRPr="00ED59F4">
        <w:rPr>
          <w:rFonts w:ascii="Arial" w:hAnsi="Arial" w:cs="Arial"/>
          <w:snapToGrid w:val="0"/>
        </w:rPr>
        <w:t xml:space="preserve">Que en el marco de las políticas del Gobierno Nacional es de vital importancia garantizar el acceso a financiamiento de los </w:t>
      </w:r>
      <w:r w:rsidR="00010FFC">
        <w:rPr>
          <w:rFonts w:ascii="Arial" w:hAnsi="Arial" w:cs="Arial"/>
          <w:snapToGrid w:val="0"/>
        </w:rPr>
        <w:t xml:space="preserve">pequeños y medianos </w:t>
      </w:r>
      <w:r w:rsidR="00C71A21">
        <w:rPr>
          <w:rFonts w:ascii="Arial" w:hAnsi="Arial" w:cs="Arial"/>
          <w:snapToGrid w:val="0"/>
        </w:rPr>
        <w:t>productores</w:t>
      </w:r>
      <w:r w:rsidR="00C5637A" w:rsidRPr="00ED59F4">
        <w:rPr>
          <w:rFonts w:ascii="Arial" w:hAnsi="Arial" w:cs="Arial"/>
          <w:snapToGrid w:val="0"/>
        </w:rPr>
        <w:t xml:space="preserve">, </w:t>
      </w:r>
      <w:r w:rsidR="00C71A21">
        <w:rPr>
          <w:rFonts w:ascii="Arial" w:hAnsi="Arial" w:cs="Arial"/>
          <w:snapToGrid w:val="0"/>
        </w:rPr>
        <w:t xml:space="preserve">por lo que resulta necesario </w:t>
      </w:r>
      <w:r w:rsidR="00A9563C">
        <w:rPr>
          <w:rFonts w:ascii="Arial" w:hAnsi="Arial" w:cs="Arial"/>
          <w:snapToGrid w:val="0"/>
        </w:rPr>
        <w:t xml:space="preserve">aumentar </w:t>
      </w:r>
      <w:r w:rsidR="00010FFC">
        <w:rPr>
          <w:rFonts w:ascii="Arial" w:hAnsi="Arial" w:cs="Arial"/>
          <w:snapToGrid w:val="0"/>
        </w:rPr>
        <w:t xml:space="preserve">temporalmente </w:t>
      </w:r>
      <w:r w:rsidR="00E051B1">
        <w:rPr>
          <w:rFonts w:ascii="Arial" w:hAnsi="Arial" w:cs="Arial"/>
          <w:snapToGrid w:val="0"/>
        </w:rPr>
        <w:t xml:space="preserve">la cobertura </w:t>
      </w:r>
      <w:r w:rsidR="002131A0">
        <w:rPr>
          <w:rFonts w:ascii="Arial" w:hAnsi="Arial" w:cs="Arial"/>
          <w:snapToGrid w:val="0"/>
        </w:rPr>
        <w:t xml:space="preserve">de las garantías para </w:t>
      </w:r>
      <w:r w:rsidR="00E051B1">
        <w:rPr>
          <w:rFonts w:ascii="Arial" w:hAnsi="Arial" w:cs="Arial"/>
          <w:snapToGrid w:val="0"/>
        </w:rPr>
        <w:t xml:space="preserve">los créditos otorgados por </w:t>
      </w:r>
      <w:r w:rsidR="009F6F31">
        <w:rPr>
          <w:rFonts w:ascii="Arial" w:hAnsi="Arial" w:cs="Arial"/>
          <w:snapToGrid w:val="0"/>
        </w:rPr>
        <w:t>Finagro</w:t>
      </w:r>
      <w:r w:rsidR="00E051B1">
        <w:rPr>
          <w:rFonts w:ascii="Arial" w:hAnsi="Arial" w:cs="Arial"/>
          <w:snapToGrid w:val="0"/>
        </w:rPr>
        <w:t xml:space="preserve">. </w:t>
      </w:r>
      <w:r w:rsidR="00CB6670">
        <w:rPr>
          <w:rFonts w:ascii="Arial" w:hAnsi="Arial" w:cs="Arial"/>
          <w:snapToGrid w:val="0"/>
        </w:rPr>
        <w:t>Dado lo anterior,</w:t>
      </w:r>
      <w:r w:rsidR="00485A25">
        <w:rPr>
          <w:rFonts w:ascii="Arial" w:hAnsi="Arial" w:cs="Arial"/>
          <w:snapToGrid w:val="0"/>
        </w:rPr>
        <w:t xml:space="preserve"> </w:t>
      </w:r>
      <w:r w:rsidR="009B4DFB">
        <w:rPr>
          <w:rFonts w:ascii="Arial" w:hAnsi="Arial" w:cs="Arial"/>
          <w:snapToGrid w:val="0"/>
        </w:rPr>
        <w:t>un incremento en la cobertura de</w:t>
      </w:r>
      <w:r w:rsidR="008F6F34">
        <w:rPr>
          <w:rFonts w:ascii="Arial" w:hAnsi="Arial" w:cs="Arial"/>
          <w:snapToGrid w:val="0"/>
        </w:rPr>
        <w:t xml:space="preserve"> </w:t>
      </w:r>
      <w:r w:rsidR="00C71A21">
        <w:rPr>
          <w:rFonts w:ascii="Arial" w:hAnsi="Arial" w:cs="Arial"/>
          <w:snapToGrid w:val="0"/>
        </w:rPr>
        <w:t>las garant</w:t>
      </w:r>
      <w:r w:rsidR="00485A25">
        <w:rPr>
          <w:rFonts w:ascii="Arial" w:hAnsi="Arial" w:cs="Arial"/>
          <w:snapToGrid w:val="0"/>
        </w:rPr>
        <w:t>í</w:t>
      </w:r>
      <w:r w:rsidR="00C71A21">
        <w:rPr>
          <w:rFonts w:ascii="Arial" w:hAnsi="Arial" w:cs="Arial"/>
          <w:snapToGrid w:val="0"/>
        </w:rPr>
        <w:t>as</w:t>
      </w:r>
      <w:r w:rsidR="008F6F34">
        <w:rPr>
          <w:rFonts w:ascii="Arial" w:hAnsi="Arial" w:cs="Arial"/>
          <w:snapToGrid w:val="0"/>
        </w:rPr>
        <w:t xml:space="preserve"> sobre el valor del crédito</w:t>
      </w:r>
      <w:r w:rsidR="004E45D7">
        <w:rPr>
          <w:rFonts w:ascii="Arial" w:hAnsi="Arial" w:cs="Arial"/>
          <w:snapToGrid w:val="0"/>
        </w:rPr>
        <w:t>, como resultado de la suma de la cobertura de la garantía del FAG y otras garantías institucionales complementarias</w:t>
      </w:r>
      <w:r w:rsidR="008046FE">
        <w:rPr>
          <w:rFonts w:ascii="Arial" w:hAnsi="Arial" w:cs="Arial"/>
          <w:snapToGrid w:val="0"/>
        </w:rPr>
        <w:t>,</w:t>
      </w:r>
      <w:r w:rsidR="002131A0">
        <w:rPr>
          <w:rFonts w:ascii="Arial" w:hAnsi="Arial" w:cs="Arial"/>
          <w:snapToGrid w:val="0"/>
        </w:rPr>
        <w:t xml:space="preserve"> </w:t>
      </w:r>
      <w:r w:rsidR="00E051B1">
        <w:rPr>
          <w:rFonts w:ascii="Arial" w:hAnsi="Arial" w:cs="Arial"/>
          <w:snapToGrid w:val="0"/>
        </w:rPr>
        <w:t>reduc</w:t>
      </w:r>
      <w:r w:rsidR="002131A0">
        <w:rPr>
          <w:rFonts w:ascii="Arial" w:hAnsi="Arial" w:cs="Arial"/>
          <w:snapToGrid w:val="0"/>
        </w:rPr>
        <w:t>i</w:t>
      </w:r>
      <w:r w:rsidR="008046FE">
        <w:rPr>
          <w:rFonts w:ascii="Arial" w:hAnsi="Arial" w:cs="Arial"/>
          <w:snapToGrid w:val="0"/>
        </w:rPr>
        <w:t xml:space="preserve">ría </w:t>
      </w:r>
      <w:r w:rsidR="00A9563C">
        <w:rPr>
          <w:rFonts w:ascii="Arial" w:hAnsi="Arial" w:cs="Arial"/>
          <w:snapToGrid w:val="0"/>
        </w:rPr>
        <w:t>la exposición de riesgo de los intermediarios</w:t>
      </w:r>
      <w:r w:rsidR="002131A0">
        <w:rPr>
          <w:rFonts w:ascii="Arial" w:hAnsi="Arial" w:cs="Arial"/>
          <w:snapToGrid w:val="0"/>
        </w:rPr>
        <w:t xml:space="preserve"> e impulsa</w:t>
      </w:r>
      <w:r w:rsidR="000A22AE">
        <w:rPr>
          <w:rFonts w:ascii="Arial" w:hAnsi="Arial" w:cs="Arial"/>
          <w:snapToGrid w:val="0"/>
        </w:rPr>
        <w:t>ría</w:t>
      </w:r>
      <w:r w:rsidR="00A9563C">
        <w:rPr>
          <w:rFonts w:ascii="Arial" w:hAnsi="Arial" w:cs="Arial"/>
          <w:snapToGrid w:val="0"/>
        </w:rPr>
        <w:t xml:space="preserve"> la oferta de crédito para</w:t>
      </w:r>
      <w:r w:rsidR="002131A0">
        <w:rPr>
          <w:rFonts w:ascii="Arial" w:hAnsi="Arial" w:cs="Arial"/>
          <w:snapToGrid w:val="0"/>
        </w:rPr>
        <w:t xml:space="preserve"> </w:t>
      </w:r>
      <w:r w:rsidR="00A9563C">
        <w:rPr>
          <w:rFonts w:ascii="Arial" w:hAnsi="Arial" w:cs="Arial"/>
          <w:snapToGrid w:val="0"/>
        </w:rPr>
        <w:t>el secto</w:t>
      </w:r>
      <w:r w:rsidR="00172837">
        <w:rPr>
          <w:rFonts w:ascii="Arial" w:hAnsi="Arial" w:cs="Arial"/>
          <w:snapToGrid w:val="0"/>
        </w:rPr>
        <w:t>r</w:t>
      </w:r>
      <w:r w:rsidR="00522898">
        <w:rPr>
          <w:rFonts w:ascii="Arial" w:hAnsi="Arial" w:cs="Arial"/>
          <w:snapToGrid w:val="0"/>
        </w:rPr>
        <w:t xml:space="preserve"> agropecuario</w:t>
      </w:r>
      <w:r w:rsidR="009E2066">
        <w:rPr>
          <w:rFonts w:ascii="Arial" w:hAnsi="Arial" w:cs="Arial"/>
          <w:snapToGrid w:val="0"/>
        </w:rPr>
        <w:t xml:space="preserve"> y rural</w:t>
      </w:r>
      <w:r w:rsidR="00A9563C">
        <w:rPr>
          <w:rFonts w:ascii="Arial" w:hAnsi="Arial" w:cs="Arial"/>
          <w:snapToGrid w:val="0"/>
        </w:rPr>
        <w:t xml:space="preserve">. </w:t>
      </w:r>
    </w:p>
    <w:p w14:paraId="5A88D8EB" w14:textId="2D62B8FE" w:rsidR="00172837" w:rsidRDefault="00172837" w:rsidP="00A83F5F">
      <w:pPr>
        <w:pStyle w:val="Sinespaciado"/>
        <w:jc w:val="both"/>
        <w:rPr>
          <w:rFonts w:ascii="Arial" w:hAnsi="Arial" w:cs="Arial"/>
          <w:lang w:val="es-ES" w:eastAsia="es-ES" w:bidi="es-ES"/>
        </w:rPr>
      </w:pPr>
    </w:p>
    <w:p w14:paraId="7C3227C4" w14:textId="6AEA3588" w:rsidR="00D554E3" w:rsidRDefault="00F43C18" w:rsidP="00A83F5F">
      <w:pPr>
        <w:pStyle w:val="Textoindependiente"/>
        <w:jc w:val="both"/>
      </w:pPr>
      <w:r>
        <w:rPr>
          <w:b/>
        </w:rPr>
        <w:t>Séptimo</w:t>
      </w:r>
      <w:r w:rsidR="00D554E3" w:rsidRPr="00446DE1">
        <w:rPr>
          <w:b/>
        </w:rPr>
        <w:t xml:space="preserve">. </w:t>
      </w:r>
      <w:r w:rsidR="00D554E3" w:rsidRPr="00446DE1">
        <w:t>Que la CNCA, mediante la Resolución 2 de 2016</w:t>
      </w:r>
      <w:r w:rsidR="00E66989">
        <w:t>,</w:t>
      </w:r>
      <w:r w:rsidR="008742C6">
        <w:t xml:space="preserve"> y sus modificaciones</w:t>
      </w:r>
      <w:r w:rsidR="00D554E3" w:rsidRPr="00446DE1">
        <w:t xml:space="preserve">, compiló y modificó la reglamentación y </w:t>
      </w:r>
      <w:r w:rsidR="00D554E3" w:rsidRPr="003A5BC2">
        <w:t>operatividad del Fondo Agropecuario de Garantías – FAG</w:t>
      </w:r>
    </w:p>
    <w:p w14:paraId="2B2C8191" w14:textId="77777777" w:rsidR="00D554E3" w:rsidRDefault="00D554E3" w:rsidP="00A83F5F">
      <w:pPr>
        <w:pStyle w:val="Textoindependiente"/>
        <w:jc w:val="both"/>
      </w:pPr>
    </w:p>
    <w:p w14:paraId="657358C9" w14:textId="38E84CFF" w:rsidR="00D554E3" w:rsidRPr="00ED59F4" w:rsidRDefault="00F43C18" w:rsidP="00A83F5F">
      <w:pPr>
        <w:pStyle w:val="Sinespaciado"/>
        <w:jc w:val="both"/>
        <w:rPr>
          <w:rFonts w:ascii="Arial" w:hAnsi="Arial" w:cs="Arial"/>
          <w:snapToGrid w:val="0"/>
        </w:rPr>
      </w:pPr>
      <w:r>
        <w:rPr>
          <w:rFonts w:ascii="Arial" w:hAnsi="Arial" w:cs="Arial"/>
          <w:b/>
          <w:bCs/>
          <w:snapToGrid w:val="0"/>
        </w:rPr>
        <w:t>Octavo</w:t>
      </w:r>
      <w:r w:rsidR="00D554E3" w:rsidRPr="00ED59F4">
        <w:rPr>
          <w:rFonts w:ascii="Arial" w:hAnsi="Arial" w:cs="Arial"/>
          <w:b/>
          <w:bCs/>
          <w:snapToGrid w:val="0"/>
        </w:rPr>
        <w:t>.</w:t>
      </w:r>
      <w:r w:rsidR="00D554E3" w:rsidRPr="00ED59F4">
        <w:rPr>
          <w:rFonts w:ascii="Arial" w:hAnsi="Arial" w:cs="Arial"/>
          <w:snapToGrid w:val="0"/>
        </w:rPr>
        <w:t xml:space="preserve"> Que la CNCA</w:t>
      </w:r>
      <w:r>
        <w:rPr>
          <w:rFonts w:ascii="Arial" w:hAnsi="Arial" w:cs="Arial"/>
          <w:snapToGrid w:val="0"/>
        </w:rPr>
        <w:t>,</w:t>
      </w:r>
      <w:r w:rsidR="00D554E3" w:rsidRPr="00ED59F4">
        <w:rPr>
          <w:rFonts w:ascii="Arial" w:hAnsi="Arial" w:cs="Arial"/>
          <w:snapToGrid w:val="0"/>
        </w:rPr>
        <w:t xml:space="preserve"> mediante la Resolución 17 </w:t>
      </w:r>
      <w:r w:rsidR="00D554E3" w:rsidRPr="00E66989">
        <w:rPr>
          <w:rFonts w:ascii="Arial" w:hAnsi="Arial" w:cs="Arial"/>
          <w:snapToGrid w:val="0"/>
        </w:rPr>
        <w:t>de 2019</w:t>
      </w:r>
      <w:r w:rsidR="00E66989" w:rsidRPr="00E66989">
        <w:rPr>
          <w:rFonts w:ascii="Arial" w:hAnsi="Arial" w:cs="Arial"/>
        </w:rPr>
        <w:t xml:space="preserve">, y sus modificaciones, </w:t>
      </w:r>
      <w:r w:rsidR="00E66989">
        <w:rPr>
          <w:rFonts w:ascii="Arial" w:hAnsi="Arial" w:cs="Arial"/>
          <w:snapToGrid w:val="0"/>
        </w:rPr>
        <w:t xml:space="preserve">se </w:t>
      </w:r>
      <w:r w:rsidR="00D554E3" w:rsidRPr="00E66989">
        <w:rPr>
          <w:rFonts w:ascii="Arial" w:hAnsi="Arial" w:cs="Arial"/>
          <w:snapToGrid w:val="0"/>
        </w:rPr>
        <w:t>aprobó el</w:t>
      </w:r>
      <w:r w:rsidR="00D554E3" w:rsidRPr="00ED59F4">
        <w:rPr>
          <w:rFonts w:ascii="Arial" w:hAnsi="Arial" w:cs="Arial"/>
          <w:snapToGrid w:val="0"/>
        </w:rPr>
        <w:t xml:space="preserve"> Plan Anual de Garantías para el año 2020, el esquema de provisiones y reservas del FAG.</w:t>
      </w:r>
    </w:p>
    <w:p w14:paraId="7677AD85" w14:textId="3F20F777" w:rsidR="00A3006B" w:rsidRDefault="00A3006B" w:rsidP="00A83F5F">
      <w:pPr>
        <w:pStyle w:val="Textoindependiente"/>
        <w:spacing w:before="1"/>
        <w:jc w:val="both"/>
        <w:rPr>
          <w:b/>
          <w:bCs/>
          <w:color w:val="000000" w:themeColor="text1"/>
          <w:spacing w:val="-8"/>
        </w:rPr>
      </w:pPr>
    </w:p>
    <w:p w14:paraId="1AC7E8E6" w14:textId="177F0D7F" w:rsidR="007D7FD3" w:rsidRPr="00FB456D" w:rsidRDefault="382FF848" w:rsidP="00A83F5F">
      <w:pPr>
        <w:pStyle w:val="Textoindependiente"/>
        <w:jc w:val="both"/>
      </w:pPr>
      <w:r w:rsidRPr="00FB456D">
        <w:rPr>
          <w:b/>
          <w:bCs/>
        </w:rPr>
        <w:t>Décimo</w:t>
      </w:r>
      <w:r w:rsidR="70F40F37" w:rsidRPr="00FB456D">
        <w:rPr>
          <w:b/>
          <w:bCs/>
        </w:rPr>
        <w:t xml:space="preserve"> </w:t>
      </w:r>
      <w:r w:rsidR="00142A61" w:rsidRPr="00FB456D">
        <w:rPr>
          <w:b/>
          <w:bCs/>
        </w:rPr>
        <w:t>primero</w:t>
      </w:r>
      <w:r w:rsidRPr="00FB456D">
        <w:rPr>
          <w:b/>
          <w:bCs/>
        </w:rPr>
        <w:t>.</w:t>
      </w:r>
      <w:r w:rsidR="50FB4013" w:rsidRPr="00FB456D">
        <w:rPr>
          <w:b/>
          <w:bCs/>
        </w:rPr>
        <w:t xml:space="preserve"> </w:t>
      </w:r>
      <w:r w:rsidR="50FB4013" w:rsidRPr="00FB456D">
        <w:t xml:space="preserve">Que el proyecto de Resolución </w:t>
      </w:r>
      <w:r w:rsidR="45933D02" w:rsidRPr="00FB456D">
        <w:t>“</w:t>
      </w:r>
      <w:r w:rsidR="00022410" w:rsidRPr="00FB456D">
        <w:rPr>
          <w:rFonts w:eastAsia="Times New Roman"/>
          <w:i/>
          <w:iCs/>
          <w:color w:val="000000"/>
          <w:lang w:eastAsia="es-ES_tradnl"/>
        </w:rPr>
        <w:t>Por medio de la cual se habilita una cobertura adicional por parte de las garantías institucionales complementarias, se modifican la Resoluciones 2 de 2016 y 17 de 2019 y se dictan otras disposiciones</w:t>
      </w:r>
      <w:r w:rsidR="45933D02" w:rsidRPr="00FB456D">
        <w:rPr>
          <w:i/>
          <w:iCs/>
        </w:rPr>
        <w:t>”</w:t>
      </w:r>
      <w:r w:rsidR="50FB4013" w:rsidRPr="00FB456D">
        <w:rPr>
          <w:i/>
          <w:iCs/>
        </w:rPr>
        <w:t xml:space="preserve">, </w:t>
      </w:r>
      <w:r w:rsidR="50FB4013" w:rsidRPr="00FB456D">
        <w:t xml:space="preserve">estuvo publicado en la página </w:t>
      </w:r>
      <w:r w:rsidR="05B1CBA4" w:rsidRPr="00FB456D">
        <w:t>web</w:t>
      </w:r>
      <w:r w:rsidR="50FB4013" w:rsidRPr="00FB456D">
        <w:t xml:space="preserve"> de F</w:t>
      </w:r>
      <w:r w:rsidR="1CEB44AB" w:rsidRPr="00FB456D">
        <w:t>inagro</w:t>
      </w:r>
      <w:r w:rsidR="50FB4013" w:rsidRPr="00FB456D">
        <w:t xml:space="preserve"> para comentarios.</w:t>
      </w:r>
    </w:p>
    <w:p w14:paraId="023E7AC1" w14:textId="77777777" w:rsidR="007D7FD3" w:rsidRPr="00FB456D" w:rsidRDefault="007D7FD3" w:rsidP="00A83F5F">
      <w:pPr>
        <w:pStyle w:val="Textoindependiente"/>
      </w:pPr>
    </w:p>
    <w:p w14:paraId="31F7DE42" w14:textId="42DE0B44" w:rsidR="007D7FD3" w:rsidRPr="00FB456D" w:rsidRDefault="382FF848" w:rsidP="00A83F5F">
      <w:pPr>
        <w:pStyle w:val="Textoindependiente"/>
        <w:spacing w:line="242" w:lineRule="auto"/>
        <w:jc w:val="both"/>
      </w:pPr>
      <w:r w:rsidRPr="00B613B5">
        <w:rPr>
          <w:b/>
          <w:bCs/>
        </w:rPr>
        <w:t xml:space="preserve">Décimo </w:t>
      </w:r>
      <w:r w:rsidR="00142A61" w:rsidRPr="00B613B5">
        <w:rPr>
          <w:b/>
          <w:bCs/>
        </w:rPr>
        <w:t>segundo</w:t>
      </w:r>
      <w:r w:rsidR="50FB4013" w:rsidRPr="00B613B5">
        <w:rPr>
          <w:b/>
          <w:bCs/>
        </w:rPr>
        <w:t>.</w:t>
      </w:r>
      <w:r w:rsidR="50FB4013" w:rsidRPr="00B613B5">
        <w:rPr>
          <w:b/>
          <w:bCs/>
          <w:spacing w:val="-9"/>
        </w:rPr>
        <w:t xml:space="preserve"> </w:t>
      </w:r>
      <w:r w:rsidR="5C6D6EA5" w:rsidRPr="00B613B5">
        <w:rPr>
          <w:color w:val="000000" w:themeColor="text1"/>
          <w:lang w:bidi="es-CO"/>
        </w:rPr>
        <w:t xml:space="preserve">Que el documento con la justificación jurídica y técnica de la presente resolución fue presentado para consideración de la CNCA y discutido </w:t>
      </w:r>
      <w:r w:rsidR="00B613B5" w:rsidRPr="00B613B5">
        <w:rPr>
          <w:color w:val="212121"/>
        </w:rPr>
        <w:t>en</w:t>
      </w:r>
      <w:r w:rsidR="5C6D6EA5" w:rsidRPr="00B613B5">
        <w:rPr>
          <w:color w:val="212121"/>
        </w:rPr>
        <w:t xml:space="preserve"> reunión </w:t>
      </w:r>
      <w:r w:rsidR="5C6D6EA5" w:rsidRPr="00B613B5">
        <w:rPr>
          <w:color w:val="000000"/>
        </w:rPr>
        <w:t xml:space="preserve">llevada a </w:t>
      </w:r>
      <w:r w:rsidR="5C6D6EA5" w:rsidRPr="00B613B5">
        <w:rPr>
          <w:color w:val="000000" w:themeColor="text1"/>
        </w:rPr>
        <w:t xml:space="preserve">cabo el día </w:t>
      </w:r>
      <w:r w:rsidR="5FD7E323" w:rsidRPr="00B613B5">
        <w:rPr>
          <w:color w:val="FF0000"/>
        </w:rPr>
        <w:t>XX</w:t>
      </w:r>
      <w:r w:rsidR="5C6D6EA5" w:rsidRPr="00B613B5">
        <w:rPr>
          <w:color w:val="FF0000"/>
        </w:rPr>
        <w:t xml:space="preserve"> (</w:t>
      </w:r>
      <w:r w:rsidR="6612BEF7" w:rsidRPr="00B613B5">
        <w:rPr>
          <w:color w:val="FF0000"/>
        </w:rPr>
        <w:t>X</w:t>
      </w:r>
      <w:r w:rsidR="00FB456D" w:rsidRPr="00B613B5">
        <w:rPr>
          <w:color w:val="FF0000"/>
        </w:rPr>
        <w:t>X</w:t>
      </w:r>
      <w:r w:rsidR="5C6D6EA5" w:rsidRPr="00B613B5">
        <w:rPr>
          <w:color w:val="FF0000"/>
        </w:rPr>
        <w:t xml:space="preserve">) de </w:t>
      </w:r>
      <w:r w:rsidR="6728E90F" w:rsidRPr="00B613B5">
        <w:rPr>
          <w:color w:val="FF0000"/>
        </w:rPr>
        <w:t>junio</w:t>
      </w:r>
      <w:r w:rsidR="5C6D6EA5" w:rsidRPr="00B613B5">
        <w:rPr>
          <w:color w:val="FF0000"/>
        </w:rPr>
        <w:t xml:space="preserve"> </w:t>
      </w:r>
      <w:r w:rsidR="5C6D6EA5" w:rsidRPr="00B613B5">
        <w:t xml:space="preserve">de </w:t>
      </w:r>
      <w:r w:rsidR="5C6D6EA5" w:rsidRPr="00B613B5">
        <w:rPr>
          <w:color w:val="000000"/>
        </w:rPr>
        <w:t>2020</w:t>
      </w:r>
      <w:r w:rsidR="5C6D6EA5" w:rsidRPr="00B613B5">
        <w:rPr>
          <w:color w:val="212121"/>
        </w:rPr>
        <w:t>.</w:t>
      </w:r>
    </w:p>
    <w:p w14:paraId="0D1660E6" w14:textId="77777777" w:rsidR="007D7FD3" w:rsidRPr="00446DE1" w:rsidRDefault="007D7FD3" w:rsidP="00A83F5F">
      <w:pPr>
        <w:pStyle w:val="Textoindependiente"/>
        <w:spacing w:before="7"/>
        <w:rPr>
          <w:sz w:val="21"/>
        </w:rPr>
      </w:pPr>
    </w:p>
    <w:p w14:paraId="2E9016A5" w14:textId="5754A1DD" w:rsidR="007D7FD3" w:rsidRDefault="00C9075B" w:rsidP="00A83F5F">
      <w:pPr>
        <w:pStyle w:val="Textoindependiente"/>
        <w:jc w:val="both"/>
      </w:pPr>
      <w:r w:rsidRPr="00446DE1">
        <w:t>En mérito de lo anterior,</w:t>
      </w:r>
    </w:p>
    <w:p w14:paraId="64D28981" w14:textId="77777777" w:rsidR="00446DE1" w:rsidRPr="00446DE1" w:rsidRDefault="00446DE1" w:rsidP="00531923">
      <w:pPr>
        <w:pStyle w:val="Textoindependiente"/>
        <w:ind w:right="68"/>
        <w:jc w:val="both"/>
      </w:pPr>
    </w:p>
    <w:p w14:paraId="68C18F88" w14:textId="77777777" w:rsidR="007D7FD3" w:rsidRPr="00446DE1" w:rsidRDefault="00C9075B" w:rsidP="00531923">
      <w:pPr>
        <w:pStyle w:val="Ttulo1"/>
        <w:spacing w:before="174"/>
        <w:ind w:left="3937" w:right="68"/>
      </w:pPr>
      <w:r w:rsidRPr="00192AF0">
        <w:t>RESUELVE:</w:t>
      </w:r>
    </w:p>
    <w:p w14:paraId="64AC3B35" w14:textId="77777777" w:rsidR="007D7FD3" w:rsidRPr="00446DE1" w:rsidRDefault="007D7FD3" w:rsidP="00531923">
      <w:pPr>
        <w:pStyle w:val="Textoindependiente"/>
        <w:spacing w:before="11"/>
        <w:ind w:right="68"/>
        <w:rPr>
          <w:b/>
          <w:sz w:val="21"/>
        </w:rPr>
      </w:pPr>
    </w:p>
    <w:p w14:paraId="7327A8A6" w14:textId="0E2063D2" w:rsidR="00615715" w:rsidRDefault="00FC4205" w:rsidP="00113472">
      <w:pPr>
        <w:pStyle w:val="Textoindependiente"/>
        <w:ind w:right="68"/>
        <w:jc w:val="both"/>
        <w:rPr>
          <w:bCs/>
        </w:rPr>
      </w:pPr>
      <w:r w:rsidRPr="00446DE1">
        <w:rPr>
          <w:b/>
        </w:rPr>
        <w:t xml:space="preserve">Artículo </w:t>
      </w:r>
      <w:r w:rsidRPr="001B3E1D">
        <w:rPr>
          <w:b/>
        </w:rPr>
        <w:t xml:space="preserve">1o. </w:t>
      </w:r>
      <w:r w:rsidR="006979B8" w:rsidRPr="001B3E1D">
        <w:rPr>
          <w:bCs/>
        </w:rPr>
        <w:t>Modificar parágrafo 2</w:t>
      </w:r>
      <w:r w:rsidR="00BC7B20" w:rsidRPr="001B3E1D">
        <w:rPr>
          <w:bCs/>
        </w:rPr>
        <w:t xml:space="preserve"> y</w:t>
      </w:r>
      <w:r w:rsidR="00A60ADC" w:rsidRPr="001B3E1D">
        <w:rPr>
          <w:bCs/>
        </w:rPr>
        <w:t xml:space="preserve"> el parágrafo</w:t>
      </w:r>
      <w:r w:rsidR="00BC7B20" w:rsidRPr="001B3E1D">
        <w:rPr>
          <w:bCs/>
        </w:rPr>
        <w:t xml:space="preserve"> transitorio </w:t>
      </w:r>
      <w:r w:rsidR="006979B8" w:rsidRPr="001B3E1D">
        <w:rPr>
          <w:bCs/>
        </w:rPr>
        <w:t xml:space="preserve">del </w:t>
      </w:r>
      <w:r w:rsidR="00615715" w:rsidRPr="001B3E1D">
        <w:rPr>
          <w:bCs/>
        </w:rPr>
        <w:t xml:space="preserve">artículo </w:t>
      </w:r>
      <w:r w:rsidR="00093AFC" w:rsidRPr="001B3E1D">
        <w:rPr>
          <w:bCs/>
        </w:rPr>
        <w:t>1</w:t>
      </w:r>
      <w:r w:rsidR="00615715" w:rsidRPr="001B3E1D">
        <w:rPr>
          <w:bCs/>
        </w:rPr>
        <w:t xml:space="preserve"> de la</w:t>
      </w:r>
      <w:r w:rsidR="00615715" w:rsidRPr="00615715">
        <w:rPr>
          <w:bCs/>
        </w:rPr>
        <w:t xml:space="preserve"> Resolución </w:t>
      </w:r>
      <w:r w:rsidR="00093AFC">
        <w:rPr>
          <w:bCs/>
        </w:rPr>
        <w:t>17</w:t>
      </w:r>
      <w:r w:rsidR="00615715" w:rsidRPr="00615715">
        <w:rPr>
          <w:bCs/>
        </w:rPr>
        <w:t xml:space="preserve"> de 201</w:t>
      </w:r>
      <w:r w:rsidR="00093AFC">
        <w:rPr>
          <w:bCs/>
        </w:rPr>
        <w:t xml:space="preserve">9 </w:t>
      </w:r>
      <w:r w:rsidR="00615715" w:rsidRPr="00615715">
        <w:rPr>
          <w:bCs/>
        </w:rPr>
        <w:t xml:space="preserve">de la </w:t>
      </w:r>
      <w:r w:rsidR="00814A6E">
        <w:rPr>
          <w:bCs/>
        </w:rPr>
        <w:t>Comisión Nacional de Crédito Agropecuario (</w:t>
      </w:r>
      <w:r w:rsidR="00761777">
        <w:rPr>
          <w:bCs/>
        </w:rPr>
        <w:t>CNCA</w:t>
      </w:r>
      <w:r w:rsidR="00814A6E">
        <w:rPr>
          <w:bCs/>
        </w:rPr>
        <w:t>)</w:t>
      </w:r>
      <w:r w:rsidR="001B3E1D">
        <w:rPr>
          <w:bCs/>
        </w:rPr>
        <w:t xml:space="preserve"> y adicionar el parágrafo transitorio 2</w:t>
      </w:r>
      <w:r w:rsidR="00615715" w:rsidRPr="00615715">
        <w:rPr>
          <w:bCs/>
        </w:rPr>
        <w:t xml:space="preserve"> de la siguiente manera:</w:t>
      </w:r>
    </w:p>
    <w:p w14:paraId="5F64F728" w14:textId="6538AA9E" w:rsidR="00615715" w:rsidRDefault="00615715" w:rsidP="00113472">
      <w:pPr>
        <w:pStyle w:val="Textoindependiente"/>
        <w:ind w:right="68"/>
        <w:jc w:val="both"/>
        <w:rPr>
          <w:bCs/>
        </w:rPr>
      </w:pPr>
    </w:p>
    <w:p w14:paraId="0880D3D8" w14:textId="08A51F46" w:rsidR="00D906D4" w:rsidRPr="00B613B5" w:rsidRDefault="00011B21" w:rsidP="00D906D4">
      <w:pPr>
        <w:spacing w:line="0" w:lineRule="atLeast"/>
        <w:jc w:val="both"/>
        <w:rPr>
          <w:snapToGrid w:val="0"/>
        </w:rPr>
      </w:pPr>
      <w:r w:rsidRPr="00011D30">
        <w:rPr>
          <w:snapToGrid w:val="0"/>
        </w:rPr>
        <w:t>“</w:t>
      </w:r>
      <w:r w:rsidR="00D906D4" w:rsidRPr="00225E82">
        <w:rPr>
          <w:snapToGrid w:val="0"/>
        </w:rPr>
        <w:t>Parágrafo 2</w:t>
      </w:r>
      <w:r w:rsidR="004030F0" w:rsidRPr="00225E82">
        <w:rPr>
          <w:snapToGrid w:val="0"/>
        </w:rPr>
        <w:t>o</w:t>
      </w:r>
      <w:r w:rsidR="00D906D4" w:rsidRPr="00225E82">
        <w:rPr>
          <w:snapToGrid w:val="0"/>
        </w:rPr>
        <w:t>.</w:t>
      </w:r>
      <w:r w:rsidR="00D906D4" w:rsidRPr="00F03F61">
        <w:rPr>
          <w:snapToGrid w:val="0"/>
        </w:rPr>
        <w:t xml:space="preserve"> La garantía del FAG podrá utilizarse en conjunto con otras garantías institucionales complementarias. </w:t>
      </w:r>
      <w:r w:rsidR="00D906D4" w:rsidRPr="00837E53">
        <w:rPr>
          <w:lang w:eastAsia="es-CO"/>
        </w:rPr>
        <w:t xml:space="preserve">En caso de que se utilicen dichas garantías institucionales, el intermediario financiero deberá </w:t>
      </w:r>
      <w:r w:rsidR="00D906D4" w:rsidRPr="00B613B5">
        <w:rPr>
          <w:lang w:eastAsia="es-CO"/>
        </w:rPr>
        <w:t>reportar a Finagro la cobertura de tal garantía al efectuar la solicitud de la garantía del FAG. Al momento de registro de la garantía, la suma total de la cobertura de ambas garantías no podrá exceder los límites de cobertura establecido</w:t>
      </w:r>
      <w:r w:rsidR="006679AF" w:rsidRPr="00B613B5">
        <w:rPr>
          <w:lang w:eastAsia="es-CO"/>
        </w:rPr>
        <w:t>s</w:t>
      </w:r>
      <w:r w:rsidR="00D906D4" w:rsidRPr="00B613B5">
        <w:rPr>
          <w:lang w:eastAsia="es-CO"/>
        </w:rPr>
        <w:t xml:space="preserve"> en </w:t>
      </w:r>
      <w:r w:rsidR="001131ED" w:rsidRPr="00B613B5">
        <w:rPr>
          <w:lang w:eastAsia="es-CO"/>
        </w:rPr>
        <w:t>este artículo</w:t>
      </w:r>
      <w:r w:rsidR="00D906D4" w:rsidRPr="00B613B5">
        <w:rPr>
          <w:lang w:eastAsia="es-CO"/>
        </w:rPr>
        <w:t xml:space="preserve"> de la presente resolución. </w:t>
      </w:r>
      <w:bookmarkStart w:id="2" w:name="_Hlk10205832"/>
      <w:r w:rsidR="00D906D4" w:rsidRPr="00B613B5">
        <w:rPr>
          <w:lang w:eastAsia="es-CO"/>
        </w:rPr>
        <w:t>El incumplimiento de esta disposición será causal de pérdida de validez o no pago de la garantía</w:t>
      </w:r>
      <w:bookmarkEnd w:id="2"/>
      <w:r w:rsidR="00D906D4" w:rsidRPr="00B613B5">
        <w:rPr>
          <w:lang w:eastAsia="es-CO"/>
        </w:rPr>
        <w:t xml:space="preserve"> del FAG.</w:t>
      </w:r>
    </w:p>
    <w:p w14:paraId="514BBDF7" w14:textId="77777777" w:rsidR="00D906D4" w:rsidRPr="00B613B5" w:rsidRDefault="00D906D4" w:rsidP="00D906D4">
      <w:pPr>
        <w:spacing w:line="0" w:lineRule="atLeast"/>
        <w:jc w:val="both"/>
        <w:rPr>
          <w:lang w:eastAsia="es-CO"/>
        </w:rPr>
      </w:pPr>
    </w:p>
    <w:p w14:paraId="61C384EB" w14:textId="6294150B" w:rsidR="00D906D4" w:rsidRPr="00B613B5" w:rsidRDefault="00D906D4" w:rsidP="00751D0D">
      <w:pPr>
        <w:jc w:val="both"/>
        <w:rPr>
          <w:rFonts w:ascii="Segoe UI" w:eastAsia="Times New Roman" w:hAnsi="Segoe UI" w:cs="Segoe UI"/>
          <w:sz w:val="21"/>
          <w:szCs w:val="21"/>
          <w:lang w:val="es-CO" w:eastAsia="es-CO" w:bidi="ar-SA"/>
        </w:rPr>
      </w:pPr>
      <w:r w:rsidRPr="00B613B5">
        <w:rPr>
          <w:lang w:eastAsia="es-CO"/>
        </w:rPr>
        <w:t>Parágrafo transitorio</w:t>
      </w:r>
      <w:r w:rsidR="00834FE5" w:rsidRPr="00B613B5">
        <w:rPr>
          <w:lang w:eastAsia="es-CO"/>
        </w:rPr>
        <w:t xml:space="preserve"> 1</w:t>
      </w:r>
      <w:r w:rsidRPr="00B613B5">
        <w:rPr>
          <w:lang w:eastAsia="es-CO"/>
        </w:rPr>
        <w:t>.</w:t>
      </w:r>
      <w:r w:rsidRPr="00B613B5">
        <w:rPr>
          <w:b/>
          <w:bCs/>
          <w:lang w:eastAsia="es-CO"/>
        </w:rPr>
        <w:t xml:space="preserve"> </w:t>
      </w:r>
      <w:r w:rsidRPr="00B613B5">
        <w:rPr>
          <w:lang w:eastAsia="es-CO"/>
        </w:rPr>
        <w:t xml:space="preserve">De manera transitoria y con el fin de mitigar </w:t>
      </w:r>
      <w:r w:rsidR="001B262C" w:rsidRPr="00B613B5">
        <w:rPr>
          <w:lang w:eastAsia="es-CO"/>
        </w:rPr>
        <w:t xml:space="preserve">los efectos causados por la emergencia sanitaria </w:t>
      </w:r>
      <w:r w:rsidR="00751D0D" w:rsidRPr="00B613B5">
        <w:rPr>
          <w:lang w:eastAsia="es-CO"/>
        </w:rPr>
        <w:t>asociada</w:t>
      </w:r>
      <w:r w:rsidR="001B262C" w:rsidRPr="00B613B5">
        <w:rPr>
          <w:lang w:eastAsia="es-CO"/>
        </w:rPr>
        <w:t xml:space="preserve"> por el coronavirus COVID-19</w:t>
      </w:r>
      <w:r w:rsidRPr="00B613B5">
        <w:rPr>
          <w:lang w:eastAsia="es-CO"/>
        </w:rPr>
        <w:t>, no se aplicará el descuento establecido en el parágrafo quinto, del artículo 12 de la Resolución 2 de 2016, adicionado mediante el artículo 2 de la Resolución 15 de 2019, para las garantías registradas en Finagro desde el 12 de marzo de 2020 hasta el 31 de diciembre de 2020.</w:t>
      </w:r>
    </w:p>
    <w:p w14:paraId="38CBD0E7" w14:textId="77777777" w:rsidR="00D906D4" w:rsidRPr="00B613B5" w:rsidRDefault="00D906D4" w:rsidP="00113472">
      <w:pPr>
        <w:pStyle w:val="Textoindependiente"/>
        <w:ind w:right="68"/>
        <w:jc w:val="both"/>
        <w:rPr>
          <w:bCs/>
        </w:rPr>
      </w:pPr>
    </w:p>
    <w:p w14:paraId="2EE3FFAB" w14:textId="32F5DAD1" w:rsidR="005D2C13" w:rsidRDefault="00352670" w:rsidP="60983D90">
      <w:pPr>
        <w:pStyle w:val="Textoindependiente"/>
        <w:ind w:right="68"/>
        <w:jc w:val="both"/>
        <w:rPr>
          <w:highlight w:val="yellow"/>
        </w:rPr>
      </w:pPr>
      <w:r w:rsidRPr="00B613B5">
        <w:rPr>
          <w:lang w:eastAsia="es-CO"/>
        </w:rPr>
        <w:t>Parágrafo transitorio 2</w:t>
      </w:r>
      <w:r w:rsidR="00752E95" w:rsidRPr="00B613B5">
        <w:rPr>
          <w:lang w:eastAsia="es-CO"/>
        </w:rPr>
        <w:t xml:space="preserve">. </w:t>
      </w:r>
      <w:r w:rsidR="005D2C13" w:rsidRPr="00B613B5">
        <w:rPr>
          <w:lang w:eastAsia="es-CO"/>
        </w:rPr>
        <w:t xml:space="preserve">De manera transitoria y </w:t>
      </w:r>
      <w:r w:rsidR="00BC7B20" w:rsidRPr="00B613B5">
        <w:rPr>
          <w:lang w:eastAsia="es-CO"/>
        </w:rPr>
        <w:t>con el fin de mitigar los efectos causados por la emergencia sanitaria asociada por el coronavirus COVID-19</w:t>
      </w:r>
      <w:r w:rsidR="005D2C13" w:rsidRPr="00B613B5">
        <w:rPr>
          <w:lang w:eastAsia="es-CO"/>
        </w:rPr>
        <w:t xml:space="preserve">, </w:t>
      </w:r>
      <w:r w:rsidR="00634EF1" w:rsidRPr="00B613B5">
        <w:rPr>
          <w:lang w:eastAsia="es-CO"/>
        </w:rPr>
        <w:t>en el caso del pequeño y mediano productor</w:t>
      </w:r>
      <w:r w:rsidR="00301512" w:rsidRPr="00B613B5">
        <w:rPr>
          <w:lang w:eastAsia="es-CO"/>
        </w:rPr>
        <w:t xml:space="preserve"> ordinario</w:t>
      </w:r>
      <w:r w:rsidR="00A22B90" w:rsidRPr="00B613B5">
        <w:rPr>
          <w:lang w:eastAsia="es-CO"/>
        </w:rPr>
        <w:t xml:space="preserve">, </w:t>
      </w:r>
      <w:r w:rsidR="00A22B90" w:rsidRPr="00B613B5">
        <w:t xml:space="preserve">la suma total de la cobertura de </w:t>
      </w:r>
      <w:r w:rsidR="00CA6875" w:rsidRPr="00B613B5">
        <w:t>las</w:t>
      </w:r>
      <w:r w:rsidR="00A22B90" w:rsidRPr="00B613B5">
        <w:t xml:space="preserve"> garantías</w:t>
      </w:r>
      <w:r w:rsidR="004B47AA" w:rsidRPr="00B613B5">
        <w:t>,</w:t>
      </w:r>
      <w:r w:rsidR="00CA6875" w:rsidRPr="00B613B5">
        <w:t xml:space="preserve"> que trata el parágrafo </w:t>
      </w:r>
      <w:r w:rsidR="00064CC3" w:rsidRPr="00B613B5">
        <w:t>2</w:t>
      </w:r>
      <w:r w:rsidR="00866482" w:rsidRPr="00B613B5">
        <w:t>o</w:t>
      </w:r>
      <w:r w:rsidR="00064CC3" w:rsidRPr="00B613B5">
        <w:t xml:space="preserve"> del </w:t>
      </w:r>
      <w:r w:rsidR="00466E36" w:rsidRPr="00B613B5">
        <w:t xml:space="preserve">presente </w:t>
      </w:r>
      <w:r w:rsidR="004B47AA" w:rsidRPr="00B613B5">
        <w:t>artículo,</w:t>
      </w:r>
      <w:r w:rsidR="00A22B90" w:rsidRPr="00B613B5">
        <w:t xml:space="preserve"> no podrá exceder los límites de cobertura del FAG establecidos por tipo de productor, conforme a lo establecido en el literal b. del artículo 1o de la presente resolución, adicionados </w:t>
      </w:r>
      <w:r w:rsidR="00EA454F" w:rsidRPr="00B613B5">
        <w:t>hasta en</w:t>
      </w:r>
      <w:r w:rsidR="00A22B90" w:rsidRPr="00B613B5">
        <w:t xml:space="preserve"> 10 puntos porcentuales</w:t>
      </w:r>
      <w:r w:rsidR="00CD7A22" w:rsidRPr="00B613B5">
        <w:t>.</w:t>
      </w:r>
      <w:r w:rsidR="0043686F" w:rsidRPr="00B613B5">
        <w:t xml:space="preserve"> Lo anterior aplicará </w:t>
      </w:r>
      <w:r w:rsidR="0043686F" w:rsidRPr="00B613B5">
        <w:rPr>
          <w:lang w:eastAsia="es-CO"/>
        </w:rPr>
        <w:t xml:space="preserve">para las garantías registradas en Finagro desde la fecha de </w:t>
      </w:r>
      <w:r w:rsidR="006F41C6" w:rsidRPr="00B613B5">
        <w:rPr>
          <w:lang w:eastAsia="es-CO"/>
        </w:rPr>
        <w:t xml:space="preserve">reglamentación de Finagro de la presente </w:t>
      </w:r>
      <w:r w:rsidR="00387FDD" w:rsidRPr="00B613B5">
        <w:rPr>
          <w:lang w:eastAsia="es-CO"/>
        </w:rPr>
        <w:t>disposición</w:t>
      </w:r>
      <w:r w:rsidR="0043686F" w:rsidRPr="00B613B5">
        <w:rPr>
          <w:lang w:eastAsia="es-CO"/>
        </w:rPr>
        <w:t xml:space="preserve"> hasta el 31 de</w:t>
      </w:r>
      <w:r w:rsidR="0043686F" w:rsidRPr="36C1612C">
        <w:rPr>
          <w:lang w:eastAsia="es-CO"/>
        </w:rPr>
        <w:t xml:space="preserve"> diciembre de 2020</w:t>
      </w:r>
      <w:r w:rsidR="00CD7A22">
        <w:t>”</w:t>
      </w:r>
      <w:r w:rsidR="00A22B90">
        <w:rPr>
          <w:lang w:eastAsia="es-CO"/>
        </w:rPr>
        <w:t xml:space="preserve"> </w:t>
      </w:r>
    </w:p>
    <w:p w14:paraId="14259282" w14:textId="77777777" w:rsidR="005D2C13" w:rsidRDefault="005D2C13" w:rsidP="60983D90">
      <w:pPr>
        <w:pStyle w:val="Textoindependiente"/>
        <w:ind w:right="68"/>
        <w:jc w:val="both"/>
        <w:rPr>
          <w:highlight w:val="yellow"/>
        </w:rPr>
      </w:pPr>
    </w:p>
    <w:p w14:paraId="40E37D61" w14:textId="4832C83B" w:rsidR="002422EE" w:rsidRDefault="006B9A25" w:rsidP="002422EE">
      <w:pPr>
        <w:pStyle w:val="Textoindependiente"/>
        <w:ind w:right="68"/>
        <w:jc w:val="both"/>
      </w:pPr>
      <w:r w:rsidRPr="60983D90">
        <w:rPr>
          <w:b/>
          <w:bCs/>
        </w:rPr>
        <w:t xml:space="preserve">Artículo 2o. </w:t>
      </w:r>
      <w:r w:rsidR="4B9B6F5C">
        <w:t>Modificar e</w:t>
      </w:r>
      <w:r>
        <w:t xml:space="preserve">l artículo 13 de la Resolución 2 de 2016, modificado por el artículo 4 de la Resolución 10 de 2019, de la </w:t>
      </w:r>
      <w:r w:rsidR="00BF29E2">
        <w:t>CNCA</w:t>
      </w:r>
      <w:r>
        <w:t xml:space="preserve"> de la siguiente manera:</w:t>
      </w:r>
    </w:p>
    <w:p w14:paraId="7458AA64" w14:textId="330EE6C4" w:rsidR="60983D90" w:rsidRDefault="60983D90" w:rsidP="60983D90">
      <w:pPr>
        <w:pStyle w:val="Textoindependiente"/>
        <w:ind w:right="68"/>
        <w:jc w:val="both"/>
      </w:pPr>
    </w:p>
    <w:p w14:paraId="15033477" w14:textId="3A84E2AB" w:rsidR="00977F24" w:rsidRPr="00977F24" w:rsidRDefault="00977F24" w:rsidP="00977F24">
      <w:pPr>
        <w:pStyle w:val="Textoindependiente"/>
        <w:ind w:right="68"/>
        <w:jc w:val="both"/>
      </w:pPr>
      <w:r w:rsidRPr="00977F24">
        <w:t>“</w:t>
      </w:r>
      <w:r w:rsidRPr="00977F24">
        <w:rPr>
          <w:color w:val="000000" w:themeColor="text1"/>
        </w:rPr>
        <w:t>Artículo 13. Causales de pérdida de validez y no pago de la garantía. No habrá lugar al pago de la garantía, la cual perderá su validez, cesando de pleno derecho sus efectos, con la ocurrencia de una cualquiera de las siguientes circunstancias:</w:t>
      </w:r>
    </w:p>
    <w:p w14:paraId="37008522" w14:textId="77777777" w:rsidR="00977F24" w:rsidRPr="00953DC0" w:rsidRDefault="00977F24" w:rsidP="00977F24">
      <w:pPr>
        <w:jc w:val="both"/>
        <w:rPr>
          <w:color w:val="000000"/>
        </w:rPr>
      </w:pPr>
    </w:p>
    <w:p w14:paraId="2A004344" w14:textId="77777777" w:rsidR="00977F24" w:rsidRDefault="00977F24" w:rsidP="00977F24">
      <w:pPr>
        <w:pStyle w:val="Prrafodelista"/>
        <w:widowControl/>
        <w:numPr>
          <w:ilvl w:val="0"/>
          <w:numId w:val="7"/>
        </w:numPr>
        <w:autoSpaceDE/>
        <w:autoSpaceDN/>
        <w:contextualSpacing/>
        <w:rPr>
          <w:color w:val="000000"/>
        </w:rPr>
      </w:pPr>
      <w:r w:rsidRPr="00953DC0">
        <w:rPr>
          <w:color w:val="000000" w:themeColor="text1"/>
        </w:rPr>
        <w:t>El intermediario financiero no pague oportunamente la comisión de la garantía.</w:t>
      </w:r>
    </w:p>
    <w:p w14:paraId="67216057" w14:textId="77777777" w:rsidR="00977F24" w:rsidRPr="00953DC0" w:rsidRDefault="00977F24" w:rsidP="00977F24">
      <w:pPr>
        <w:pStyle w:val="Prrafodelista"/>
        <w:ind w:left="360"/>
        <w:rPr>
          <w:color w:val="000000"/>
        </w:rPr>
      </w:pPr>
    </w:p>
    <w:p w14:paraId="0679E53E" w14:textId="77777777" w:rsidR="00977F24" w:rsidRPr="00223D0E" w:rsidRDefault="00977F24" w:rsidP="00977F24">
      <w:pPr>
        <w:pStyle w:val="Prrafodelista"/>
        <w:widowControl/>
        <w:numPr>
          <w:ilvl w:val="0"/>
          <w:numId w:val="7"/>
        </w:numPr>
        <w:autoSpaceDE/>
        <w:autoSpaceDN/>
        <w:contextualSpacing/>
        <w:rPr>
          <w:color w:val="000000"/>
        </w:rPr>
      </w:pPr>
      <w:r w:rsidRPr="00953DC0">
        <w:rPr>
          <w:color w:val="000000" w:themeColor="text1"/>
        </w:rPr>
        <w:t>Cuando para la obtención del crédito, la operación garantizada, la garantía del FAG o su renovación o pago, se hubiere pretermitido el cumplimiento de uno cualquiera de los requisitos establecidos por esta Comisión, así:</w:t>
      </w:r>
    </w:p>
    <w:p w14:paraId="0D5C23C3" w14:textId="77777777" w:rsidR="00977F24" w:rsidRPr="00953DC0" w:rsidRDefault="00977F24" w:rsidP="00977F24">
      <w:pPr>
        <w:ind w:firstLine="280"/>
        <w:jc w:val="both"/>
        <w:rPr>
          <w:color w:val="000000"/>
        </w:rPr>
      </w:pPr>
    </w:p>
    <w:p w14:paraId="37D3B705" w14:textId="77777777" w:rsidR="00977F24" w:rsidRPr="00977F24" w:rsidRDefault="00977F24" w:rsidP="00977F24">
      <w:pPr>
        <w:pStyle w:val="Prrafodelista"/>
        <w:widowControl/>
        <w:numPr>
          <w:ilvl w:val="0"/>
          <w:numId w:val="8"/>
        </w:numPr>
        <w:autoSpaceDE/>
        <w:autoSpaceDN/>
        <w:contextualSpacing/>
        <w:rPr>
          <w:color w:val="000000"/>
        </w:rPr>
      </w:pPr>
      <w:r w:rsidRPr="00977F24">
        <w:rPr>
          <w:color w:val="000000" w:themeColor="text1"/>
        </w:rPr>
        <w:t>Cuando se solicite garantía para normalizar un crédito que originalmente no estaba respaldado por el FAG o se solicite una cobertura superior a la inicial.</w:t>
      </w:r>
    </w:p>
    <w:p w14:paraId="1F088F61" w14:textId="77777777" w:rsidR="00977F24" w:rsidRPr="00977F24" w:rsidRDefault="00977F24" w:rsidP="00977F24">
      <w:pPr>
        <w:pStyle w:val="Prrafodelista"/>
        <w:widowControl/>
        <w:autoSpaceDE/>
        <w:autoSpaceDN/>
        <w:ind w:left="720" w:firstLine="0"/>
        <w:contextualSpacing/>
        <w:rPr>
          <w:color w:val="000000"/>
        </w:rPr>
      </w:pPr>
    </w:p>
    <w:p w14:paraId="13E77E1E" w14:textId="10311D21" w:rsidR="00977F24" w:rsidRPr="00977F24" w:rsidRDefault="00977F24" w:rsidP="00977F24">
      <w:pPr>
        <w:pStyle w:val="Prrafodelista"/>
        <w:widowControl/>
        <w:numPr>
          <w:ilvl w:val="0"/>
          <w:numId w:val="8"/>
        </w:numPr>
        <w:autoSpaceDE/>
        <w:autoSpaceDN/>
        <w:contextualSpacing/>
        <w:rPr>
          <w:color w:val="000000"/>
        </w:rPr>
      </w:pPr>
      <w:r w:rsidRPr="00977F24">
        <w:rPr>
          <w:color w:val="000000" w:themeColor="text1"/>
        </w:rPr>
        <w:t>Cuando la garantía no se encuentre vigente a la fecha de la reclamación.</w:t>
      </w:r>
    </w:p>
    <w:p w14:paraId="0996C0A7" w14:textId="77777777" w:rsidR="00977F24" w:rsidRPr="00977F24" w:rsidRDefault="00977F24" w:rsidP="00977F24">
      <w:pPr>
        <w:pStyle w:val="Prrafodelista"/>
        <w:widowControl/>
        <w:autoSpaceDE/>
        <w:autoSpaceDN/>
        <w:ind w:left="720" w:firstLine="0"/>
        <w:contextualSpacing/>
        <w:rPr>
          <w:color w:val="000000"/>
        </w:rPr>
      </w:pPr>
    </w:p>
    <w:p w14:paraId="1D417C5A" w14:textId="3A87FA65" w:rsidR="00977F24" w:rsidRPr="00B613B5" w:rsidRDefault="00977F24" w:rsidP="00521DE1">
      <w:pPr>
        <w:pStyle w:val="Prrafodelista"/>
        <w:widowControl/>
        <w:numPr>
          <w:ilvl w:val="0"/>
          <w:numId w:val="8"/>
        </w:numPr>
        <w:autoSpaceDE/>
        <w:autoSpaceDN/>
        <w:contextualSpacing/>
        <w:rPr>
          <w:color w:val="000000"/>
        </w:rPr>
      </w:pPr>
      <w:r w:rsidRPr="00B613B5">
        <w:rPr>
          <w:color w:val="000000" w:themeColor="text1"/>
        </w:rPr>
        <w:lastRenderedPageBreak/>
        <w:t>Cuando el intermediario financiero, al efectuar la solicitud de la garantía del FAG no report</w:t>
      </w:r>
      <w:r w:rsidR="004E6668" w:rsidRPr="00B613B5">
        <w:rPr>
          <w:color w:val="000000" w:themeColor="text1"/>
        </w:rPr>
        <w:t>e</w:t>
      </w:r>
      <w:r w:rsidRPr="00B613B5">
        <w:rPr>
          <w:color w:val="000000" w:themeColor="text1"/>
        </w:rPr>
        <w:t xml:space="preserve"> a FINA</w:t>
      </w:r>
      <w:r w:rsidR="00301512" w:rsidRPr="00B613B5">
        <w:rPr>
          <w:color w:val="000000" w:themeColor="text1"/>
        </w:rPr>
        <w:t>G</w:t>
      </w:r>
      <w:r w:rsidRPr="00B613B5">
        <w:rPr>
          <w:color w:val="000000" w:themeColor="text1"/>
        </w:rPr>
        <w:t>RO el uso de otras garantías institucionales complementari</w:t>
      </w:r>
      <w:r w:rsidR="00BF29E2" w:rsidRPr="00B613B5">
        <w:rPr>
          <w:color w:val="000000" w:themeColor="text1"/>
        </w:rPr>
        <w:t>a</w:t>
      </w:r>
      <w:r w:rsidRPr="00B613B5">
        <w:rPr>
          <w:color w:val="000000" w:themeColor="text1"/>
        </w:rPr>
        <w:t>s o cuando la suma total de la cobertura de ambas garantías exced</w:t>
      </w:r>
      <w:r w:rsidR="002D7CE2" w:rsidRPr="00B613B5">
        <w:rPr>
          <w:color w:val="000000" w:themeColor="text1"/>
        </w:rPr>
        <w:t>a</w:t>
      </w:r>
      <w:r w:rsidRPr="00B613B5">
        <w:rPr>
          <w:color w:val="000000" w:themeColor="text1"/>
        </w:rPr>
        <w:t xml:space="preserve"> los límites de cobertura </w:t>
      </w:r>
      <w:r w:rsidR="001C7BA7" w:rsidRPr="00B613B5">
        <w:rPr>
          <w:color w:val="000000" w:themeColor="text1"/>
        </w:rPr>
        <w:t xml:space="preserve">aprobada por la </w:t>
      </w:r>
      <w:r w:rsidR="00814A6E" w:rsidRPr="00B613B5">
        <w:rPr>
          <w:color w:val="000000" w:themeColor="text1"/>
        </w:rPr>
        <w:t>CNCA</w:t>
      </w:r>
      <w:r w:rsidR="008122DE" w:rsidRPr="00B613B5">
        <w:rPr>
          <w:color w:val="000000" w:themeColor="text1"/>
        </w:rPr>
        <w:t>.</w:t>
      </w:r>
    </w:p>
    <w:p w14:paraId="03E0BF23" w14:textId="77777777" w:rsidR="00977F24" w:rsidRPr="00B613B5" w:rsidRDefault="00977F24" w:rsidP="00977F24">
      <w:pPr>
        <w:widowControl/>
        <w:autoSpaceDE/>
        <w:autoSpaceDN/>
        <w:contextualSpacing/>
        <w:rPr>
          <w:color w:val="000000"/>
        </w:rPr>
      </w:pPr>
    </w:p>
    <w:p w14:paraId="744C441C" w14:textId="3F95F4AB" w:rsidR="00977F24" w:rsidRPr="00B613B5" w:rsidRDefault="00977F24" w:rsidP="00977F24">
      <w:pPr>
        <w:pStyle w:val="Prrafodelista"/>
        <w:widowControl/>
        <w:numPr>
          <w:ilvl w:val="0"/>
          <w:numId w:val="7"/>
        </w:numPr>
        <w:autoSpaceDE/>
        <w:autoSpaceDN/>
        <w:contextualSpacing/>
        <w:rPr>
          <w:color w:val="000000"/>
        </w:rPr>
      </w:pPr>
      <w:r w:rsidRPr="00B613B5">
        <w:rPr>
          <w:color w:val="000000" w:themeColor="text1"/>
        </w:rPr>
        <w:t>El intermediario no presente oportunamente, o no subsane en el término previsto para el efecto, ante FINAGRO, los documentos requeridos para el pago de la garantía en los términos de la reglamentación operativa del FAG.</w:t>
      </w:r>
    </w:p>
    <w:p w14:paraId="76D81890" w14:textId="45FEE49D" w:rsidR="00B53FC4" w:rsidRPr="00B613B5" w:rsidRDefault="00B53FC4" w:rsidP="00B53FC4">
      <w:pPr>
        <w:widowControl/>
        <w:autoSpaceDE/>
        <w:autoSpaceDN/>
        <w:contextualSpacing/>
        <w:rPr>
          <w:color w:val="000000"/>
        </w:rPr>
      </w:pPr>
    </w:p>
    <w:p w14:paraId="0357919E" w14:textId="093BC21B" w:rsidR="00640C37" w:rsidRDefault="008043A6" w:rsidP="00AB4744">
      <w:pPr>
        <w:jc w:val="both"/>
      </w:pPr>
      <w:r w:rsidRPr="00B613B5">
        <w:rPr>
          <w:b/>
        </w:rPr>
        <w:t xml:space="preserve">Artículo </w:t>
      </w:r>
      <w:r w:rsidR="002422EE" w:rsidRPr="00B613B5">
        <w:rPr>
          <w:b/>
        </w:rPr>
        <w:t>3</w:t>
      </w:r>
      <w:r w:rsidRPr="00B613B5">
        <w:rPr>
          <w:b/>
        </w:rPr>
        <w:t xml:space="preserve">o. </w:t>
      </w:r>
      <w:r w:rsidR="005C1AD5" w:rsidRPr="00B613B5">
        <w:t>Modificar e</w:t>
      </w:r>
      <w:r w:rsidR="00AB4744" w:rsidRPr="00B613B5">
        <w:t>l</w:t>
      </w:r>
      <w:r w:rsidR="00640C37" w:rsidRPr="00B613B5">
        <w:t xml:space="preserve"> artículo </w:t>
      </w:r>
      <w:r w:rsidR="00AB4744" w:rsidRPr="00B613B5">
        <w:t>8</w:t>
      </w:r>
      <w:r w:rsidR="00640C37" w:rsidRPr="00B613B5">
        <w:t xml:space="preserve"> de la Resolución</w:t>
      </w:r>
      <w:r w:rsidR="00640C37">
        <w:t xml:space="preserve"> 2 de 2016 de tal forma que quede así:</w:t>
      </w:r>
    </w:p>
    <w:p w14:paraId="551F2482" w14:textId="77777777" w:rsidR="00640C37" w:rsidRDefault="00640C37" w:rsidP="00AB4744">
      <w:pPr>
        <w:jc w:val="both"/>
      </w:pPr>
    </w:p>
    <w:p w14:paraId="2F894A91" w14:textId="77777777" w:rsidR="00102C2A" w:rsidRDefault="27E707BE" w:rsidP="00102C2A">
      <w:pPr>
        <w:jc w:val="both"/>
        <w:rPr>
          <w:color w:val="000000"/>
          <w:lang w:val="es-CO" w:bidi="ar-SA"/>
        </w:rPr>
      </w:pPr>
      <w:r>
        <w:t>“</w:t>
      </w:r>
      <w:r w:rsidR="00102C2A" w:rsidRPr="00102C2A">
        <w:rPr>
          <w:color w:val="000000" w:themeColor="text1"/>
        </w:rPr>
        <w:t>Artículo 8º. Solicitud.</w:t>
      </w:r>
      <w:r w:rsidR="00102C2A">
        <w:rPr>
          <w:b/>
          <w:bCs/>
          <w:color w:val="000000" w:themeColor="text1"/>
        </w:rPr>
        <w:t> </w:t>
      </w:r>
      <w:r w:rsidR="00102C2A">
        <w:rPr>
          <w:color w:val="000000" w:themeColor="text1"/>
        </w:rPr>
        <w:t>La solicitud de la garantía se deberá efectuar por el intermediario financiero a FINAGRO.</w:t>
      </w:r>
    </w:p>
    <w:p w14:paraId="40FE5DCA" w14:textId="77777777" w:rsidR="00102C2A" w:rsidRDefault="00102C2A" w:rsidP="00102C2A">
      <w:pPr>
        <w:jc w:val="both"/>
        <w:rPr>
          <w:color w:val="000000"/>
        </w:rPr>
      </w:pPr>
    </w:p>
    <w:p w14:paraId="7960E24D" w14:textId="77777777" w:rsidR="00102C2A" w:rsidRPr="00B613B5" w:rsidRDefault="00102C2A" w:rsidP="00102C2A">
      <w:pPr>
        <w:jc w:val="both"/>
        <w:rPr>
          <w:color w:val="000000"/>
        </w:rPr>
      </w:pPr>
      <w:r>
        <w:rPr>
          <w:color w:val="000000" w:themeColor="text1"/>
        </w:rPr>
        <w:t xml:space="preserve">Cuando cualquiera de los intermediarios financieros autorizados, solicitan la garantía FAG están certificando: a) Que el proyecto objeto de financiación cumple las condiciones establecidas en la reglamentación para ser financiado. b) Que el intermediario financiero explicó al titular del crédito la naturaleza de la garantía y que, en consecuencia, certifica igualmente que este conoce y entiende </w:t>
      </w:r>
      <w:r w:rsidRPr="00B613B5">
        <w:rPr>
          <w:color w:val="000000" w:themeColor="text1"/>
        </w:rPr>
        <w:t>la naturaleza de la garantía que aceptó los efectos jurídicos y deberes derivados de su otorgamiento y eventual pago, para lo cual suscribió el documento respectivo aceptado por FINAGRO.</w:t>
      </w:r>
    </w:p>
    <w:p w14:paraId="0BA2F1A2" w14:textId="77777777" w:rsidR="00102C2A" w:rsidRPr="00B613B5" w:rsidRDefault="00102C2A" w:rsidP="00AB4744">
      <w:pPr>
        <w:jc w:val="both"/>
      </w:pPr>
    </w:p>
    <w:p w14:paraId="749E96C8" w14:textId="03175CE6" w:rsidR="00102C2A" w:rsidRPr="00B613B5" w:rsidRDefault="61291F4D" w:rsidP="00AB4744">
      <w:pPr>
        <w:jc w:val="both"/>
      </w:pPr>
      <w:r w:rsidRPr="00B613B5">
        <w:t xml:space="preserve">Parágrafo </w:t>
      </w:r>
      <w:r w:rsidR="00102C2A" w:rsidRPr="00B613B5">
        <w:t>1</w:t>
      </w:r>
      <w:r w:rsidRPr="00B613B5">
        <w:t xml:space="preserve">o. La garantía del FAG podrá utilizarse en conjunto con otras garantías institucionales complementarias. En caso de que se utilicen dichas garantías institucionales, el intermediario financiero deberá reportar a Finagro la cobertura de tal garantía al efectuar la solicitud de la garantía del FAG. Al momento de registro de la garantía, la suma total de la cobertura de ambas garantías no podrá exceder los límites de cobertura establecidos </w:t>
      </w:r>
      <w:r w:rsidR="005407A9" w:rsidRPr="00B613B5">
        <w:t xml:space="preserve">por la </w:t>
      </w:r>
      <w:r w:rsidR="009175DE" w:rsidRPr="00B613B5">
        <w:t>CNCA</w:t>
      </w:r>
      <w:r w:rsidR="00977F24" w:rsidRPr="00B613B5">
        <w:t>.</w:t>
      </w:r>
    </w:p>
    <w:p w14:paraId="68E192D8" w14:textId="77777777" w:rsidR="00102C2A" w:rsidRPr="00B613B5" w:rsidRDefault="00102C2A" w:rsidP="00AB4744">
      <w:pPr>
        <w:jc w:val="both"/>
      </w:pPr>
    </w:p>
    <w:p w14:paraId="517A0E8C" w14:textId="2757C32C" w:rsidR="00640C37" w:rsidRDefault="00102C2A" w:rsidP="00AB4744">
      <w:pPr>
        <w:jc w:val="both"/>
      </w:pPr>
      <w:r w:rsidRPr="00B613B5">
        <w:rPr>
          <w:color w:val="000000" w:themeColor="text1"/>
        </w:rPr>
        <w:t>Parágrafo 2o.</w:t>
      </w:r>
      <w:r w:rsidRPr="00B613B5">
        <w:rPr>
          <w:b/>
          <w:bCs/>
          <w:color w:val="000000" w:themeColor="text1"/>
        </w:rPr>
        <w:t xml:space="preserve"> </w:t>
      </w:r>
      <w:r w:rsidRPr="00B613B5">
        <w:rPr>
          <w:color w:val="000000" w:themeColor="text1"/>
        </w:rPr>
        <w:t>La solicitud, expedición y pago</w:t>
      </w:r>
      <w:r>
        <w:rPr>
          <w:color w:val="000000" w:themeColor="text1"/>
        </w:rPr>
        <w:t xml:space="preserve"> de las garantías tienen una naturaleza eminentemente contractual y, por tanto, no implican actuaciones de carácter administrativo ni dan derecho a recursos de esa naturaleza.”</w:t>
      </w:r>
    </w:p>
    <w:p w14:paraId="40654F40" w14:textId="6D3685F9" w:rsidR="008043A6" w:rsidRPr="00D5522F" w:rsidRDefault="008043A6" w:rsidP="00113472">
      <w:pPr>
        <w:pStyle w:val="Textoindependiente"/>
        <w:spacing w:before="9"/>
        <w:ind w:right="68"/>
        <w:rPr>
          <w:sz w:val="21"/>
        </w:rPr>
      </w:pPr>
    </w:p>
    <w:p w14:paraId="19427C5F" w14:textId="509F1E60" w:rsidR="007D7FD3" w:rsidRPr="00D5522F" w:rsidRDefault="00C9075B" w:rsidP="00407E84">
      <w:pPr>
        <w:pStyle w:val="Textoindependiente"/>
        <w:spacing w:before="1" w:line="242" w:lineRule="auto"/>
        <w:ind w:right="68"/>
        <w:jc w:val="both"/>
      </w:pPr>
      <w:r w:rsidRPr="00D5522F">
        <w:rPr>
          <w:b/>
        </w:rPr>
        <w:t>Artículo</w:t>
      </w:r>
      <w:r w:rsidRPr="00D5522F">
        <w:rPr>
          <w:b/>
          <w:spacing w:val="-10"/>
        </w:rPr>
        <w:t xml:space="preserve"> </w:t>
      </w:r>
      <w:r w:rsidR="008122DE">
        <w:rPr>
          <w:b/>
          <w:spacing w:val="-10"/>
        </w:rPr>
        <w:t>4</w:t>
      </w:r>
      <w:r w:rsidRPr="00D5522F">
        <w:rPr>
          <w:b/>
        </w:rPr>
        <w:t>o.</w:t>
      </w:r>
      <w:r w:rsidR="00D032F3" w:rsidRPr="00D5522F">
        <w:rPr>
          <w:color w:val="000000" w:themeColor="text1"/>
        </w:rPr>
        <w:t xml:space="preserve"> </w:t>
      </w:r>
      <w:r w:rsidR="00C10164" w:rsidRPr="00D5522F">
        <w:rPr>
          <w:color w:val="000000" w:themeColor="text1"/>
        </w:rPr>
        <w:t xml:space="preserve"> </w:t>
      </w:r>
      <w:r w:rsidRPr="00D5522F">
        <w:t>F</w:t>
      </w:r>
      <w:r w:rsidR="00282C85" w:rsidRPr="00D5522F">
        <w:t>inagro</w:t>
      </w:r>
      <w:r w:rsidRPr="00D5522F">
        <w:t xml:space="preserve"> adoptará los procedimientos y medidas necesarias para el desarrollo de la presente Resolución para lo cual expedirá la circular reglamentaria correspondiente.</w:t>
      </w:r>
    </w:p>
    <w:p w14:paraId="26A9FCE3" w14:textId="77777777" w:rsidR="007D7FD3" w:rsidRPr="00D5522F" w:rsidRDefault="007D7FD3" w:rsidP="00407E84">
      <w:pPr>
        <w:pStyle w:val="Textoindependiente"/>
        <w:spacing w:before="8"/>
        <w:ind w:right="68"/>
        <w:rPr>
          <w:sz w:val="21"/>
        </w:rPr>
      </w:pPr>
    </w:p>
    <w:p w14:paraId="6D5BA114" w14:textId="27F82D6C" w:rsidR="0097152B" w:rsidRDefault="008043A6" w:rsidP="00407E84">
      <w:pPr>
        <w:pStyle w:val="Textoindependiente"/>
        <w:ind w:right="68"/>
        <w:jc w:val="both"/>
      </w:pPr>
      <w:r w:rsidRPr="00D5522F">
        <w:rPr>
          <w:b/>
        </w:rPr>
        <w:t xml:space="preserve">Artículo </w:t>
      </w:r>
      <w:r w:rsidR="008122DE">
        <w:rPr>
          <w:b/>
        </w:rPr>
        <w:t>5</w:t>
      </w:r>
      <w:r w:rsidR="00A77360" w:rsidRPr="00D5522F">
        <w:rPr>
          <w:b/>
        </w:rPr>
        <w:t>o.</w:t>
      </w:r>
      <w:r w:rsidR="00A77360" w:rsidRPr="00D5522F">
        <w:t xml:space="preserve"> </w:t>
      </w:r>
      <w:r w:rsidR="002E0105" w:rsidRPr="00D5522F">
        <w:t>La presente resolución rige a partir de la fecha de su publicación en el Diario Oficial, y sus efectos aplicarán a partir de la fecha en que FINAGRO expida la circular reglamentaria correspondiente</w:t>
      </w:r>
      <w:r w:rsidR="00F56D3B" w:rsidRPr="00D5522F">
        <w:rPr>
          <w:color w:val="000000" w:themeColor="text1"/>
        </w:rPr>
        <w:t>.</w:t>
      </w:r>
    </w:p>
    <w:p w14:paraId="00D5963E" w14:textId="77777777" w:rsidR="002E0105" w:rsidRDefault="002E0105" w:rsidP="00407E84">
      <w:pPr>
        <w:pStyle w:val="Textoindependiente"/>
        <w:ind w:right="68"/>
        <w:jc w:val="both"/>
      </w:pPr>
    </w:p>
    <w:p w14:paraId="4E652635" w14:textId="77777777" w:rsidR="007D7FD3" w:rsidRPr="00446DE1" w:rsidRDefault="007D7FD3" w:rsidP="00407E84">
      <w:pPr>
        <w:pStyle w:val="Textoindependiente"/>
        <w:spacing w:before="9"/>
        <w:ind w:right="68"/>
        <w:rPr>
          <w:sz w:val="21"/>
        </w:rPr>
      </w:pPr>
    </w:p>
    <w:p w14:paraId="65892D1A" w14:textId="7FED107C" w:rsidR="007D7FD3" w:rsidRPr="00446DE1" w:rsidRDefault="00C9075B" w:rsidP="00407E84">
      <w:pPr>
        <w:pStyle w:val="Textoindependiente"/>
        <w:ind w:right="68"/>
        <w:jc w:val="both"/>
      </w:pPr>
      <w:r w:rsidRPr="00446DE1">
        <w:t xml:space="preserve">Dada en Bogotá, D.C. a </w:t>
      </w:r>
      <w:r w:rsidRPr="00720152">
        <w:rPr>
          <w:color w:val="000000" w:themeColor="text1"/>
        </w:rPr>
        <w:t xml:space="preserve">los </w:t>
      </w:r>
      <w:r w:rsidR="00720152" w:rsidRPr="00720152">
        <w:rPr>
          <w:color w:val="FF0000"/>
        </w:rPr>
        <w:t>XX</w:t>
      </w:r>
      <w:r w:rsidR="002E0105" w:rsidRPr="00720152">
        <w:rPr>
          <w:color w:val="FF0000"/>
        </w:rPr>
        <w:t xml:space="preserve"> (</w:t>
      </w:r>
      <w:r w:rsidR="00720152" w:rsidRPr="00720152">
        <w:rPr>
          <w:color w:val="FF0000"/>
        </w:rPr>
        <w:t>XX</w:t>
      </w:r>
      <w:r w:rsidR="002E0105" w:rsidRPr="00720152">
        <w:rPr>
          <w:color w:val="FF0000"/>
        </w:rPr>
        <w:t xml:space="preserve">) </w:t>
      </w:r>
      <w:r w:rsidRPr="00720152">
        <w:rPr>
          <w:color w:val="FF0000"/>
        </w:rPr>
        <w:t xml:space="preserve">días del mes de </w:t>
      </w:r>
      <w:r w:rsidR="00AB4744" w:rsidRPr="00720152">
        <w:rPr>
          <w:color w:val="FF0000"/>
        </w:rPr>
        <w:t>junio</w:t>
      </w:r>
      <w:r w:rsidR="00A77360" w:rsidRPr="00720152">
        <w:rPr>
          <w:color w:val="FF0000"/>
        </w:rPr>
        <w:t xml:space="preserve"> </w:t>
      </w:r>
      <w:r w:rsidRPr="00720152">
        <w:t>de</w:t>
      </w:r>
      <w:r w:rsidRPr="00446DE1">
        <w:rPr>
          <w:color w:val="000000" w:themeColor="text1"/>
        </w:rPr>
        <w:t xml:space="preserve"> dos </w:t>
      </w:r>
      <w:r w:rsidRPr="00446DE1">
        <w:t xml:space="preserve">mil </w:t>
      </w:r>
      <w:r w:rsidR="002E0105">
        <w:t>veinte</w:t>
      </w:r>
      <w:r w:rsidRPr="00446DE1">
        <w:t xml:space="preserve"> (20</w:t>
      </w:r>
      <w:r w:rsidR="002E0105">
        <w:t>20</w:t>
      </w:r>
      <w:r w:rsidRPr="00446DE1">
        <w:t>).</w:t>
      </w:r>
    </w:p>
    <w:p w14:paraId="5A9435CE" w14:textId="77777777" w:rsidR="007D7FD3" w:rsidRPr="00446DE1" w:rsidRDefault="007D7FD3" w:rsidP="00407E84">
      <w:pPr>
        <w:pStyle w:val="Textoindependiente"/>
        <w:ind w:right="68"/>
        <w:rPr>
          <w:sz w:val="24"/>
        </w:rPr>
      </w:pPr>
    </w:p>
    <w:p w14:paraId="02E1073E" w14:textId="01471F08" w:rsidR="007D7FD3" w:rsidRPr="00446DE1" w:rsidRDefault="007D7FD3">
      <w:pPr>
        <w:pStyle w:val="Textoindependiente"/>
        <w:rPr>
          <w:sz w:val="24"/>
        </w:rPr>
      </w:pPr>
    </w:p>
    <w:p w14:paraId="207E31A0" w14:textId="62341494" w:rsidR="00E6178F" w:rsidRPr="00446DE1" w:rsidRDefault="00E6178F">
      <w:pPr>
        <w:pStyle w:val="Textoindependiente"/>
        <w:rPr>
          <w:sz w:val="24"/>
        </w:rPr>
      </w:pPr>
    </w:p>
    <w:p w14:paraId="6A462B21" w14:textId="20F18787" w:rsidR="006A5057" w:rsidRPr="00446DE1" w:rsidRDefault="006A5057">
      <w:pPr>
        <w:pStyle w:val="Textoindependiente"/>
        <w:rPr>
          <w:sz w:val="24"/>
        </w:rPr>
      </w:pPr>
    </w:p>
    <w:p w14:paraId="6CE90727" w14:textId="77777777" w:rsidR="006A5057" w:rsidRPr="00446DE1" w:rsidRDefault="006A5057">
      <w:pPr>
        <w:pStyle w:val="Textoindependiente"/>
        <w:rPr>
          <w:sz w:val="24"/>
        </w:rPr>
      </w:pPr>
    </w:p>
    <w:p w14:paraId="0DDF7C1D" w14:textId="77777777" w:rsidR="00DA41FA" w:rsidRPr="00446DE1" w:rsidRDefault="00DA41FA">
      <w:pPr>
        <w:pStyle w:val="Textoindependiente"/>
        <w:rPr>
          <w:sz w:val="24"/>
        </w:rPr>
      </w:pPr>
    </w:p>
    <w:p w14:paraId="51A92CEB" w14:textId="1D9C6B61" w:rsidR="007D7FD3" w:rsidRPr="00446DE1" w:rsidRDefault="00AB4044">
      <w:pPr>
        <w:pStyle w:val="Textoindependiente"/>
        <w:tabs>
          <w:tab w:val="left" w:pos="5117"/>
        </w:tabs>
        <w:spacing w:before="211" w:line="251" w:lineRule="exact"/>
        <w:ind w:left="100"/>
        <w:jc w:val="both"/>
      </w:pPr>
      <w:r>
        <w:rPr>
          <w:rFonts w:eastAsia="Times New Roman"/>
          <w:color w:val="000000" w:themeColor="text1"/>
        </w:rPr>
        <w:t>RODOLFO ENRIQUE ZEA NAVARRO</w:t>
      </w:r>
      <w:r w:rsidR="00C9075B" w:rsidRPr="00446DE1">
        <w:tab/>
        <w:t>ANDRÉS LOZANO</w:t>
      </w:r>
      <w:r w:rsidR="00C9075B" w:rsidRPr="00446DE1">
        <w:rPr>
          <w:spacing w:val="-8"/>
        </w:rPr>
        <w:t xml:space="preserve"> </w:t>
      </w:r>
      <w:r w:rsidR="00C9075B" w:rsidRPr="00446DE1">
        <w:t>KARANAUSKAS</w:t>
      </w:r>
    </w:p>
    <w:p w14:paraId="622D0FAE" w14:textId="0885A9DF" w:rsidR="007D7FD3" w:rsidRDefault="00AB4044">
      <w:pPr>
        <w:pStyle w:val="Textoindependiente"/>
        <w:tabs>
          <w:tab w:val="left" w:pos="4996"/>
        </w:tabs>
        <w:spacing w:line="251" w:lineRule="exact"/>
        <w:ind w:right="761"/>
        <w:jc w:val="center"/>
      </w:pPr>
      <w:r>
        <w:t xml:space="preserve">          </w:t>
      </w:r>
      <w:r w:rsidR="00C9075B" w:rsidRPr="00446DE1">
        <w:t>Presidente</w:t>
      </w:r>
      <w:r w:rsidR="00C9075B" w:rsidRPr="00446DE1">
        <w:tab/>
        <w:t>Secretario Técnico</w:t>
      </w:r>
    </w:p>
    <w:sectPr w:rsidR="007D7FD3" w:rsidSect="00566009">
      <w:footerReference w:type="default" r:id="rId11"/>
      <w:pgSz w:w="12240" w:h="15840"/>
      <w:pgMar w:top="1417" w:right="1701" w:bottom="1417" w:left="170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166458" w14:textId="77777777" w:rsidR="00D90EDD" w:rsidRDefault="00D90EDD" w:rsidP="007634D3">
      <w:r>
        <w:separator/>
      </w:r>
    </w:p>
  </w:endnote>
  <w:endnote w:type="continuationSeparator" w:id="0">
    <w:p w14:paraId="5A5DC50F" w14:textId="77777777" w:rsidR="00D90EDD" w:rsidRDefault="00D90EDD" w:rsidP="007634D3">
      <w:r>
        <w:continuationSeparator/>
      </w:r>
    </w:p>
  </w:endnote>
  <w:endnote w:type="continuationNotice" w:id="1">
    <w:p w14:paraId="58FE2C29" w14:textId="77777777" w:rsidR="00D90EDD" w:rsidRDefault="00D90E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8719283"/>
      <w:docPartObj>
        <w:docPartGallery w:val="Page Numbers (Bottom of Page)"/>
        <w:docPartUnique/>
      </w:docPartObj>
    </w:sdtPr>
    <w:sdtEndPr/>
    <w:sdtContent>
      <w:p w14:paraId="72D65AED" w14:textId="54C76134" w:rsidR="007634D3" w:rsidRDefault="007634D3">
        <w:pPr>
          <w:pStyle w:val="Piedepgina"/>
          <w:jc w:val="right"/>
        </w:pPr>
        <w:r>
          <w:fldChar w:fldCharType="begin"/>
        </w:r>
        <w:r>
          <w:instrText>PAGE   \* MERGEFORMAT</w:instrText>
        </w:r>
        <w:r>
          <w:fldChar w:fldCharType="separate"/>
        </w:r>
        <w:r w:rsidR="00531923">
          <w:rPr>
            <w:noProof/>
          </w:rPr>
          <w:t>1</w:t>
        </w:r>
        <w:r>
          <w:fldChar w:fldCharType="end"/>
        </w:r>
      </w:p>
    </w:sdtContent>
  </w:sdt>
  <w:p w14:paraId="35BF173A" w14:textId="77777777" w:rsidR="007634D3" w:rsidRDefault="007634D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82958" w14:textId="77777777" w:rsidR="00D90EDD" w:rsidRDefault="00D90EDD" w:rsidP="007634D3">
      <w:r>
        <w:separator/>
      </w:r>
    </w:p>
  </w:footnote>
  <w:footnote w:type="continuationSeparator" w:id="0">
    <w:p w14:paraId="6EE93336" w14:textId="77777777" w:rsidR="00D90EDD" w:rsidRDefault="00D90EDD" w:rsidP="007634D3">
      <w:r>
        <w:continuationSeparator/>
      </w:r>
    </w:p>
  </w:footnote>
  <w:footnote w:type="continuationNotice" w:id="1">
    <w:p w14:paraId="5C2B7C36" w14:textId="77777777" w:rsidR="00D90EDD" w:rsidRDefault="00D90ED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82504"/>
    <w:multiLevelType w:val="hybridMultilevel"/>
    <w:tmpl w:val="86B0AA56"/>
    <w:lvl w:ilvl="0" w:tplc="0409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4486E3C"/>
    <w:multiLevelType w:val="hybridMultilevel"/>
    <w:tmpl w:val="7AFA2D76"/>
    <w:lvl w:ilvl="0" w:tplc="5F1E7A34">
      <w:start w:val="1"/>
      <w:numFmt w:val="lowerRoman"/>
      <w:lvlText w:val="%1."/>
      <w:lvlJc w:val="left"/>
      <w:pPr>
        <w:ind w:left="2246" w:hanging="470"/>
        <w:jc w:val="right"/>
      </w:pPr>
      <w:rPr>
        <w:rFonts w:ascii="Arial" w:eastAsia="Arial" w:hAnsi="Arial" w:cs="Arial" w:hint="default"/>
        <w:spacing w:val="-17"/>
        <w:w w:val="99"/>
        <w:sz w:val="22"/>
        <w:szCs w:val="22"/>
        <w:lang w:val="es-ES" w:eastAsia="es-ES" w:bidi="es-ES"/>
      </w:rPr>
    </w:lvl>
    <w:lvl w:ilvl="1" w:tplc="A768CD88">
      <w:numFmt w:val="bullet"/>
      <w:lvlText w:val="•"/>
      <w:lvlJc w:val="left"/>
      <w:pPr>
        <w:ind w:left="2930" w:hanging="470"/>
      </w:pPr>
      <w:rPr>
        <w:rFonts w:hint="default"/>
        <w:lang w:val="es-ES" w:eastAsia="es-ES" w:bidi="es-ES"/>
      </w:rPr>
    </w:lvl>
    <w:lvl w:ilvl="2" w:tplc="7C9C0F7A">
      <w:numFmt w:val="bullet"/>
      <w:lvlText w:val="•"/>
      <w:lvlJc w:val="left"/>
      <w:pPr>
        <w:ind w:left="3620" w:hanging="470"/>
      </w:pPr>
      <w:rPr>
        <w:rFonts w:hint="default"/>
        <w:lang w:val="es-ES" w:eastAsia="es-ES" w:bidi="es-ES"/>
      </w:rPr>
    </w:lvl>
    <w:lvl w:ilvl="3" w:tplc="1396B218">
      <w:numFmt w:val="bullet"/>
      <w:lvlText w:val="•"/>
      <w:lvlJc w:val="left"/>
      <w:pPr>
        <w:ind w:left="4310" w:hanging="470"/>
      </w:pPr>
      <w:rPr>
        <w:rFonts w:hint="default"/>
        <w:lang w:val="es-ES" w:eastAsia="es-ES" w:bidi="es-ES"/>
      </w:rPr>
    </w:lvl>
    <w:lvl w:ilvl="4" w:tplc="BB1CBAA6">
      <w:numFmt w:val="bullet"/>
      <w:lvlText w:val="•"/>
      <w:lvlJc w:val="left"/>
      <w:pPr>
        <w:ind w:left="5000" w:hanging="470"/>
      </w:pPr>
      <w:rPr>
        <w:rFonts w:hint="default"/>
        <w:lang w:val="es-ES" w:eastAsia="es-ES" w:bidi="es-ES"/>
      </w:rPr>
    </w:lvl>
    <w:lvl w:ilvl="5" w:tplc="29725AAE">
      <w:numFmt w:val="bullet"/>
      <w:lvlText w:val="•"/>
      <w:lvlJc w:val="left"/>
      <w:pPr>
        <w:ind w:left="5690" w:hanging="470"/>
      </w:pPr>
      <w:rPr>
        <w:rFonts w:hint="default"/>
        <w:lang w:val="es-ES" w:eastAsia="es-ES" w:bidi="es-ES"/>
      </w:rPr>
    </w:lvl>
    <w:lvl w:ilvl="6" w:tplc="2390BBC4">
      <w:numFmt w:val="bullet"/>
      <w:lvlText w:val="•"/>
      <w:lvlJc w:val="left"/>
      <w:pPr>
        <w:ind w:left="6380" w:hanging="470"/>
      </w:pPr>
      <w:rPr>
        <w:rFonts w:hint="default"/>
        <w:lang w:val="es-ES" w:eastAsia="es-ES" w:bidi="es-ES"/>
      </w:rPr>
    </w:lvl>
    <w:lvl w:ilvl="7" w:tplc="C54CAC7E">
      <w:numFmt w:val="bullet"/>
      <w:lvlText w:val="•"/>
      <w:lvlJc w:val="left"/>
      <w:pPr>
        <w:ind w:left="7070" w:hanging="470"/>
      </w:pPr>
      <w:rPr>
        <w:rFonts w:hint="default"/>
        <w:lang w:val="es-ES" w:eastAsia="es-ES" w:bidi="es-ES"/>
      </w:rPr>
    </w:lvl>
    <w:lvl w:ilvl="8" w:tplc="CE6EC64E">
      <w:numFmt w:val="bullet"/>
      <w:lvlText w:val="•"/>
      <w:lvlJc w:val="left"/>
      <w:pPr>
        <w:ind w:left="7760" w:hanging="470"/>
      </w:pPr>
      <w:rPr>
        <w:rFonts w:hint="default"/>
        <w:lang w:val="es-ES" w:eastAsia="es-ES" w:bidi="es-ES"/>
      </w:rPr>
    </w:lvl>
  </w:abstractNum>
  <w:abstractNum w:abstractNumId="2" w15:restartNumberingAfterBreak="0">
    <w:nsid w:val="1A45086A"/>
    <w:multiLevelType w:val="hybridMultilevel"/>
    <w:tmpl w:val="FBEE9AE4"/>
    <w:lvl w:ilvl="0" w:tplc="B954475C">
      <w:start w:val="1"/>
      <w:numFmt w:val="lowerRoman"/>
      <w:lvlText w:val="%1."/>
      <w:lvlJc w:val="left"/>
      <w:pPr>
        <w:ind w:left="1171" w:hanging="470"/>
        <w:jc w:val="right"/>
      </w:pPr>
      <w:rPr>
        <w:rFonts w:ascii="Arial" w:eastAsia="Arial" w:hAnsi="Arial" w:cs="Arial" w:hint="default"/>
        <w:spacing w:val="-27"/>
        <w:w w:val="99"/>
        <w:sz w:val="22"/>
        <w:szCs w:val="22"/>
        <w:lang w:val="es-ES" w:eastAsia="es-ES" w:bidi="es-ES"/>
      </w:rPr>
    </w:lvl>
    <w:lvl w:ilvl="1" w:tplc="115C3AA6">
      <w:numFmt w:val="bullet"/>
      <w:lvlText w:val="•"/>
      <w:lvlJc w:val="left"/>
      <w:pPr>
        <w:ind w:left="1976" w:hanging="470"/>
      </w:pPr>
      <w:rPr>
        <w:rFonts w:hint="default"/>
        <w:lang w:val="es-ES" w:eastAsia="es-ES" w:bidi="es-ES"/>
      </w:rPr>
    </w:lvl>
    <w:lvl w:ilvl="2" w:tplc="70F03DB2">
      <w:numFmt w:val="bullet"/>
      <w:lvlText w:val="•"/>
      <w:lvlJc w:val="left"/>
      <w:pPr>
        <w:ind w:left="2772" w:hanging="470"/>
      </w:pPr>
      <w:rPr>
        <w:rFonts w:hint="default"/>
        <w:lang w:val="es-ES" w:eastAsia="es-ES" w:bidi="es-ES"/>
      </w:rPr>
    </w:lvl>
    <w:lvl w:ilvl="3" w:tplc="230E4DAA">
      <w:numFmt w:val="bullet"/>
      <w:lvlText w:val="•"/>
      <w:lvlJc w:val="left"/>
      <w:pPr>
        <w:ind w:left="3568" w:hanging="470"/>
      </w:pPr>
      <w:rPr>
        <w:rFonts w:hint="default"/>
        <w:lang w:val="es-ES" w:eastAsia="es-ES" w:bidi="es-ES"/>
      </w:rPr>
    </w:lvl>
    <w:lvl w:ilvl="4" w:tplc="D40AFDA6">
      <w:numFmt w:val="bullet"/>
      <w:lvlText w:val="•"/>
      <w:lvlJc w:val="left"/>
      <w:pPr>
        <w:ind w:left="4364" w:hanging="470"/>
      </w:pPr>
      <w:rPr>
        <w:rFonts w:hint="default"/>
        <w:lang w:val="es-ES" w:eastAsia="es-ES" w:bidi="es-ES"/>
      </w:rPr>
    </w:lvl>
    <w:lvl w:ilvl="5" w:tplc="4CCEF776">
      <w:numFmt w:val="bullet"/>
      <w:lvlText w:val="•"/>
      <w:lvlJc w:val="left"/>
      <w:pPr>
        <w:ind w:left="5160" w:hanging="470"/>
      </w:pPr>
      <w:rPr>
        <w:rFonts w:hint="default"/>
        <w:lang w:val="es-ES" w:eastAsia="es-ES" w:bidi="es-ES"/>
      </w:rPr>
    </w:lvl>
    <w:lvl w:ilvl="6" w:tplc="2D348A02">
      <w:numFmt w:val="bullet"/>
      <w:lvlText w:val="•"/>
      <w:lvlJc w:val="left"/>
      <w:pPr>
        <w:ind w:left="5956" w:hanging="470"/>
      </w:pPr>
      <w:rPr>
        <w:rFonts w:hint="default"/>
        <w:lang w:val="es-ES" w:eastAsia="es-ES" w:bidi="es-ES"/>
      </w:rPr>
    </w:lvl>
    <w:lvl w:ilvl="7" w:tplc="0D7E0D92">
      <w:numFmt w:val="bullet"/>
      <w:lvlText w:val="•"/>
      <w:lvlJc w:val="left"/>
      <w:pPr>
        <w:ind w:left="6752" w:hanging="470"/>
      </w:pPr>
      <w:rPr>
        <w:rFonts w:hint="default"/>
        <w:lang w:val="es-ES" w:eastAsia="es-ES" w:bidi="es-ES"/>
      </w:rPr>
    </w:lvl>
    <w:lvl w:ilvl="8" w:tplc="E07ED6CC">
      <w:numFmt w:val="bullet"/>
      <w:lvlText w:val="•"/>
      <w:lvlJc w:val="left"/>
      <w:pPr>
        <w:ind w:left="7548" w:hanging="470"/>
      </w:pPr>
      <w:rPr>
        <w:rFonts w:hint="default"/>
        <w:lang w:val="es-ES" w:eastAsia="es-ES" w:bidi="es-ES"/>
      </w:rPr>
    </w:lvl>
  </w:abstractNum>
  <w:abstractNum w:abstractNumId="3" w15:restartNumberingAfterBreak="0">
    <w:nsid w:val="245F139F"/>
    <w:multiLevelType w:val="hybridMultilevel"/>
    <w:tmpl w:val="C9A44044"/>
    <w:lvl w:ilvl="0" w:tplc="04090019">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15:restartNumberingAfterBreak="0">
    <w:nsid w:val="2A0821FC"/>
    <w:multiLevelType w:val="hybridMultilevel"/>
    <w:tmpl w:val="96F4B306"/>
    <w:lvl w:ilvl="0" w:tplc="573CF71C">
      <w:start w:val="1"/>
      <w:numFmt w:val="decimal"/>
      <w:lvlText w:val="%1."/>
      <w:lvlJc w:val="left"/>
      <w:pPr>
        <w:ind w:left="460" w:hanging="360"/>
      </w:pPr>
      <w:rPr>
        <w:rFonts w:hint="default"/>
      </w:rPr>
    </w:lvl>
    <w:lvl w:ilvl="1" w:tplc="0C0A0019" w:tentative="1">
      <w:start w:val="1"/>
      <w:numFmt w:val="lowerLetter"/>
      <w:lvlText w:val="%2."/>
      <w:lvlJc w:val="left"/>
      <w:pPr>
        <w:ind w:left="1180" w:hanging="360"/>
      </w:pPr>
    </w:lvl>
    <w:lvl w:ilvl="2" w:tplc="0C0A001B" w:tentative="1">
      <w:start w:val="1"/>
      <w:numFmt w:val="lowerRoman"/>
      <w:lvlText w:val="%3."/>
      <w:lvlJc w:val="right"/>
      <w:pPr>
        <w:ind w:left="1900" w:hanging="180"/>
      </w:pPr>
    </w:lvl>
    <w:lvl w:ilvl="3" w:tplc="0C0A000F" w:tentative="1">
      <w:start w:val="1"/>
      <w:numFmt w:val="decimal"/>
      <w:lvlText w:val="%4."/>
      <w:lvlJc w:val="left"/>
      <w:pPr>
        <w:ind w:left="2620" w:hanging="360"/>
      </w:pPr>
    </w:lvl>
    <w:lvl w:ilvl="4" w:tplc="0C0A0019" w:tentative="1">
      <w:start w:val="1"/>
      <w:numFmt w:val="lowerLetter"/>
      <w:lvlText w:val="%5."/>
      <w:lvlJc w:val="left"/>
      <w:pPr>
        <w:ind w:left="3340" w:hanging="360"/>
      </w:pPr>
    </w:lvl>
    <w:lvl w:ilvl="5" w:tplc="0C0A001B" w:tentative="1">
      <w:start w:val="1"/>
      <w:numFmt w:val="lowerRoman"/>
      <w:lvlText w:val="%6."/>
      <w:lvlJc w:val="right"/>
      <w:pPr>
        <w:ind w:left="4060" w:hanging="180"/>
      </w:pPr>
    </w:lvl>
    <w:lvl w:ilvl="6" w:tplc="0C0A000F" w:tentative="1">
      <w:start w:val="1"/>
      <w:numFmt w:val="decimal"/>
      <w:lvlText w:val="%7."/>
      <w:lvlJc w:val="left"/>
      <w:pPr>
        <w:ind w:left="4780" w:hanging="360"/>
      </w:pPr>
    </w:lvl>
    <w:lvl w:ilvl="7" w:tplc="0C0A0019" w:tentative="1">
      <w:start w:val="1"/>
      <w:numFmt w:val="lowerLetter"/>
      <w:lvlText w:val="%8."/>
      <w:lvlJc w:val="left"/>
      <w:pPr>
        <w:ind w:left="5500" w:hanging="360"/>
      </w:pPr>
    </w:lvl>
    <w:lvl w:ilvl="8" w:tplc="0C0A001B" w:tentative="1">
      <w:start w:val="1"/>
      <w:numFmt w:val="lowerRoman"/>
      <w:lvlText w:val="%9."/>
      <w:lvlJc w:val="right"/>
      <w:pPr>
        <w:ind w:left="6220" w:hanging="180"/>
      </w:pPr>
    </w:lvl>
  </w:abstractNum>
  <w:abstractNum w:abstractNumId="5" w15:restartNumberingAfterBreak="0">
    <w:nsid w:val="5B0D3A0E"/>
    <w:multiLevelType w:val="hybridMultilevel"/>
    <w:tmpl w:val="4766810C"/>
    <w:lvl w:ilvl="0" w:tplc="7FAC523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69873AC2"/>
    <w:multiLevelType w:val="hybridMultilevel"/>
    <w:tmpl w:val="D4AE9D1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79673A92"/>
    <w:multiLevelType w:val="hybridMultilevel"/>
    <w:tmpl w:val="770A496C"/>
    <w:lvl w:ilvl="0" w:tplc="040A000F">
      <w:start w:val="1"/>
      <w:numFmt w:val="decimal"/>
      <w:lvlText w:val="%1."/>
      <w:lvlJc w:val="left"/>
      <w:pPr>
        <w:ind w:left="360" w:hanging="360"/>
      </w:pPr>
    </w:lvl>
    <w:lvl w:ilvl="1" w:tplc="FB0A6E78">
      <w:start w:val="1"/>
      <w:numFmt w:val="none"/>
      <w:lvlText w:val="c."/>
      <w:lvlJc w:val="left"/>
      <w:pPr>
        <w:ind w:left="1080" w:hanging="360"/>
      </w:pPr>
      <w:rPr>
        <w:rFonts w:hint="default"/>
      </w:rPr>
    </w:lvl>
    <w:lvl w:ilvl="2" w:tplc="5D6EB5C0">
      <w:start w:val="1"/>
      <w:numFmt w:val="lowerLetter"/>
      <w:lvlText w:val="%3)"/>
      <w:lvlJc w:val="left"/>
      <w:pPr>
        <w:ind w:left="1980" w:hanging="360"/>
      </w:pPr>
      <w:rPr>
        <w:rFonts w:hint="default"/>
      </w:r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4"/>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FD3"/>
    <w:rsid w:val="00006BA4"/>
    <w:rsid w:val="00010FFC"/>
    <w:rsid w:val="00011B21"/>
    <w:rsid w:val="00011D30"/>
    <w:rsid w:val="00022410"/>
    <w:rsid w:val="00023A9C"/>
    <w:rsid w:val="00031068"/>
    <w:rsid w:val="000321EA"/>
    <w:rsid w:val="0004453A"/>
    <w:rsid w:val="00046254"/>
    <w:rsid w:val="00047F8F"/>
    <w:rsid w:val="00057A28"/>
    <w:rsid w:val="00064684"/>
    <w:rsid w:val="00064CC3"/>
    <w:rsid w:val="00066F0F"/>
    <w:rsid w:val="0007034F"/>
    <w:rsid w:val="0007308A"/>
    <w:rsid w:val="00074898"/>
    <w:rsid w:val="000835A2"/>
    <w:rsid w:val="00084BD6"/>
    <w:rsid w:val="00093AFC"/>
    <w:rsid w:val="00093D2D"/>
    <w:rsid w:val="00097843"/>
    <w:rsid w:val="000A15A3"/>
    <w:rsid w:val="000A1D62"/>
    <w:rsid w:val="000A22AE"/>
    <w:rsid w:val="000A4C41"/>
    <w:rsid w:val="000A515F"/>
    <w:rsid w:val="000B7609"/>
    <w:rsid w:val="000C0872"/>
    <w:rsid w:val="000E2F34"/>
    <w:rsid w:val="000E7B31"/>
    <w:rsid w:val="00102C2A"/>
    <w:rsid w:val="00102F49"/>
    <w:rsid w:val="001100A0"/>
    <w:rsid w:val="001108AD"/>
    <w:rsid w:val="00111B9F"/>
    <w:rsid w:val="001131ED"/>
    <w:rsid w:val="00113472"/>
    <w:rsid w:val="00133F9F"/>
    <w:rsid w:val="0013415E"/>
    <w:rsid w:val="00142A61"/>
    <w:rsid w:val="00142C9C"/>
    <w:rsid w:val="00146E6F"/>
    <w:rsid w:val="00147175"/>
    <w:rsid w:val="00150089"/>
    <w:rsid w:val="00150E72"/>
    <w:rsid w:val="001529A3"/>
    <w:rsid w:val="00157671"/>
    <w:rsid w:val="00172837"/>
    <w:rsid w:val="00173A50"/>
    <w:rsid w:val="001741B6"/>
    <w:rsid w:val="001816A0"/>
    <w:rsid w:val="00183E5C"/>
    <w:rsid w:val="001849BD"/>
    <w:rsid w:val="00185722"/>
    <w:rsid w:val="00192AF0"/>
    <w:rsid w:val="001945FC"/>
    <w:rsid w:val="001B262C"/>
    <w:rsid w:val="001B3E1D"/>
    <w:rsid w:val="001B6FE8"/>
    <w:rsid w:val="001C1867"/>
    <w:rsid w:val="001C34EA"/>
    <w:rsid w:val="001C5623"/>
    <w:rsid w:val="001C7BA7"/>
    <w:rsid w:val="00202AE0"/>
    <w:rsid w:val="00211034"/>
    <w:rsid w:val="002131A0"/>
    <w:rsid w:val="00223E5B"/>
    <w:rsid w:val="00225E82"/>
    <w:rsid w:val="002422EE"/>
    <w:rsid w:val="00244E17"/>
    <w:rsid w:val="00251C94"/>
    <w:rsid w:val="00262CD0"/>
    <w:rsid w:val="0026606B"/>
    <w:rsid w:val="00272748"/>
    <w:rsid w:val="002769A6"/>
    <w:rsid w:val="00282C85"/>
    <w:rsid w:val="002853CA"/>
    <w:rsid w:val="00286744"/>
    <w:rsid w:val="0029105D"/>
    <w:rsid w:val="002919DA"/>
    <w:rsid w:val="002A657F"/>
    <w:rsid w:val="002B0F4C"/>
    <w:rsid w:val="002B4683"/>
    <w:rsid w:val="002B6712"/>
    <w:rsid w:val="002D007D"/>
    <w:rsid w:val="002D7CE2"/>
    <w:rsid w:val="002E0105"/>
    <w:rsid w:val="002E1160"/>
    <w:rsid w:val="002E3E39"/>
    <w:rsid w:val="002E720A"/>
    <w:rsid w:val="002E7A20"/>
    <w:rsid w:val="002F73A8"/>
    <w:rsid w:val="002F78FA"/>
    <w:rsid w:val="00301512"/>
    <w:rsid w:val="00307471"/>
    <w:rsid w:val="00310A36"/>
    <w:rsid w:val="003229E3"/>
    <w:rsid w:val="00322AE6"/>
    <w:rsid w:val="003233E5"/>
    <w:rsid w:val="00330E6A"/>
    <w:rsid w:val="00336824"/>
    <w:rsid w:val="0033AEA2"/>
    <w:rsid w:val="003416AB"/>
    <w:rsid w:val="003416CF"/>
    <w:rsid w:val="00352670"/>
    <w:rsid w:val="00355071"/>
    <w:rsid w:val="00377909"/>
    <w:rsid w:val="00382C34"/>
    <w:rsid w:val="00384961"/>
    <w:rsid w:val="00387FDD"/>
    <w:rsid w:val="00391B3E"/>
    <w:rsid w:val="00392076"/>
    <w:rsid w:val="0039228F"/>
    <w:rsid w:val="003A082F"/>
    <w:rsid w:val="003A5BC2"/>
    <w:rsid w:val="003A77A8"/>
    <w:rsid w:val="003B019B"/>
    <w:rsid w:val="003B5B94"/>
    <w:rsid w:val="003E2038"/>
    <w:rsid w:val="003E5621"/>
    <w:rsid w:val="003E7699"/>
    <w:rsid w:val="003F178A"/>
    <w:rsid w:val="003F5C2C"/>
    <w:rsid w:val="003F7BAB"/>
    <w:rsid w:val="004030F0"/>
    <w:rsid w:val="004045B7"/>
    <w:rsid w:val="00407E84"/>
    <w:rsid w:val="00412685"/>
    <w:rsid w:val="004159D7"/>
    <w:rsid w:val="0042723F"/>
    <w:rsid w:val="0043686F"/>
    <w:rsid w:val="00436BE7"/>
    <w:rsid w:val="004371E6"/>
    <w:rsid w:val="00441EFA"/>
    <w:rsid w:val="0044554F"/>
    <w:rsid w:val="00446DE1"/>
    <w:rsid w:val="00451D87"/>
    <w:rsid w:val="00452072"/>
    <w:rsid w:val="0045226E"/>
    <w:rsid w:val="00456E2C"/>
    <w:rsid w:val="00457A74"/>
    <w:rsid w:val="00466E36"/>
    <w:rsid w:val="00480556"/>
    <w:rsid w:val="00485A25"/>
    <w:rsid w:val="00496F85"/>
    <w:rsid w:val="00497B33"/>
    <w:rsid w:val="00497B60"/>
    <w:rsid w:val="004A41D3"/>
    <w:rsid w:val="004A664E"/>
    <w:rsid w:val="004A6BD6"/>
    <w:rsid w:val="004B47AA"/>
    <w:rsid w:val="004B5029"/>
    <w:rsid w:val="004D3F3E"/>
    <w:rsid w:val="004E45D7"/>
    <w:rsid w:val="004E6668"/>
    <w:rsid w:val="004E6716"/>
    <w:rsid w:val="004F6477"/>
    <w:rsid w:val="004F7EFE"/>
    <w:rsid w:val="00502AEA"/>
    <w:rsid w:val="005057B5"/>
    <w:rsid w:val="00511E5A"/>
    <w:rsid w:val="00522704"/>
    <w:rsid w:val="00522898"/>
    <w:rsid w:val="00531923"/>
    <w:rsid w:val="005407A9"/>
    <w:rsid w:val="00546D1C"/>
    <w:rsid w:val="00554F87"/>
    <w:rsid w:val="00564C56"/>
    <w:rsid w:val="00565EBE"/>
    <w:rsid w:val="00566009"/>
    <w:rsid w:val="00566A9E"/>
    <w:rsid w:val="00583324"/>
    <w:rsid w:val="00583FDC"/>
    <w:rsid w:val="00593DAA"/>
    <w:rsid w:val="005952D1"/>
    <w:rsid w:val="00595398"/>
    <w:rsid w:val="005A0AF0"/>
    <w:rsid w:val="005C1AD5"/>
    <w:rsid w:val="005C2D93"/>
    <w:rsid w:val="005D2C13"/>
    <w:rsid w:val="005D3D9F"/>
    <w:rsid w:val="005E6F8D"/>
    <w:rsid w:val="005F0980"/>
    <w:rsid w:val="005F6809"/>
    <w:rsid w:val="00615715"/>
    <w:rsid w:val="00631D53"/>
    <w:rsid w:val="00634EF1"/>
    <w:rsid w:val="0063513E"/>
    <w:rsid w:val="00635181"/>
    <w:rsid w:val="006372A2"/>
    <w:rsid w:val="00640C37"/>
    <w:rsid w:val="006445A7"/>
    <w:rsid w:val="00653379"/>
    <w:rsid w:val="00653638"/>
    <w:rsid w:val="00653756"/>
    <w:rsid w:val="006679AF"/>
    <w:rsid w:val="00670E3D"/>
    <w:rsid w:val="00671CC3"/>
    <w:rsid w:val="00673D07"/>
    <w:rsid w:val="00677BC0"/>
    <w:rsid w:val="00683E9A"/>
    <w:rsid w:val="00690400"/>
    <w:rsid w:val="006979B8"/>
    <w:rsid w:val="00697B1E"/>
    <w:rsid w:val="006A3A43"/>
    <w:rsid w:val="006A5057"/>
    <w:rsid w:val="006A66D1"/>
    <w:rsid w:val="006B9A25"/>
    <w:rsid w:val="006C0F2D"/>
    <w:rsid w:val="006C1CFC"/>
    <w:rsid w:val="006C6BFE"/>
    <w:rsid w:val="006D3DB5"/>
    <w:rsid w:val="006D4E56"/>
    <w:rsid w:val="006D71B6"/>
    <w:rsid w:val="006F2456"/>
    <w:rsid w:val="006F41C6"/>
    <w:rsid w:val="007002E6"/>
    <w:rsid w:val="007039F8"/>
    <w:rsid w:val="0070488A"/>
    <w:rsid w:val="00711493"/>
    <w:rsid w:val="007128C5"/>
    <w:rsid w:val="0071336A"/>
    <w:rsid w:val="00720152"/>
    <w:rsid w:val="0072229C"/>
    <w:rsid w:val="00732441"/>
    <w:rsid w:val="007459EE"/>
    <w:rsid w:val="0074685B"/>
    <w:rsid w:val="00751D0D"/>
    <w:rsid w:val="00752E95"/>
    <w:rsid w:val="00755DE3"/>
    <w:rsid w:val="0076064A"/>
    <w:rsid w:val="00761777"/>
    <w:rsid w:val="007618DB"/>
    <w:rsid w:val="007634D3"/>
    <w:rsid w:val="0076437A"/>
    <w:rsid w:val="007769BF"/>
    <w:rsid w:val="00782AA6"/>
    <w:rsid w:val="00783E20"/>
    <w:rsid w:val="00787391"/>
    <w:rsid w:val="007A6261"/>
    <w:rsid w:val="007B2D95"/>
    <w:rsid w:val="007B374A"/>
    <w:rsid w:val="007C4601"/>
    <w:rsid w:val="007C7F04"/>
    <w:rsid w:val="007D0D1E"/>
    <w:rsid w:val="007D7FD3"/>
    <w:rsid w:val="007F0F44"/>
    <w:rsid w:val="007F104C"/>
    <w:rsid w:val="008043A6"/>
    <w:rsid w:val="008046FE"/>
    <w:rsid w:val="008122DE"/>
    <w:rsid w:val="00814A6E"/>
    <w:rsid w:val="00815B4D"/>
    <w:rsid w:val="00817D6E"/>
    <w:rsid w:val="00827561"/>
    <w:rsid w:val="00832617"/>
    <w:rsid w:val="00834FE5"/>
    <w:rsid w:val="00840F2C"/>
    <w:rsid w:val="0086061A"/>
    <w:rsid w:val="00860FED"/>
    <w:rsid w:val="00863442"/>
    <w:rsid w:val="00864DCB"/>
    <w:rsid w:val="00866482"/>
    <w:rsid w:val="008710E8"/>
    <w:rsid w:val="008742C6"/>
    <w:rsid w:val="0087565F"/>
    <w:rsid w:val="008821B8"/>
    <w:rsid w:val="008840E7"/>
    <w:rsid w:val="00895A53"/>
    <w:rsid w:val="008B6483"/>
    <w:rsid w:val="008C4780"/>
    <w:rsid w:val="008C59C7"/>
    <w:rsid w:val="008C6784"/>
    <w:rsid w:val="008D3B7C"/>
    <w:rsid w:val="008D5FAC"/>
    <w:rsid w:val="008D6D1E"/>
    <w:rsid w:val="008E03A8"/>
    <w:rsid w:val="008E5A4C"/>
    <w:rsid w:val="008F1996"/>
    <w:rsid w:val="008F4B13"/>
    <w:rsid w:val="008F5FEE"/>
    <w:rsid w:val="008F6F34"/>
    <w:rsid w:val="00900E13"/>
    <w:rsid w:val="009062A1"/>
    <w:rsid w:val="0091168F"/>
    <w:rsid w:val="009138DF"/>
    <w:rsid w:val="00915C37"/>
    <w:rsid w:val="009175DE"/>
    <w:rsid w:val="00920CE4"/>
    <w:rsid w:val="0092693E"/>
    <w:rsid w:val="00932B22"/>
    <w:rsid w:val="009511C7"/>
    <w:rsid w:val="009560F9"/>
    <w:rsid w:val="00956BF8"/>
    <w:rsid w:val="0097152B"/>
    <w:rsid w:val="00977F24"/>
    <w:rsid w:val="00981CC9"/>
    <w:rsid w:val="00990B2D"/>
    <w:rsid w:val="0099767D"/>
    <w:rsid w:val="009A795B"/>
    <w:rsid w:val="009B4DFB"/>
    <w:rsid w:val="009C169B"/>
    <w:rsid w:val="009C61FD"/>
    <w:rsid w:val="009C7D55"/>
    <w:rsid w:val="009E2066"/>
    <w:rsid w:val="009F6F31"/>
    <w:rsid w:val="00A07190"/>
    <w:rsid w:val="00A13BBE"/>
    <w:rsid w:val="00A14E38"/>
    <w:rsid w:val="00A22B90"/>
    <w:rsid w:val="00A24534"/>
    <w:rsid w:val="00A2788C"/>
    <w:rsid w:val="00A27956"/>
    <w:rsid w:val="00A3006B"/>
    <w:rsid w:val="00A4465F"/>
    <w:rsid w:val="00A60ADC"/>
    <w:rsid w:val="00A77360"/>
    <w:rsid w:val="00A806C1"/>
    <w:rsid w:val="00A83F5F"/>
    <w:rsid w:val="00A8725F"/>
    <w:rsid w:val="00A9563C"/>
    <w:rsid w:val="00AA0455"/>
    <w:rsid w:val="00AA08AE"/>
    <w:rsid w:val="00AA0D78"/>
    <w:rsid w:val="00AA499D"/>
    <w:rsid w:val="00AB1380"/>
    <w:rsid w:val="00AB1A91"/>
    <w:rsid w:val="00AB4044"/>
    <w:rsid w:val="00AB4744"/>
    <w:rsid w:val="00AC4BDF"/>
    <w:rsid w:val="00AC59FD"/>
    <w:rsid w:val="00AD0FAA"/>
    <w:rsid w:val="00AD4483"/>
    <w:rsid w:val="00AD46BC"/>
    <w:rsid w:val="00AE4DC0"/>
    <w:rsid w:val="00AE5103"/>
    <w:rsid w:val="00AF4670"/>
    <w:rsid w:val="00AF55A5"/>
    <w:rsid w:val="00B16585"/>
    <w:rsid w:val="00B24C28"/>
    <w:rsid w:val="00B31A27"/>
    <w:rsid w:val="00B41F0B"/>
    <w:rsid w:val="00B457CB"/>
    <w:rsid w:val="00B53FC4"/>
    <w:rsid w:val="00B613B5"/>
    <w:rsid w:val="00B73032"/>
    <w:rsid w:val="00B9439F"/>
    <w:rsid w:val="00BA0A29"/>
    <w:rsid w:val="00BB01B6"/>
    <w:rsid w:val="00BB753A"/>
    <w:rsid w:val="00BB7A8E"/>
    <w:rsid w:val="00BC73D4"/>
    <w:rsid w:val="00BC7B20"/>
    <w:rsid w:val="00BC7D16"/>
    <w:rsid w:val="00BD381D"/>
    <w:rsid w:val="00BE0E23"/>
    <w:rsid w:val="00BF29E2"/>
    <w:rsid w:val="00C03308"/>
    <w:rsid w:val="00C03CC7"/>
    <w:rsid w:val="00C10164"/>
    <w:rsid w:val="00C1205D"/>
    <w:rsid w:val="00C23A1A"/>
    <w:rsid w:val="00C301EA"/>
    <w:rsid w:val="00C4128A"/>
    <w:rsid w:val="00C5637A"/>
    <w:rsid w:val="00C56AB7"/>
    <w:rsid w:val="00C60520"/>
    <w:rsid w:val="00C6349D"/>
    <w:rsid w:val="00C70012"/>
    <w:rsid w:val="00C71A21"/>
    <w:rsid w:val="00C72E97"/>
    <w:rsid w:val="00C7300D"/>
    <w:rsid w:val="00C80B0C"/>
    <w:rsid w:val="00C80EB2"/>
    <w:rsid w:val="00C82BBA"/>
    <w:rsid w:val="00C83D4B"/>
    <w:rsid w:val="00C9075B"/>
    <w:rsid w:val="00CA35C2"/>
    <w:rsid w:val="00CA6875"/>
    <w:rsid w:val="00CA6A4C"/>
    <w:rsid w:val="00CA7218"/>
    <w:rsid w:val="00CB1F49"/>
    <w:rsid w:val="00CB3D6D"/>
    <w:rsid w:val="00CB5A0B"/>
    <w:rsid w:val="00CB6670"/>
    <w:rsid w:val="00CC0F86"/>
    <w:rsid w:val="00CC3712"/>
    <w:rsid w:val="00CD2A5B"/>
    <w:rsid w:val="00CD620D"/>
    <w:rsid w:val="00CD6480"/>
    <w:rsid w:val="00CD7A22"/>
    <w:rsid w:val="00CE47CE"/>
    <w:rsid w:val="00CF0570"/>
    <w:rsid w:val="00D032F3"/>
    <w:rsid w:val="00D060B6"/>
    <w:rsid w:val="00D135A0"/>
    <w:rsid w:val="00D46E4D"/>
    <w:rsid w:val="00D47F6D"/>
    <w:rsid w:val="00D5522F"/>
    <w:rsid w:val="00D554E3"/>
    <w:rsid w:val="00D57E24"/>
    <w:rsid w:val="00D6169E"/>
    <w:rsid w:val="00D6367D"/>
    <w:rsid w:val="00D638C9"/>
    <w:rsid w:val="00D63AAD"/>
    <w:rsid w:val="00D906D4"/>
    <w:rsid w:val="00D90EDD"/>
    <w:rsid w:val="00D9498C"/>
    <w:rsid w:val="00D969FC"/>
    <w:rsid w:val="00DA3A74"/>
    <w:rsid w:val="00DA41FA"/>
    <w:rsid w:val="00DA4840"/>
    <w:rsid w:val="00DA4F0B"/>
    <w:rsid w:val="00DB2768"/>
    <w:rsid w:val="00DB3F5F"/>
    <w:rsid w:val="00DC0DD6"/>
    <w:rsid w:val="00DC4A38"/>
    <w:rsid w:val="00DD09A3"/>
    <w:rsid w:val="00DD192A"/>
    <w:rsid w:val="00DD6CF5"/>
    <w:rsid w:val="00DE0E16"/>
    <w:rsid w:val="00DE1C03"/>
    <w:rsid w:val="00DF0672"/>
    <w:rsid w:val="00E01814"/>
    <w:rsid w:val="00E051B1"/>
    <w:rsid w:val="00E05657"/>
    <w:rsid w:val="00E07D84"/>
    <w:rsid w:val="00E1225F"/>
    <w:rsid w:val="00E16760"/>
    <w:rsid w:val="00E16BAC"/>
    <w:rsid w:val="00E17874"/>
    <w:rsid w:val="00E2369E"/>
    <w:rsid w:val="00E24791"/>
    <w:rsid w:val="00E24CA9"/>
    <w:rsid w:val="00E25E8D"/>
    <w:rsid w:val="00E3162A"/>
    <w:rsid w:val="00E4010C"/>
    <w:rsid w:val="00E45F1A"/>
    <w:rsid w:val="00E6178F"/>
    <w:rsid w:val="00E65E1E"/>
    <w:rsid w:val="00E66989"/>
    <w:rsid w:val="00EA454F"/>
    <w:rsid w:val="00EB0236"/>
    <w:rsid w:val="00EC4565"/>
    <w:rsid w:val="00ED1EF4"/>
    <w:rsid w:val="00ED4299"/>
    <w:rsid w:val="00EF5DC0"/>
    <w:rsid w:val="00F02FEA"/>
    <w:rsid w:val="00F07B96"/>
    <w:rsid w:val="00F07F47"/>
    <w:rsid w:val="00F113C8"/>
    <w:rsid w:val="00F16115"/>
    <w:rsid w:val="00F163EE"/>
    <w:rsid w:val="00F25831"/>
    <w:rsid w:val="00F33CBC"/>
    <w:rsid w:val="00F35AFA"/>
    <w:rsid w:val="00F439B7"/>
    <w:rsid w:val="00F43C18"/>
    <w:rsid w:val="00F44E23"/>
    <w:rsid w:val="00F467C5"/>
    <w:rsid w:val="00F555F3"/>
    <w:rsid w:val="00F56D3B"/>
    <w:rsid w:val="00F572ED"/>
    <w:rsid w:val="00F61C6E"/>
    <w:rsid w:val="00F66462"/>
    <w:rsid w:val="00F67418"/>
    <w:rsid w:val="00F71C78"/>
    <w:rsid w:val="00F75C21"/>
    <w:rsid w:val="00F854C5"/>
    <w:rsid w:val="00F913F3"/>
    <w:rsid w:val="00FA014B"/>
    <w:rsid w:val="00FA0EF7"/>
    <w:rsid w:val="00FA119F"/>
    <w:rsid w:val="00FB456D"/>
    <w:rsid w:val="00FC1429"/>
    <w:rsid w:val="00FC4205"/>
    <w:rsid w:val="00FE2B28"/>
    <w:rsid w:val="00FE5817"/>
    <w:rsid w:val="00FE6B78"/>
    <w:rsid w:val="00FE725D"/>
    <w:rsid w:val="03614B0E"/>
    <w:rsid w:val="044F70FC"/>
    <w:rsid w:val="04A6FF6B"/>
    <w:rsid w:val="04E0E6BE"/>
    <w:rsid w:val="05431964"/>
    <w:rsid w:val="0574BA60"/>
    <w:rsid w:val="05B1CBA4"/>
    <w:rsid w:val="0706A4FD"/>
    <w:rsid w:val="07B86141"/>
    <w:rsid w:val="0808DF29"/>
    <w:rsid w:val="083D65A6"/>
    <w:rsid w:val="08575334"/>
    <w:rsid w:val="08A48A42"/>
    <w:rsid w:val="08AD6ECF"/>
    <w:rsid w:val="08E198C3"/>
    <w:rsid w:val="094DF756"/>
    <w:rsid w:val="0ADE66A2"/>
    <w:rsid w:val="0B8D32A6"/>
    <w:rsid w:val="0BA14319"/>
    <w:rsid w:val="0BA44646"/>
    <w:rsid w:val="0C59EE3D"/>
    <w:rsid w:val="0C9A0177"/>
    <w:rsid w:val="0D675F20"/>
    <w:rsid w:val="0E2D481B"/>
    <w:rsid w:val="0E351683"/>
    <w:rsid w:val="0ED349F9"/>
    <w:rsid w:val="0FC00A16"/>
    <w:rsid w:val="104AD214"/>
    <w:rsid w:val="108A0425"/>
    <w:rsid w:val="1165533E"/>
    <w:rsid w:val="11DF3A8E"/>
    <w:rsid w:val="124C31B9"/>
    <w:rsid w:val="124F7DB3"/>
    <w:rsid w:val="12C97921"/>
    <w:rsid w:val="14DAFFDC"/>
    <w:rsid w:val="16374577"/>
    <w:rsid w:val="166BF05C"/>
    <w:rsid w:val="17083B75"/>
    <w:rsid w:val="175061B4"/>
    <w:rsid w:val="177F0B66"/>
    <w:rsid w:val="17B8B234"/>
    <w:rsid w:val="18B49034"/>
    <w:rsid w:val="1922F4FE"/>
    <w:rsid w:val="1AE82A34"/>
    <w:rsid w:val="1B54FE71"/>
    <w:rsid w:val="1C8274DD"/>
    <w:rsid w:val="1CE3B063"/>
    <w:rsid w:val="1CEB44AB"/>
    <w:rsid w:val="1D1D94EC"/>
    <w:rsid w:val="1E60FB92"/>
    <w:rsid w:val="1F6ECED0"/>
    <w:rsid w:val="206C0458"/>
    <w:rsid w:val="21E71163"/>
    <w:rsid w:val="22699D0C"/>
    <w:rsid w:val="228B9569"/>
    <w:rsid w:val="256C7099"/>
    <w:rsid w:val="257EBE1C"/>
    <w:rsid w:val="2621CCE1"/>
    <w:rsid w:val="26CEFC3D"/>
    <w:rsid w:val="27E707BE"/>
    <w:rsid w:val="297D2BD3"/>
    <w:rsid w:val="2A11F001"/>
    <w:rsid w:val="2B415F00"/>
    <w:rsid w:val="2CA3AB24"/>
    <w:rsid w:val="2CE86A18"/>
    <w:rsid w:val="2D386E98"/>
    <w:rsid w:val="2D404434"/>
    <w:rsid w:val="2D551C86"/>
    <w:rsid w:val="2DF3D110"/>
    <w:rsid w:val="30C3F77D"/>
    <w:rsid w:val="31640BD0"/>
    <w:rsid w:val="32A9B18E"/>
    <w:rsid w:val="32AEE83C"/>
    <w:rsid w:val="32F97090"/>
    <w:rsid w:val="335007F8"/>
    <w:rsid w:val="382FF848"/>
    <w:rsid w:val="38E2401A"/>
    <w:rsid w:val="38E7D9D5"/>
    <w:rsid w:val="3998153F"/>
    <w:rsid w:val="3C0896DF"/>
    <w:rsid w:val="3C5DCBC4"/>
    <w:rsid w:val="3C7B6ED4"/>
    <w:rsid w:val="3CCB2FEA"/>
    <w:rsid w:val="3CDB816B"/>
    <w:rsid w:val="3CF116DB"/>
    <w:rsid w:val="3ED5F701"/>
    <w:rsid w:val="3EF3CA39"/>
    <w:rsid w:val="3F811BA5"/>
    <w:rsid w:val="42B4EB2C"/>
    <w:rsid w:val="45933D02"/>
    <w:rsid w:val="45C72BF3"/>
    <w:rsid w:val="470BCB61"/>
    <w:rsid w:val="4740462F"/>
    <w:rsid w:val="482B6DF9"/>
    <w:rsid w:val="4B12F154"/>
    <w:rsid w:val="4B9B6F5C"/>
    <w:rsid w:val="4C6AE0BE"/>
    <w:rsid w:val="4D2C54E9"/>
    <w:rsid w:val="4D44C402"/>
    <w:rsid w:val="4DC660E5"/>
    <w:rsid w:val="4E0580D0"/>
    <w:rsid w:val="4E64E399"/>
    <w:rsid w:val="4F98105D"/>
    <w:rsid w:val="505FA30F"/>
    <w:rsid w:val="50FB4013"/>
    <w:rsid w:val="519E92C4"/>
    <w:rsid w:val="53339320"/>
    <w:rsid w:val="56C667E0"/>
    <w:rsid w:val="56EAF47E"/>
    <w:rsid w:val="59B9E04D"/>
    <w:rsid w:val="59F2D510"/>
    <w:rsid w:val="5B1048F7"/>
    <w:rsid w:val="5BBFA805"/>
    <w:rsid w:val="5BD8F2DD"/>
    <w:rsid w:val="5C6D6EA5"/>
    <w:rsid w:val="5C7BB24B"/>
    <w:rsid w:val="5CB0AC08"/>
    <w:rsid w:val="5D9BE328"/>
    <w:rsid w:val="5E082CBB"/>
    <w:rsid w:val="5FD7E323"/>
    <w:rsid w:val="60983D90"/>
    <w:rsid w:val="61291F4D"/>
    <w:rsid w:val="621C9F41"/>
    <w:rsid w:val="62EE5CDF"/>
    <w:rsid w:val="63AE3AEC"/>
    <w:rsid w:val="63EC93DD"/>
    <w:rsid w:val="6612BEF7"/>
    <w:rsid w:val="6728E90F"/>
    <w:rsid w:val="6735F387"/>
    <w:rsid w:val="685BE159"/>
    <w:rsid w:val="68999C97"/>
    <w:rsid w:val="6AE06A27"/>
    <w:rsid w:val="6AFF0A0B"/>
    <w:rsid w:val="6B60B423"/>
    <w:rsid w:val="6BDFF4FB"/>
    <w:rsid w:val="6DC0629C"/>
    <w:rsid w:val="70F40F37"/>
    <w:rsid w:val="71034C7D"/>
    <w:rsid w:val="71C0E9FC"/>
    <w:rsid w:val="7228406E"/>
    <w:rsid w:val="72E4C98F"/>
    <w:rsid w:val="73119B38"/>
    <w:rsid w:val="74B39B53"/>
    <w:rsid w:val="74F902C9"/>
    <w:rsid w:val="75A718CD"/>
    <w:rsid w:val="75EF982A"/>
    <w:rsid w:val="767C2EE1"/>
    <w:rsid w:val="7820B1BA"/>
    <w:rsid w:val="78A27FDE"/>
    <w:rsid w:val="79C42DFE"/>
    <w:rsid w:val="79FAF45D"/>
    <w:rsid w:val="7A3573D3"/>
    <w:rsid w:val="7AC5099B"/>
    <w:rsid w:val="7B9E45C9"/>
    <w:rsid w:val="7C91AFB6"/>
    <w:rsid w:val="7D7CAEB3"/>
    <w:rsid w:val="7EA6CB08"/>
    <w:rsid w:val="7ED68B98"/>
    <w:rsid w:val="7F05C700"/>
    <w:rsid w:val="7F83A16A"/>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4BB1"/>
  <w15:docId w15:val="{3DA9AA6D-EE3B-4424-AA63-A8DD2FB6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171" w:hanging="580"/>
      <w:jc w:val="both"/>
    </w:pPr>
  </w:style>
  <w:style w:type="paragraph" w:customStyle="1" w:styleId="TableParagraph">
    <w:name w:val="Table Paragraph"/>
    <w:basedOn w:val="Normal"/>
    <w:uiPriority w:val="1"/>
    <w:qFormat/>
    <w:pPr>
      <w:spacing w:before="2"/>
      <w:ind w:left="237"/>
      <w:jc w:val="center"/>
    </w:pPr>
  </w:style>
  <w:style w:type="character" w:styleId="Refdecomentario">
    <w:name w:val="annotation reference"/>
    <w:basedOn w:val="Fuentedeprrafopredeter"/>
    <w:uiPriority w:val="99"/>
    <w:semiHidden/>
    <w:unhideWhenUsed/>
    <w:rsid w:val="00C9075B"/>
    <w:rPr>
      <w:sz w:val="16"/>
      <w:szCs w:val="16"/>
    </w:rPr>
  </w:style>
  <w:style w:type="paragraph" w:styleId="Textocomentario">
    <w:name w:val="annotation text"/>
    <w:basedOn w:val="Normal"/>
    <w:link w:val="TextocomentarioCar"/>
    <w:uiPriority w:val="99"/>
    <w:unhideWhenUsed/>
    <w:rsid w:val="00C9075B"/>
    <w:rPr>
      <w:sz w:val="20"/>
      <w:szCs w:val="20"/>
    </w:rPr>
  </w:style>
  <w:style w:type="character" w:customStyle="1" w:styleId="TextocomentarioCar">
    <w:name w:val="Texto comentario Car"/>
    <w:basedOn w:val="Fuentedeprrafopredeter"/>
    <w:link w:val="Textocomentario"/>
    <w:uiPriority w:val="99"/>
    <w:rsid w:val="00C9075B"/>
    <w:rPr>
      <w:rFonts w:ascii="Arial" w:eastAsia="Arial" w:hAnsi="Arial" w:cs="Arial"/>
      <w:sz w:val="20"/>
      <w:szCs w:val="20"/>
      <w:lang w:val="es-ES" w:eastAsia="es-ES" w:bidi="es-ES"/>
    </w:rPr>
  </w:style>
  <w:style w:type="paragraph" w:styleId="Asuntodelcomentario">
    <w:name w:val="annotation subject"/>
    <w:basedOn w:val="Textocomentario"/>
    <w:next w:val="Textocomentario"/>
    <w:link w:val="AsuntodelcomentarioCar"/>
    <w:uiPriority w:val="99"/>
    <w:semiHidden/>
    <w:unhideWhenUsed/>
    <w:rsid w:val="00C9075B"/>
    <w:rPr>
      <w:b/>
      <w:bCs/>
    </w:rPr>
  </w:style>
  <w:style w:type="character" w:customStyle="1" w:styleId="AsuntodelcomentarioCar">
    <w:name w:val="Asunto del comentario Car"/>
    <w:basedOn w:val="TextocomentarioCar"/>
    <w:link w:val="Asuntodelcomentario"/>
    <w:uiPriority w:val="99"/>
    <w:semiHidden/>
    <w:rsid w:val="00C9075B"/>
    <w:rPr>
      <w:rFonts w:ascii="Arial" w:eastAsia="Arial" w:hAnsi="Arial" w:cs="Arial"/>
      <w:b/>
      <w:bCs/>
      <w:sz w:val="20"/>
      <w:szCs w:val="20"/>
      <w:lang w:val="es-ES" w:eastAsia="es-ES" w:bidi="es-ES"/>
    </w:rPr>
  </w:style>
  <w:style w:type="paragraph" w:styleId="Textodeglobo">
    <w:name w:val="Balloon Text"/>
    <w:basedOn w:val="Normal"/>
    <w:link w:val="TextodegloboCar"/>
    <w:uiPriority w:val="99"/>
    <w:semiHidden/>
    <w:unhideWhenUsed/>
    <w:rsid w:val="00C9075B"/>
    <w:rPr>
      <w:rFonts w:ascii="Tahoma" w:hAnsi="Tahoma" w:cs="Tahoma"/>
      <w:sz w:val="16"/>
      <w:szCs w:val="16"/>
    </w:rPr>
  </w:style>
  <w:style w:type="character" w:customStyle="1" w:styleId="TextodegloboCar">
    <w:name w:val="Texto de globo Car"/>
    <w:basedOn w:val="Fuentedeprrafopredeter"/>
    <w:link w:val="Textodeglobo"/>
    <w:uiPriority w:val="99"/>
    <w:semiHidden/>
    <w:rsid w:val="00C9075B"/>
    <w:rPr>
      <w:rFonts w:ascii="Tahoma" w:eastAsia="Arial" w:hAnsi="Tahoma" w:cs="Tahoma"/>
      <w:sz w:val="16"/>
      <w:szCs w:val="16"/>
      <w:lang w:val="es-ES" w:eastAsia="es-ES" w:bidi="es-ES"/>
    </w:rPr>
  </w:style>
  <w:style w:type="paragraph" w:styleId="Revisin">
    <w:name w:val="Revision"/>
    <w:hidden/>
    <w:uiPriority w:val="99"/>
    <w:semiHidden/>
    <w:rsid w:val="00F66462"/>
    <w:pPr>
      <w:widowControl/>
      <w:autoSpaceDE/>
      <w:autoSpaceDN/>
    </w:pPr>
    <w:rPr>
      <w:rFonts w:ascii="Arial" w:eastAsia="Arial" w:hAnsi="Arial" w:cs="Arial"/>
      <w:lang w:val="es-ES" w:eastAsia="es-ES" w:bidi="es-ES"/>
    </w:rPr>
  </w:style>
  <w:style w:type="paragraph" w:styleId="Encabezado">
    <w:name w:val="header"/>
    <w:basedOn w:val="Normal"/>
    <w:link w:val="EncabezadoCar"/>
    <w:uiPriority w:val="99"/>
    <w:unhideWhenUsed/>
    <w:rsid w:val="007634D3"/>
    <w:pPr>
      <w:tabs>
        <w:tab w:val="center" w:pos="4419"/>
        <w:tab w:val="right" w:pos="8838"/>
      </w:tabs>
    </w:pPr>
  </w:style>
  <w:style w:type="character" w:customStyle="1" w:styleId="EncabezadoCar">
    <w:name w:val="Encabezado Car"/>
    <w:basedOn w:val="Fuentedeprrafopredeter"/>
    <w:link w:val="Encabezado"/>
    <w:uiPriority w:val="99"/>
    <w:rsid w:val="007634D3"/>
    <w:rPr>
      <w:rFonts w:ascii="Arial" w:eastAsia="Arial" w:hAnsi="Arial" w:cs="Arial"/>
      <w:lang w:val="es-ES" w:eastAsia="es-ES" w:bidi="es-ES"/>
    </w:rPr>
  </w:style>
  <w:style w:type="paragraph" w:styleId="Piedepgina">
    <w:name w:val="footer"/>
    <w:basedOn w:val="Normal"/>
    <w:link w:val="PiedepginaCar"/>
    <w:uiPriority w:val="99"/>
    <w:unhideWhenUsed/>
    <w:rsid w:val="007634D3"/>
    <w:pPr>
      <w:tabs>
        <w:tab w:val="center" w:pos="4419"/>
        <w:tab w:val="right" w:pos="8838"/>
      </w:tabs>
    </w:pPr>
  </w:style>
  <w:style w:type="character" w:customStyle="1" w:styleId="PiedepginaCar">
    <w:name w:val="Pie de página Car"/>
    <w:basedOn w:val="Fuentedeprrafopredeter"/>
    <w:link w:val="Piedepgina"/>
    <w:uiPriority w:val="99"/>
    <w:rsid w:val="007634D3"/>
    <w:rPr>
      <w:rFonts w:ascii="Arial" w:eastAsia="Arial" w:hAnsi="Arial" w:cs="Arial"/>
      <w:lang w:val="es-ES" w:eastAsia="es-ES" w:bidi="es-ES"/>
    </w:rPr>
  </w:style>
  <w:style w:type="paragraph" w:styleId="Sinespaciado">
    <w:name w:val="No Spacing"/>
    <w:uiPriority w:val="1"/>
    <w:qFormat/>
    <w:rsid w:val="0076064A"/>
    <w:pPr>
      <w:widowControl/>
      <w:autoSpaceDE/>
      <w:autoSpaceDN/>
    </w:pPr>
    <w:rPr>
      <w:rFonts w:ascii="Calibri" w:hAnsi="Calibri" w:cs="Times New Roman"/>
      <w:lang w:val="es-CO"/>
    </w:rPr>
  </w:style>
  <w:style w:type="paragraph" w:customStyle="1" w:styleId="Default">
    <w:name w:val="Default"/>
    <w:rsid w:val="00D57E24"/>
    <w:pPr>
      <w:widowControl/>
      <w:adjustRightInd w:val="0"/>
    </w:pPr>
    <w:rPr>
      <w:rFonts w:ascii="Arial" w:hAnsi="Arial" w:cs="Arial"/>
      <w:color w:val="000000"/>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939325">
      <w:bodyDiv w:val="1"/>
      <w:marLeft w:val="0"/>
      <w:marRight w:val="0"/>
      <w:marTop w:val="0"/>
      <w:marBottom w:val="0"/>
      <w:divBdr>
        <w:top w:val="none" w:sz="0" w:space="0" w:color="auto"/>
        <w:left w:val="none" w:sz="0" w:space="0" w:color="auto"/>
        <w:bottom w:val="none" w:sz="0" w:space="0" w:color="auto"/>
        <w:right w:val="none" w:sz="0" w:space="0" w:color="auto"/>
      </w:divBdr>
    </w:div>
    <w:div w:id="793061399">
      <w:bodyDiv w:val="1"/>
      <w:marLeft w:val="0"/>
      <w:marRight w:val="0"/>
      <w:marTop w:val="0"/>
      <w:marBottom w:val="0"/>
      <w:divBdr>
        <w:top w:val="none" w:sz="0" w:space="0" w:color="auto"/>
        <w:left w:val="none" w:sz="0" w:space="0" w:color="auto"/>
        <w:bottom w:val="none" w:sz="0" w:space="0" w:color="auto"/>
        <w:right w:val="none" w:sz="0" w:space="0" w:color="auto"/>
      </w:divBdr>
    </w:div>
    <w:div w:id="857619375">
      <w:bodyDiv w:val="1"/>
      <w:marLeft w:val="0"/>
      <w:marRight w:val="0"/>
      <w:marTop w:val="0"/>
      <w:marBottom w:val="0"/>
      <w:divBdr>
        <w:top w:val="none" w:sz="0" w:space="0" w:color="auto"/>
        <w:left w:val="none" w:sz="0" w:space="0" w:color="auto"/>
        <w:bottom w:val="none" w:sz="0" w:space="0" w:color="auto"/>
        <w:right w:val="none" w:sz="0" w:space="0" w:color="auto"/>
      </w:divBdr>
      <w:divsChild>
        <w:div w:id="1732852418">
          <w:marLeft w:val="0"/>
          <w:marRight w:val="0"/>
          <w:marTop w:val="0"/>
          <w:marBottom w:val="0"/>
          <w:divBdr>
            <w:top w:val="none" w:sz="0" w:space="0" w:color="auto"/>
            <w:left w:val="none" w:sz="0" w:space="0" w:color="auto"/>
            <w:bottom w:val="none" w:sz="0" w:space="0" w:color="auto"/>
            <w:right w:val="none" w:sz="0" w:space="0" w:color="auto"/>
          </w:divBdr>
        </w:div>
      </w:divsChild>
    </w:div>
    <w:div w:id="875043835">
      <w:bodyDiv w:val="1"/>
      <w:marLeft w:val="0"/>
      <w:marRight w:val="0"/>
      <w:marTop w:val="0"/>
      <w:marBottom w:val="0"/>
      <w:divBdr>
        <w:top w:val="none" w:sz="0" w:space="0" w:color="auto"/>
        <w:left w:val="none" w:sz="0" w:space="0" w:color="auto"/>
        <w:bottom w:val="none" w:sz="0" w:space="0" w:color="auto"/>
        <w:right w:val="none" w:sz="0" w:space="0" w:color="auto"/>
      </w:divBdr>
    </w:div>
    <w:div w:id="1052509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8EC9C7CFC92722469D4BE2822CD07B3D" ma:contentTypeVersion="12" ma:contentTypeDescription="Crear nuevo documento." ma:contentTypeScope="" ma:versionID="a50d074af22add9c50ae87e86e8b8255">
  <xsd:schema xmlns:xsd="http://www.w3.org/2001/XMLSchema" xmlns:xs="http://www.w3.org/2001/XMLSchema" xmlns:p="http://schemas.microsoft.com/office/2006/metadata/properties" xmlns:ns3="0bdb0841-81cd-439b-898a-d4ca8b224de2" xmlns:ns4="16443955-f225-4bfc-9189-4fbfd892d0f1" targetNamespace="http://schemas.microsoft.com/office/2006/metadata/properties" ma:root="true" ma:fieldsID="615b76647210b8bf4fa2c3bd45a9abae" ns3:_="" ns4:_="">
    <xsd:import namespace="0bdb0841-81cd-439b-898a-d4ca8b224de2"/>
    <xsd:import namespace="16443955-f225-4bfc-9189-4fbfd892d0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db0841-81cd-439b-898a-d4ca8b224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43955-f225-4bfc-9189-4fbfd892d0f1"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8A892-7AE7-468E-B9A3-851FE1F0216A}">
  <ds:schemaRefs>
    <ds:schemaRef ds:uri="http://schemas.microsoft.com/sharepoint/v3/contenttype/forms"/>
  </ds:schemaRefs>
</ds:datastoreItem>
</file>

<file path=customXml/itemProps2.xml><?xml version="1.0" encoding="utf-8"?>
<ds:datastoreItem xmlns:ds="http://schemas.openxmlformats.org/officeDocument/2006/customXml" ds:itemID="{EFC0AE90-1442-4C25-AE71-BEB0BC8608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C4750F-F0AD-4191-8A6B-9146F2024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db0841-81cd-439b-898a-d4ca8b224de2"/>
    <ds:schemaRef ds:uri="16443955-f225-4bfc-9189-4fbfd892d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FC363D-13AC-45BB-8088-6B319DCC6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1702</Words>
  <Characters>9367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BANCO AGRARIO DE COLOMBIA</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Pio Gracia Lobo</dc:creator>
  <cp:keywords/>
  <cp:lastModifiedBy>Andres Lozano Karanauskas</cp:lastModifiedBy>
  <cp:revision>3</cp:revision>
  <cp:lastPrinted>2019-10-10T18:12:00Z</cp:lastPrinted>
  <dcterms:created xsi:type="dcterms:W3CDTF">2020-06-13T22:32:00Z</dcterms:created>
  <dcterms:modified xsi:type="dcterms:W3CDTF">2020-06-13T22:32:00Z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2019-10-05T00:00:00Z</vt:filetime>
  </property>
  <property fmtid="{D5CDD505-2E9C-101B-9397-08002B2CF9AE}" pid="3" name="Creator">
    <vt:lpwstr>Microsoft Word</vt:lpwstr>
  </property>
  <property fmtid="{D5CDD505-2E9C-101B-9397-08002B2CF9AE}" pid="4" name="LastSaved">
    <vt:filetime>2019-10-07T00:00:00Z</vt:filetime>
  </property>
  <property fmtid="{D5CDD505-2E9C-101B-9397-08002B2CF9AE}" pid="5" name="ContentTypeId">
    <vt:lpwstr>0x0101008EC9C7CFC92722469D4BE2822CD07B3D</vt:lpwstr>
  </property>
</Properties>
</file>